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314"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3222"/>
        <w:gridCol w:w="3224"/>
        <w:gridCol w:w="3868"/>
      </w:tblGrid>
      <w:tr>
        <w:trPr>
          <w:trHeight w:val="398" w:hRule="atLeast"/>
        </w:trPr>
        <w:tc>
          <w:tcPr>
            <w:tcW w:w="10314" w:type="dxa"/>
            <w:gridSpan w:val="3"/>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center"/>
              <w:rPr>
                <w:rFonts w:hint="default" w:ascii="ＭＳ ゴシック" w:hAnsi="ＭＳ ゴシック" w:eastAsia="ＭＳ ゴシック"/>
              </w:rPr>
            </w:pPr>
            <w:r>
              <w:rPr>
                <w:rFonts w:hint="default" w:ascii="ＭＳ ゴシック" w:hAnsi="ＭＳ ゴシック" w:eastAsia="ＭＳ ゴシック"/>
              </w:rPr>
              <w:t>認定権者記載欄</w:t>
            </w:r>
          </w:p>
        </w:tc>
      </w:tr>
      <w:tr>
        <w:trPr>
          <w:trHeight w:val="53" w:hRule="atLeast"/>
        </w:trPr>
        <w:tc>
          <w:tcPr>
            <w:tcW w:w="3222" w:type="dxa"/>
            <w:tcBorders>
              <w:top w:val="single" w:color="00000A" w:sz="18" w:space="0"/>
              <w:left w:val="single" w:color="00000A" w:sz="18" w:space="0"/>
              <w:bottom w:val="single" w:color="00000A" w:sz="18" w:space="0"/>
              <w:right w:val="single" w:color="00000A" w:sz="18" w:space="0"/>
              <w:tl2br w:val="none" w:color="auto" w:sz="0" w:space="0"/>
              <w:tr2bl w:val="none" w:color="auto" w:sz="0" w:space="0"/>
            </w:tcBorders>
            <w:shd w:val="clear" w:color="auto" w:fill="auto"/>
            <w:tcMar>
              <w:left w:w="90" w:type="dxa"/>
            </w:tcMar>
            <w:vAlign w:val="top"/>
          </w:tcPr>
          <w:p>
            <w:pPr>
              <w:pStyle w:val="0"/>
              <w:suppressAutoHyphens w:val="1"/>
              <w:spacing w:line="366" w:lineRule="atLeast"/>
              <w:jc w:val="left"/>
              <w:rPr>
                <w:rFonts w:hint="default" w:ascii="ＭＳ ゴシック" w:hAnsi="ＭＳ ゴシック" w:eastAsia="ＭＳ ゴシック"/>
              </w:rPr>
            </w:pPr>
          </w:p>
        </w:tc>
        <w:tc>
          <w:tcPr>
            <w:tcW w:w="3224" w:type="dxa"/>
            <w:tcBorders>
              <w:top w:val="single" w:color="00000A" w:sz="4" w:space="0"/>
              <w:left w:val="single" w:color="00000A" w:sz="18" w:space="0"/>
              <w:bottom w:val="single" w:color="00000A" w:sz="4" w:space="0"/>
              <w:right w:val="single" w:color="00000A" w:sz="4" w:space="0"/>
              <w:tl2br w:val="none" w:color="auto" w:sz="0" w:space="0"/>
              <w:tr2bl w:val="none" w:color="auto" w:sz="0" w:space="0"/>
            </w:tcBorders>
            <w:shd w:val="clear" w:color="auto" w:fill="auto"/>
            <w:tcMar>
              <w:left w:w="90" w:type="dxa"/>
            </w:tcMar>
            <w:vAlign w:val="top"/>
          </w:tcPr>
          <w:p>
            <w:pPr>
              <w:pStyle w:val="0"/>
              <w:suppressAutoHyphens w:val="1"/>
              <w:spacing w:line="366" w:lineRule="atLeast"/>
              <w:jc w:val="left"/>
              <w:rPr>
                <w:rFonts w:hint="default" w:ascii="ＭＳ ゴシック" w:hAnsi="ＭＳ ゴシック" w:eastAsia="ＭＳ ゴシック"/>
              </w:rPr>
            </w:pPr>
          </w:p>
        </w:tc>
        <w:tc>
          <w:tcPr>
            <w:tcW w:w="386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eastAsia="ＭＳ ゴシック"/>
              </w:rPr>
            </w:pPr>
          </w:p>
        </w:tc>
      </w:tr>
      <w:tr>
        <w:trPr>
          <w:trHeight w:val="206" w:hRule="atLeast"/>
        </w:trPr>
        <w:tc>
          <w:tcPr>
            <w:tcW w:w="3222" w:type="dxa"/>
            <w:tcBorders>
              <w:top w:val="single" w:color="00000A" w:sz="18"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eastAsia="ＭＳ ゴシック"/>
              </w:rPr>
            </w:pPr>
          </w:p>
        </w:tc>
        <w:tc>
          <w:tcPr>
            <w:tcW w:w="322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eastAsia="ＭＳ ゴシック"/>
              </w:rPr>
            </w:pPr>
          </w:p>
        </w:tc>
        <w:tc>
          <w:tcPr>
            <w:tcW w:w="386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eastAsia="ＭＳ ゴシック"/>
              </w:rPr>
            </w:pPr>
          </w:p>
        </w:tc>
      </w:tr>
    </w:tbl>
    <w:p>
      <w:pPr>
        <w:pStyle w:val="0"/>
        <w:suppressAutoHyphens w:val="1"/>
        <w:spacing w:line="366" w:lineRule="atLeast"/>
        <w:jc w:val="left"/>
        <w:rPr>
          <w:rFonts w:hint="default" w:ascii="ＭＳ ゴシック" w:hAnsi="ＭＳ ゴシック" w:eastAsia="ＭＳ ゴシック"/>
          <w:color w:val="000000"/>
        </w:rPr>
      </w:pPr>
      <w:r>
        <w:rPr>
          <w:rFonts w:hint="default" w:ascii="ＭＳ ゴシック" w:hAnsi="ＭＳ ゴシック" w:eastAsia="ＭＳ ゴシック"/>
          <w:color w:val="000000"/>
        </w:rPr>
        <w:t>様式第５－（ロ）－</w:t>
      </w:r>
      <w:r>
        <w:rPr>
          <w:rFonts w:hint="default" w:ascii="ＭＳ ゴシック" w:hAnsi="ＭＳ ゴシック" w:eastAsia="ＭＳ ゴシック"/>
          <w:color w:val="000000"/>
        </w:rPr>
        <w:t>③</w:t>
      </w:r>
    </w:p>
    <w:tbl>
      <w:tblPr>
        <w:tblStyle w:val="11"/>
        <w:tblW w:w="10318" w:type="dxa"/>
        <w:jc w:val="left"/>
        <w:tblInd w:w="-60"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10318"/>
      </w:tblGrid>
      <w:tr>
        <w:trPr/>
        <w:tc>
          <w:tcPr>
            <w:tcW w:w="1031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中小企業信用保険法第２条第５項第５号の規定による認定申請書（ロ－</w:t>
            </w:r>
            <w:r>
              <w:rPr>
                <w:rFonts w:hint="default" w:ascii="ＭＳ ゴシック" w:hAnsi="ＭＳ ゴシック" w:eastAsia="ＭＳ ゴシック"/>
                <w:color w:val="000000"/>
              </w:rPr>
              <w:t>③</w:t>
            </w:r>
            <w:r>
              <w:rPr>
                <w:rFonts w:hint="default" w:ascii="ＭＳ ゴシック" w:hAnsi="ＭＳ ゴシック" w:eastAsia="ＭＳ ゴシック"/>
                <w:color w:val="000000"/>
              </w:rPr>
              <w:t>）</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ind w:left="0" w:right="695" w:firstLine="0"/>
              <w:jc w:val="righ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八街市長　北村　新司　殿</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申請者</w:t>
            </w:r>
          </w:p>
          <w:p>
            <w:pPr>
              <w:pStyle w:val="0"/>
              <w:suppressAutoHyphens w:val="1"/>
              <w:overflowPunct w:val="1"/>
              <w:spacing w:line="240" w:lineRule="exact"/>
              <w:ind w:left="0" w:leftChars="0" w:right="876" w:rightChars="0" w:firstLine="5355" w:firstLineChars="255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住　所</w:t>
            </w:r>
          </w:p>
          <w:p>
            <w:pPr>
              <w:pStyle w:val="0"/>
              <w:suppressAutoHyphens w:val="1"/>
              <w:overflowPunct w:val="1"/>
              <w:spacing w:line="240" w:lineRule="exact"/>
              <w:ind w:left="0" w:right="876" w:firstLine="0"/>
              <w:jc w:val="righ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氏　名　　　　　　　　　　　　　　　印</w:t>
            </w:r>
          </w:p>
          <w:p>
            <w:pPr>
              <w:pStyle w:val="0"/>
              <w:suppressAutoHyphens w:val="1"/>
              <w:overflowPunct w:val="1"/>
              <w:spacing w:line="180" w:lineRule="exact"/>
              <w:jc w:val="left"/>
              <w:textAlignment w:val="baseline"/>
              <w:rPr>
                <w:rFonts w:hint="default" w:ascii="ＭＳ ゴシック" w:hAnsi="ＭＳ ゴシック" w:eastAsia="ＭＳ ゴシック"/>
                <w:color w:val="000000"/>
                <w:spacing w:val="16"/>
              </w:rPr>
            </w:pPr>
          </w:p>
          <w:p>
            <w:pPr>
              <w:pStyle w:val="47"/>
              <w:jc w:val="left"/>
              <w:rPr>
                <w:rFonts w:hint="default"/>
              </w:rPr>
            </w:pPr>
            <w:r>
              <w:rPr>
                <w:rFonts w:hint="default"/>
              </w:rPr>
              <w:t>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r>
              <w:rPr>
                <w:rFonts w:hint="eastAsia"/>
              </w:rPr>
              <w:t>　　　　　　　　　</w:t>
            </w:r>
            <w:r>
              <w:rPr>
                <w:rFonts w:hint="default"/>
              </w:rPr>
              <w:t>（表</w:t>
            </w:r>
            <w:r>
              <w:rPr>
                <w:rFonts w:hint="default"/>
              </w:rPr>
              <w:t>)</w:t>
            </w:r>
          </w:p>
          <w:tbl>
            <w:tblPr>
              <w:tblStyle w:val="11"/>
              <w:tblW w:w="9503" w:type="dxa"/>
              <w:jc w:val="left"/>
              <w:tblInd w:w="0" w:type="dxa"/>
              <w:tblBorders>
                <w:top w:val="single" w:color="00000A" w:sz="18" w:space="0"/>
                <w:left w:val="single" w:color="00000A" w:sz="18" w:space="0"/>
                <w:bottom w:val="single" w:color="00000A" w:sz="18" w:space="0"/>
                <w:right w:val="single" w:color="00000A" w:sz="18" w:space="0"/>
                <w:insideH w:val="single" w:color="00000A" w:sz="18" w:space="0"/>
                <w:insideV w:val="single" w:color="00000A" w:sz="18" w:space="0"/>
              </w:tblBorders>
              <w:tblLayout w:type="fixed"/>
              <w:tblCellMar>
                <w:top w:w="0" w:type="dxa"/>
                <w:left w:w="85" w:type="dxa"/>
                <w:bottom w:w="0" w:type="dxa"/>
                <w:right w:w="108" w:type="dxa"/>
              </w:tblCellMar>
              <w:tblLook w:firstRow="1" w:lastRow="1" w:firstColumn="1" w:lastColumn="1" w:noHBand="0" w:noVBand="0" w:val="01E0"/>
            </w:tblPr>
            <w:tblGrid>
              <w:gridCol w:w="3167"/>
              <w:gridCol w:w="3168"/>
              <w:gridCol w:w="3168"/>
            </w:tblGrid>
            <w:tr>
              <w:trPr>
                <w:trHeight w:val="327" w:hRule="atLeast"/>
              </w:trPr>
              <w:tc>
                <w:tcPr>
                  <w:tcW w:w="3167" w:type="dxa"/>
                  <w:tcBorders>
                    <w:top w:val="single" w:color="00000A" w:sz="18" w:space="0"/>
                    <w:left w:val="single" w:color="00000A" w:sz="18" w:space="0"/>
                    <w:bottom w:val="single" w:color="00000A" w:sz="18" w:space="0"/>
                    <w:right w:val="single" w:color="00000A" w:sz="18" w:space="0"/>
                    <w:tl2br w:val="none" w:color="auto" w:sz="0" w:space="0"/>
                    <w:tr2bl w:val="none" w:color="auto" w:sz="0" w:space="0"/>
                  </w:tcBorders>
                  <w:shd w:val="clear" w:color="auto" w:fill="auto"/>
                  <w:tcMar>
                    <w:left w:w="85" w:type="dxa"/>
                  </w:tcMar>
                  <w:vAlign w:val="top"/>
                </w:tcPr>
                <w:p>
                  <w:pPr>
                    <w:pStyle w:val="0"/>
                    <w:suppressAutoHyphens w:val="1"/>
                    <w:overflowPunct w:val="1"/>
                    <w:spacing w:line="274" w:lineRule="atLeast"/>
                    <w:jc w:val="center"/>
                    <w:textAlignment w:val="baseline"/>
                    <w:rPr>
                      <w:rFonts w:hint="default" w:ascii="ＭＳ ゴシック" w:hAnsi="ＭＳ ゴシック" w:eastAsia="ＭＳ ゴシック"/>
                      <w:color w:val="000000"/>
                      <w:spacing w:val="16"/>
                    </w:rPr>
                  </w:pPr>
                </w:p>
              </w:tc>
              <w:tc>
                <w:tcPr>
                  <w:tcW w:w="3168" w:type="dxa"/>
                  <w:tcBorders>
                    <w:top w:val="single" w:color="00000A" w:sz="4" w:space="0"/>
                    <w:left w:val="single" w:color="00000A" w:sz="18" w:space="0"/>
                    <w:bottom w:val="single" w:color="00000A" w:sz="4" w:space="0"/>
                    <w:right w:val="single" w:color="00000A" w:sz="4" w:space="0"/>
                    <w:tl2br w:val="none" w:color="auto" w:sz="0" w:space="0"/>
                    <w:tr2bl w:val="none" w:color="auto" w:sz="0" w:space="0"/>
                  </w:tcBorders>
                  <w:shd w:val="clear" w:color="auto" w:fill="auto"/>
                  <w:tcMar>
                    <w:left w:w="85"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6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r>
            <w:tr>
              <w:trPr>
                <w:trHeight w:val="341" w:hRule="atLeast"/>
              </w:trPr>
              <w:tc>
                <w:tcPr>
                  <w:tcW w:w="3167" w:type="dxa"/>
                  <w:tcBorders>
                    <w:top w:val="single" w:color="00000A" w:sz="18"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6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6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r>
          </w:tbl>
          <w:p>
            <w:pPr>
              <w:pStyle w:val="0"/>
              <w:suppressAutoHyphens w:val="1"/>
              <w:overflowPunct w:val="1"/>
              <w:spacing w:line="240" w:lineRule="exact"/>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w:t>
            </w:r>
            <w:r>
              <w:rPr>
                <w:rFonts w:hint="default" w:ascii="ＭＳ ゴシック" w:hAnsi="ＭＳ ゴシック" w:eastAsia="ＭＳ ゴシック"/>
                <w:color w:val="000000"/>
                <w:spacing w:val="16"/>
              </w:rPr>
              <w:t>表には、指定業種であって、原油等の価格の上昇を製品等の価格に転嫁できていない事業が属する業種</w:t>
            </w:r>
            <w:r>
              <w:rPr>
                <w:rFonts w:hint="default" w:ascii="ＭＳ ゴシック" w:hAnsi="ＭＳ ゴシック" w:eastAsia="ＭＳ ゴシック"/>
                <w:color w:val="000000"/>
                <w:spacing w:val="16"/>
              </w:rPr>
              <w:t>(</w:t>
            </w:r>
            <w:r>
              <w:rPr>
                <w:rFonts w:hint="default" w:ascii="ＭＳ ゴシック" w:hAnsi="ＭＳ ゴシック" w:eastAsia="ＭＳ ゴシック"/>
                <w:color w:val="000000"/>
                <w:spacing w:val="16"/>
              </w:rPr>
              <w:t>日本標準産業分類の細分類番号と細分類業種名</w:t>
            </w:r>
            <w:r>
              <w:rPr>
                <w:rFonts w:hint="default" w:ascii="ＭＳ ゴシック" w:hAnsi="ＭＳ ゴシック" w:eastAsia="ＭＳ ゴシック"/>
                <w:color w:val="000000"/>
                <w:spacing w:val="16"/>
              </w:rPr>
              <w:t>)</w:t>
            </w:r>
            <w:r>
              <w:rPr>
                <w:rFonts w:hint="default" w:ascii="ＭＳ ゴシック" w:hAnsi="ＭＳ ゴシック" w:eastAsia="ＭＳ ゴシック"/>
                <w:color w:val="000000"/>
                <w:spacing w:val="16"/>
              </w:rPr>
              <w:t>を記載。当該指定業種が複数ある場合には、その中で、最近１年間で最も売上高等が大きい事業が属する指定業種を左上の太枠に記載。</w:t>
            </w:r>
          </w:p>
          <w:p>
            <w:pPr>
              <w:pStyle w:val="0"/>
              <w:suppressAutoHyphens w:val="1"/>
              <w:overflowPunct w:val="1"/>
              <w:spacing w:line="240" w:lineRule="exac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記</w:t>
            </w: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上記の表に記載した指定業種（以下同じ。）に係る原油等の仕入単価の上昇（注２）</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Ｅ</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w:t>
            </w:r>
            <w:r>
              <w:rPr>
                <w:rFonts w:hint="default" w:ascii="ＭＳ ゴシック" w:hAnsi="ＭＳ ゴシック" w:eastAsia="ＭＳ ゴシック"/>
                <w:color w:val="000000"/>
              </w:rPr>
              <w:t xml:space="preserve">  ×100</w:t>
            </w:r>
            <w:r>
              <w:rPr>
                <w:rFonts w:hint="default" w:ascii="ＭＳ ゴシック" w:hAnsi="ＭＳ ゴシック" w:eastAsia="ＭＳ ゴシック"/>
                <w:color w:val="000000"/>
              </w:rPr>
              <w:t>－</w:t>
            </w:r>
            <w:r>
              <w:rPr>
                <w:rFonts w:hint="default" w:ascii="ＭＳ ゴシック" w:hAnsi="ＭＳ ゴシック" w:eastAsia="ＭＳ ゴシック"/>
                <w:color w:val="000000"/>
              </w:rPr>
              <w:t>100</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上昇率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Ｅ：指定業種に係る原油等の最近１か月間における平均仕入れ単価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ｅ：指定業種に係るＥの期間に対応する前年１か月間の平均仕入れ単価</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全体の売上原価のうち指定業種に係る原油等の仕入価格が占める割合（注２）</w:t>
            </w:r>
          </w:p>
          <w:p>
            <w:pPr>
              <w:pStyle w:val="0"/>
              <w:suppressAutoHyphens w:val="1"/>
              <w:overflowPunct w:val="1"/>
              <w:spacing w:line="240" w:lineRule="exact"/>
              <w:ind w:left="0" w:right="0" w:firstLine="1050"/>
              <w:jc w:val="left"/>
              <w:textAlignment w:val="baseline"/>
              <w:rPr>
                <w:rFonts w:hint="default" w:ascii="ＭＳ ゴシック" w:hAnsi="ＭＳ ゴシック" w:eastAsia="ＭＳ ゴシック"/>
                <w:color w:val="000000"/>
                <w:u w:val="single" w:color="000000"/>
              </w:rPr>
            </w:pPr>
            <w:r>
              <w:rPr>
                <w:rFonts w:hint="default" w:ascii="ＭＳ ゴシック" w:hAnsi="ＭＳ ゴシック" w:eastAsia="ＭＳ ゴシック"/>
                <w:color w:val="000000"/>
                <w:u w:val="single" w:color="000000"/>
              </w:rPr>
              <w:t>Ｓ</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Ｃ</w:t>
            </w:r>
            <w:r>
              <w:rPr>
                <w:rFonts w:hint="default" w:ascii="ＭＳ ゴシック" w:hAnsi="ＭＳ ゴシック" w:eastAsia="ＭＳ ゴシック"/>
                <w:color w:val="000000"/>
              </w:rPr>
              <w:t xml:space="preserve">   ×100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依存率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Ｃ：申込時点における最新の全体の売上原価</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Ｓ：Ｃの売上原価に対応する指定業種に係る原油等の仕入価格</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③</w:t>
            </w:r>
            <w:r>
              <w:rPr>
                <w:rFonts w:hint="default" w:ascii="ＭＳ ゴシック" w:hAnsi="ＭＳ ゴシック" w:eastAsia="ＭＳ ゴシック"/>
                <w:color w:val="000000"/>
              </w:rPr>
              <w:t>－１　指定業種に係る製品等価格への転嫁の状況（注３）</w:t>
            </w:r>
          </w:p>
          <w:p>
            <w:pPr>
              <w:pStyle w:val="0"/>
              <w:suppressAutoHyphens w:val="1"/>
              <w:overflowPunct w:val="1"/>
              <w:spacing w:line="230" w:lineRule="exac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Ａ１</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ａ１</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p>
          <w:p>
            <w:pPr>
              <w:pStyle w:val="0"/>
              <w:suppressAutoHyphens w:val="1"/>
              <w:overflowPunct w:val="1"/>
              <w:spacing w:line="230" w:lineRule="exact"/>
              <w:textAlignment w:val="baseline"/>
              <w:rPr>
                <w:rFonts w:hint="default"/>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Ｂ１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ｂ１</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＝Ｐ１</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Ｐ１＝</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Ａ１：申込時点における最近３か月間の指定業種に係る原油等の仕入価格</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ａ１：Ａ１の期間に対応する前年３か月間の指定業種に係る原油等の仕入価格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Ｂ１：申込時点における最近３か月間の指定業種に係る売上高</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ｂ１：Ｂ１の期間に対応する前年３か月間の指定業種に係る売上高</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③</w:t>
            </w:r>
            <w:r>
              <w:rPr>
                <w:rFonts w:hint="default" w:ascii="ＭＳ ゴシック" w:hAnsi="ＭＳ ゴシック" w:eastAsia="ＭＳ ゴシック"/>
                <w:color w:val="000000"/>
              </w:rPr>
              <w:t>－２　全体に係る製品等価格への転嫁の状況（注３）</w:t>
            </w:r>
          </w:p>
          <w:p>
            <w:pPr>
              <w:pStyle w:val="0"/>
              <w:suppressAutoHyphens w:val="1"/>
              <w:overflowPunct w:val="1"/>
              <w:spacing w:line="230" w:lineRule="exac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Ａ１</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ａ１</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p>
          <w:p>
            <w:pPr>
              <w:pStyle w:val="0"/>
              <w:suppressAutoHyphens w:val="1"/>
              <w:overflowPunct w:val="1"/>
              <w:spacing w:line="230" w:lineRule="exact"/>
              <w:textAlignment w:val="baseline"/>
              <w:rPr>
                <w:rFonts w:hint="default"/>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Ｂ２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ｂ２</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＝Ｐ２</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Ｐ２＝</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Ａ１：申込時点における最近３か月間の指定業種に係る原油等の仕入価格</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ａ１：Ａ１の期間に対応する前年３か月間の指定業種に係る原油等の仕入価格</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Ｂ２：申込時点における最近３か月間の全体の売上高</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suppressAutoHyphens w:val="1"/>
              <w:overflowPunct w:val="1"/>
              <w:spacing w:line="240" w:lineRule="exact"/>
              <w:jc w:val="left"/>
              <w:textAlignment w:val="baseline"/>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-48260</wp:posOffset>
                      </wp:positionH>
                      <wp:positionV relativeFrom="paragraph">
                        <wp:posOffset>169545</wp:posOffset>
                      </wp:positionV>
                      <wp:extent cx="6577965" cy="2520315"/>
                      <wp:effectExtent l="635" t="635" r="29845" b="10795"/>
                      <wp:wrapNone/>
                      <wp:docPr id="1026" name="Frame1"/>
                      <a:graphic xmlns:a="http://schemas.openxmlformats.org/drawingml/2006/main">
                        <a:graphicData uri="http://schemas.microsoft.com/office/word/2010/wordprocessingShape">
                          <wps:wsp>
                            <wps:cNvPr id="1026" name="Frame1"/>
                            <wps:cNvSpPr txBox="1"/>
                            <wps:spPr>
                              <a:xfrm>
                                <a:off x="0" y="0"/>
                                <a:ext cx="6577965" cy="2520315"/>
                              </a:xfrm>
                              <a:prstGeom prst="rect">
                                <a:avLst/>
                              </a:prstGeom>
                              <a:ln w="635">
                                <a:solidFill>
                                  <a:srgbClr val="000000"/>
                                </a:solidFill>
                              </a:ln>
                            </wps:spPr>
                            <wps:txbx>
                              <w:txbxContent>
                                <w:p>
                                  <w:pPr>
                                    <w:pStyle w:val="48"/>
                                    <w:suppressAutoHyphens w:val="1"/>
                                    <w:spacing w:line="280" w:lineRule="exact"/>
                                    <w:ind w:left="738" w:right="0" w:hanging="738"/>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（注１）本様式は、指定業種に係る原油等の仕入価格の上昇等を指定業種及び企業全体の製品等の価格に</w:t>
                                  </w:r>
                                </w:p>
                                <w:p>
                                  <w:pPr>
                                    <w:pStyle w:val="48"/>
                                    <w:suppressAutoHyphens w:val="1"/>
                                    <w:spacing w:line="280" w:lineRule="exact"/>
                                    <w:ind w:left="0" w:right="0" w:firstLine="84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転嫁できていないことによって認定基準を満たす場合に使用する。</w:t>
                                  </w:r>
                                </w:p>
                                <w:p>
                                  <w:pPr>
                                    <w:pStyle w:val="48"/>
                                    <w:suppressAutoHyphens w:val="1"/>
                                    <w:spacing w:line="280" w:lineRule="exact"/>
                                    <w:ind w:left="738" w:right="0" w:hanging="738"/>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（注２）上昇率及び依存率が２０％以上となっていること。</w:t>
                                  </w:r>
                                </w:p>
                                <w:p>
                                  <w:pPr>
                                    <w:pStyle w:val="48"/>
                                    <w:suppressAutoHyphens w:val="1"/>
                                    <w:spacing w:line="280" w:lineRule="exact"/>
                                    <w:ind w:left="738" w:right="0" w:hanging="738"/>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（注３）Ｐ１＞０、かつ、Ｐ２＞０となっていること。</w:t>
                                  </w:r>
                                </w:p>
                                <w:p>
                                  <w:pPr>
                                    <w:pStyle w:val="48"/>
                                    <w:suppressAutoHyphens w:val="1"/>
                                    <w:spacing w:line="280" w:lineRule="exact"/>
                                    <w:ind w:left="0" w:right="0" w:firstLine="21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ま</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商</w:t>
                                  </w:r>
                                  <w:bookmarkStart w:id="0" w:name="_GoBack"/>
                                  <w:bookmarkEnd w:id="0"/>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第　　　　　　号</w:t>
                                  </w:r>
                                </w:p>
                                <w:p>
                                  <w:pPr>
                                    <w:pStyle w:val="48"/>
                                    <w:suppressAutoHyphens w:val="1"/>
                                    <w:spacing w:line="280" w:lineRule="exact"/>
                                    <w:ind w:left="737" w:right="0" w:hanging="527"/>
                                    <w:jc w:val="left"/>
                                    <w:textAlignment w:val="baseline"/>
                                    <w:rPr>
                                      <w:rFonts w:hint="default" w:ascii="ＭＳ ゴシック" w:hAnsi="ＭＳ ゴシック" w:eastAsia="ＭＳ ゴシック"/>
                                      <w:color w:val="000000"/>
                                    </w:rPr>
                                  </w:pP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48"/>
                                    <w:suppressAutoHyphens w:val="1"/>
                                    <w:spacing w:line="280" w:lineRule="exact"/>
                                    <w:ind w:left="737" w:right="0" w:hanging="527"/>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申請のとおり相違ないことを認定します。</w:t>
                                  </w:r>
                                </w:p>
                                <w:p>
                                  <w:pPr>
                                    <w:pStyle w:val="48"/>
                                    <w:suppressAutoHyphens w:val="1"/>
                                    <w:spacing w:line="280" w:lineRule="exact"/>
                                    <w:ind w:left="737" w:right="0" w:hanging="527"/>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（注）本認定書の有効期間：</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日から</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日まで</w:t>
                                  </w:r>
                                </w:p>
                                <w:p>
                                  <w:pPr>
                                    <w:pStyle w:val="48"/>
                                    <w:suppressAutoHyphens w:val="1"/>
                                    <w:spacing w:line="280" w:lineRule="exact"/>
                                    <w:ind w:left="735" w:right="0" w:firstLine="6090"/>
                                    <w:jc w:val="left"/>
                                    <w:textAlignment w:val="baseline"/>
                                    <w:rPr>
                                      <w:rFonts w:hint="default" w:ascii="ＭＳ ゴシック" w:hAnsi="ＭＳ ゴシック" w:eastAsia="ＭＳ ゴシック"/>
                                      <w:color w:val="000000"/>
                                    </w:rPr>
                                  </w:pPr>
                                </w:p>
                                <w:p>
                                  <w:pPr>
                                    <w:pStyle w:val="48"/>
                                    <w:suppressAutoHyphens w:val="1"/>
                                    <w:spacing w:line="280" w:lineRule="exact"/>
                                    <w:ind w:left="0" w:right="0" w:firstLine="609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八街市長　　北村　新司</w:t>
                                  </w:r>
                                </w:p>
                                <w:p>
                                  <w:pPr>
                                    <w:pStyle w:val="48"/>
                                    <w:suppressAutoHyphens w:val="1"/>
                                    <w:spacing w:line="280" w:lineRule="exact"/>
                                    <w:ind w:left="1230" w:right="0" w:hanging="123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（留意事項）</w:t>
                                  </w:r>
                                </w:p>
                                <w:p>
                                  <w:pPr>
                                    <w:pStyle w:val="48"/>
                                    <w:suppressAutoHyphens w:val="1"/>
                                    <w:spacing w:line="28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本認定とは別に、金融機関及び信用保証協会による金融上の審査があります。</w:t>
                                  </w:r>
                                </w:p>
                                <w:p>
                                  <w:pPr>
                                    <w:pStyle w:val="48"/>
                                    <w:suppressAutoHyphens w:val="1"/>
                                    <w:spacing w:line="280" w:lineRule="exact"/>
                                    <w:ind w:left="561" w:right="0" w:hanging="561"/>
                                    <w:jc w:val="left"/>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　市町村長又は特別区長から認定を受けた後、本認定の有効期間内に金融機関又は信用保証協会に対して、経営安定関連保証の申込みを行うことが必要です。</w:t>
                                  </w:r>
                                </w:p>
                              </w:txbxContent>
                            </wps:txbx>
                            <wps:bodyPr vertOverflow="overflow" horzOverflow="overflow" wrap="square" tIns="0" bIns="0" anchor="t"/>
                          </wps:wsp>
                        </a:graphicData>
                      </a:graphic>
                    </wp:anchor>
                  </w:drawing>
                </mc:Choice>
                <mc:Fallback>
                  <w:pict>
                    <v:shapetype id="_x0000_t202" coordsize="21600,21600" o:spt="202" path="m,l,21600r21600,l21600,xe">
                      <v:stroke joinstyle="miter"/>
                      <v:path gradientshapeok="t" o:connecttype="rect"/>
                    </v:shapetype>
                    <v:shape id="Frame1" style="mso-position-vertical-relative:text;z-index:2;mso-wrap-distance-left:9pt;width:517.95000000000005pt;height:198.45pt;mso-position-horizontal-relative:text;position:absolute;margin-left:-3.8pt;margin-top:13.35pt;mso-wrap-distance-bottom:0pt;mso-wrap-distance-right:9pt;mso-wrap-distance-top:0pt;v-text-anchor:top;" o:spid="_x0000_s1026" o:allowincell="t" o:allowoverlap="t" filled="f" stroked="t" strokecolor="#000000" strokeweight="5.e-002pt" o:spt="202" type="#_x0000_t202">
                      <v:fill/>
                      <v:stroke filltype="solid"/>
                      <v:textbox style="layout-flow:horizontal;" inset=",0mm,,0mm">
                        <w:txbxContent>
                          <w:p>
                            <w:pPr>
                              <w:pStyle w:val="48"/>
                              <w:suppressAutoHyphens w:val="1"/>
                              <w:spacing w:line="280" w:lineRule="exact"/>
                              <w:ind w:left="738" w:right="0" w:hanging="738"/>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（注１）本様式は、指定業種に係る原油等の仕入価格の上昇等を指定業種及び企業全体の製品等の価格に</w:t>
                            </w:r>
                          </w:p>
                          <w:p>
                            <w:pPr>
                              <w:pStyle w:val="48"/>
                              <w:suppressAutoHyphens w:val="1"/>
                              <w:spacing w:line="280" w:lineRule="exact"/>
                              <w:ind w:left="0" w:right="0" w:firstLine="84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転嫁できていないことによって認定基準を満たす場合に使用する。</w:t>
                            </w:r>
                          </w:p>
                          <w:p>
                            <w:pPr>
                              <w:pStyle w:val="48"/>
                              <w:suppressAutoHyphens w:val="1"/>
                              <w:spacing w:line="280" w:lineRule="exact"/>
                              <w:ind w:left="738" w:right="0" w:hanging="738"/>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（注２）上昇率及び依存率が２０％以上となっていること。</w:t>
                            </w:r>
                          </w:p>
                          <w:p>
                            <w:pPr>
                              <w:pStyle w:val="48"/>
                              <w:suppressAutoHyphens w:val="1"/>
                              <w:spacing w:line="280" w:lineRule="exact"/>
                              <w:ind w:left="738" w:right="0" w:hanging="738"/>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（注３）Ｐ１＞０、かつ、Ｐ２＞０となっていること。</w:t>
                            </w:r>
                          </w:p>
                          <w:p>
                            <w:pPr>
                              <w:pStyle w:val="48"/>
                              <w:suppressAutoHyphens w:val="1"/>
                              <w:spacing w:line="280" w:lineRule="exact"/>
                              <w:ind w:left="0" w:right="0" w:firstLine="21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ま</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商</w:t>
                            </w:r>
                            <w:bookmarkStart w:id="1" w:name="_GoBack"/>
                            <w:bookmarkEnd w:id="1"/>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第　　　　　　号</w:t>
                            </w:r>
                          </w:p>
                          <w:p>
                            <w:pPr>
                              <w:pStyle w:val="48"/>
                              <w:suppressAutoHyphens w:val="1"/>
                              <w:spacing w:line="280" w:lineRule="exact"/>
                              <w:ind w:left="737" w:right="0" w:hanging="527"/>
                              <w:jc w:val="left"/>
                              <w:textAlignment w:val="baseline"/>
                              <w:rPr>
                                <w:rFonts w:hint="default" w:ascii="ＭＳ ゴシック" w:hAnsi="ＭＳ ゴシック" w:eastAsia="ＭＳ ゴシック"/>
                                <w:color w:val="000000"/>
                              </w:rPr>
                            </w:pP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48"/>
                              <w:suppressAutoHyphens w:val="1"/>
                              <w:spacing w:line="280" w:lineRule="exact"/>
                              <w:ind w:left="737" w:right="0" w:hanging="527"/>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申請のとおり相違ないことを認定します。</w:t>
                            </w:r>
                          </w:p>
                          <w:p>
                            <w:pPr>
                              <w:pStyle w:val="48"/>
                              <w:suppressAutoHyphens w:val="1"/>
                              <w:spacing w:line="280" w:lineRule="exact"/>
                              <w:ind w:left="737" w:right="0" w:hanging="527"/>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（注）本認定書の有効期間：</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日から</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日まで</w:t>
                            </w:r>
                          </w:p>
                          <w:p>
                            <w:pPr>
                              <w:pStyle w:val="48"/>
                              <w:suppressAutoHyphens w:val="1"/>
                              <w:spacing w:line="280" w:lineRule="exact"/>
                              <w:ind w:left="735" w:right="0" w:firstLine="6090"/>
                              <w:jc w:val="left"/>
                              <w:textAlignment w:val="baseline"/>
                              <w:rPr>
                                <w:rFonts w:hint="default" w:ascii="ＭＳ ゴシック" w:hAnsi="ＭＳ ゴシック" w:eastAsia="ＭＳ ゴシック"/>
                                <w:color w:val="000000"/>
                              </w:rPr>
                            </w:pPr>
                          </w:p>
                          <w:p>
                            <w:pPr>
                              <w:pStyle w:val="48"/>
                              <w:suppressAutoHyphens w:val="1"/>
                              <w:spacing w:line="280" w:lineRule="exact"/>
                              <w:ind w:left="0" w:right="0" w:firstLine="609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八街市長　　北村　新司</w:t>
                            </w:r>
                          </w:p>
                          <w:p>
                            <w:pPr>
                              <w:pStyle w:val="48"/>
                              <w:suppressAutoHyphens w:val="1"/>
                              <w:spacing w:line="280" w:lineRule="exact"/>
                              <w:ind w:left="1230" w:right="0" w:hanging="123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（留意事項）</w:t>
                            </w:r>
                          </w:p>
                          <w:p>
                            <w:pPr>
                              <w:pStyle w:val="48"/>
                              <w:suppressAutoHyphens w:val="1"/>
                              <w:spacing w:line="28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本認定とは別に、金融機関及び信用保証協会による金融上の審査があります。</w:t>
                            </w:r>
                          </w:p>
                          <w:p>
                            <w:pPr>
                              <w:pStyle w:val="48"/>
                              <w:suppressAutoHyphens w:val="1"/>
                              <w:spacing w:line="280" w:lineRule="exact"/>
                              <w:ind w:left="561" w:right="0" w:hanging="561"/>
                              <w:jc w:val="left"/>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　市町村長又は特別区長から認定を受けた後、本認定の有効期間内に金融機関又は信用保証協会に対して、経営安定関連保証の申込みを行うことが必要です。</w:t>
                            </w:r>
                          </w:p>
                        </w:txbxContent>
                      </v:textbox>
                      <v:imagedata o:title=""/>
                      <w10:wrap type="none" anchorx="text" anchory="text"/>
                    </v:shape>
                  </w:pict>
                </mc:Fallback>
              </mc:AlternateContent>
            </w:r>
            <w:r>
              <w:rPr>
                <w:rFonts w:hint="default" w:ascii="ＭＳ ゴシック" w:hAnsi="ＭＳ ゴシック" w:eastAsia="ＭＳ ゴシック"/>
                <w:color w:val="000000"/>
              </w:rPr>
              <w:t>　ｂ２：Ｂ２の期間に対応する前年３か月間の全体の売上高</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tc>
      </w:tr>
    </w:tbl>
    <w:p>
      <w:pPr>
        <w:pStyle w:val="0"/>
        <w:suppressAutoHyphens w:val="1"/>
        <w:spacing w:line="320" w:lineRule="exact"/>
        <w:ind w:left="737" w:right="0" w:hanging="737"/>
        <w:jc w:val="right"/>
        <w:textAlignment w:val="baseline"/>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suppressAutoHyphens w:val="1"/>
        <w:spacing w:line="320" w:lineRule="exact"/>
        <w:ind w:left="737" w:right="0" w:hanging="737"/>
        <w:jc w:val="right"/>
        <w:textAlignment w:val="baseline"/>
        <w:rPr>
          <w:rFonts w:hint="default" w:ascii="ＭＳ ゴシック" w:hAnsi="ＭＳ ゴシック" w:eastAsia="ＭＳ ゴシック"/>
          <w:color w:val="000000"/>
          <w:sz w:val="24"/>
        </w:rPr>
      </w:pPr>
    </w:p>
    <w:p>
      <w:pPr>
        <w:rPr>
          <w:rFonts w:hint="default" w:ascii="ＭＳ ゴシック" w:hAnsi="ＭＳ ゴシック" w:eastAsia="ＭＳ ゴシック"/>
          <w:color w:val="000000"/>
        </w:rPr>
        <w:sectPr>
          <w:footerReference r:id="rId5" w:type="default"/>
          <w:pgSz w:w="11906" w:h="16838"/>
          <w:pgMar w:top="288" w:right="850" w:bottom="291" w:left="1134" w:header="0" w:footer="0" w:gutter="0"/>
          <w:cols w:space="720"/>
          <w:formProt w:val="0"/>
          <w:textDirection w:val="lrTb"/>
          <w:docGrid w:linePitch="360"/>
        </w:sectPr>
      </w:pPr>
    </w:p>
    <w:p>
      <w:pPr>
        <w:pStyle w:val="0"/>
        <w:suppressAutoHyphens w:val="1"/>
        <w:spacing w:line="306" w:lineRule="exact"/>
        <w:jc w:val="left"/>
        <w:textAlignment w:val="baseline"/>
        <w:rPr>
          <w:rFonts w:hint="default"/>
        </w:rPr>
      </w:pPr>
    </w:p>
    <w:sectPr>
      <w:footerReference r:id="rId6" w:type="default"/>
      <w:pgSz w:w="11906" w:h="16838"/>
      <w:pgMar w:top="1985" w:right="1701" w:bottom="1701" w:left="1701" w:header="0" w:footer="992" w:gutter="0"/>
      <w:cols w:space="720"/>
      <w:formProt w:val="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rPr>
        <w:rFonts w:hint="default"/>
      </w:rPr>
    </w:pP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sz w:val="21"/>
      </w:rPr>
    </w:rPrDefault>
  </w:docDefaults>
  <w:style w:type="paragraph" w:styleId="0" w:default="1">
    <w:name w:val="Normal"/>
    <w:next w:val="0"/>
    <w:link w:val="0"/>
    <w:uiPriority w:val="0"/>
    <w:qFormat/>
    <w:pPr>
      <w:widowControl w:val="0"/>
      <w:kinsoku w:val="1"/>
      <w:overflowPunct w:val="1"/>
      <w:autoSpaceDE w:val="1"/>
      <w:jc w:val="both"/>
    </w:pPr>
    <w:rPr>
      <w:rFonts w:ascii="Century" w:hAnsi="Century"/>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eading 1"/>
    <w:basedOn w:val="0"/>
    <w:next w:val="15"/>
    <w:link w:val="0"/>
    <w:uiPriority w:val="0"/>
    <w:qFormat/>
    <w:pPr>
      <w:keepNext w:val="1"/>
      <w:numPr>
        <w:numId w:val="0"/>
      </w:numPr>
      <w:outlineLvl w:val="0"/>
    </w:pPr>
    <w:rPr>
      <w:rFonts w:ascii="Arial" w:hAnsi="Arial" w:eastAsia="ＭＳ ゴシック"/>
      <w:sz w:val="24"/>
    </w:rPr>
  </w:style>
  <w:style w:type="paragraph" w:styleId="16" w:customStyle="1">
    <w:name w:val="Heading 2"/>
    <w:basedOn w:val="0"/>
    <w:next w:val="16"/>
    <w:link w:val="0"/>
    <w:uiPriority w:val="0"/>
    <w:qFormat/>
    <w:pPr>
      <w:keepNext w:val="1"/>
      <w:numPr>
        <w:numId w:val="0"/>
      </w:numPr>
      <w:outlineLvl w:val="1"/>
    </w:pPr>
    <w:rPr>
      <w:rFonts w:ascii="Arial" w:hAnsi="Arial" w:eastAsia="ＭＳ ゴシック"/>
    </w:rPr>
  </w:style>
  <w:style w:type="character" w:styleId="17" w:customStyle="1">
    <w:name w:val="見出し 1 (文字)"/>
    <w:basedOn w:val="10"/>
    <w:next w:val="17"/>
    <w:link w:val="0"/>
    <w:uiPriority w:val="0"/>
    <w:qFormat/>
    <w:rPr>
      <w:rFonts w:ascii="Arial" w:hAnsi="Arial" w:eastAsia="ＭＳ ゴシック"/>
      <w:sz w:val="24"/>
    </w:rPr>
  </w:style>
  <w:style w:type="character" w:styleId="18" w:customStyle="1">
    <w:name w:val="見出し 2 (文字)"/>
    <w:basedOn w:val="10"/>
    <w:next w:val="18"/>
    <w:link w:val="0"/>
    <w:uiPriority w:val="0"/>
    <w:qFormat/>
    <w:rPr>
      <w:rFonts w:ascii="Arial" w:hAnsi="Arial" w:eastAsia="ＭＳ ゴシック"/>
    </w:rPr>
  </w:style>
  <w:style w:type="character" w:styleId="19" w:customStyle="1">
    <w:name w:val="ヘッダー (文字)"/>
    <w:basedOn w:val="10"/>
    <w:next w:val="19"/>
    <w:link w:val="0"/>
    <w:uiPriority w:val="0"/>
    <w:qFormat/>
  </w:style>
  <w:style w:type="character" w:styleId="20" w:customStyle="1">
    <w:name w:val="フッター (文字)"/>
    <w:basedOn w:val="10"/>
    <w:next w:val="20"/>
    <w:link w:val="0"/>
    <w:uiPriority w:val="0"/>
    <w:qFormat/>
  </w:style>
  <w:style w:type="character" w:styleId="21" w:customStyle="1">
    <w:name w:val="吹き出し (文字)"/>
    <w:basedOn w:val="10"/>
    <w:next w:val="21"/>
    <w:link w:val="0"/>
    <w:uiPriority w:val="0"/>
    <w:qFormat/>
    <w:rPr>
      <w:rFonts w:ascii="Arial" w:hAnsi="Arial" w:eastAsia="ＭＳ ゴシック"/>
      <w:sz w:val="18"/>
    </w:rPr>
  </w:style>
  <w:style w:type="character" w:styleId="22">
    <w:name w:val="Placeholder Text"/>
    <w:basedOn w:val="10"/>
    <w:next w:val="22"/>
    <w:link w:val="0"/>
    <w:uiPriority w:val="0"/>
    <w:qFormat/>
    <w:rPr>
      <w:color w:val="808080"/>
    </w:rPr>
  </w:style>
  <w:style w:type="character" w:styleId="23">
    <w:name w:val="annotation reference"/>
    <w:basedOn w:val="10"/>
    <w:next w:val="23"/>
    <w:link w:val="0"/>
    <w:uiPriority w:val="0"/>
    <w:semiHidden/>
    <w:qFormat/>
    <w:rPr>
      <w:sz w:val="18"/>
    </w:rPr>
  </w:style>
  <w:style w:type="character" w:styleId="24" w:customStyle="1">
    <w:name w:val="コメント文字列 (文字)"/>
    <w:basedOn w:val="10"/>
    <w:next w:val="24"/>
    <w:link w:val="0"/>
    <w:uiPriority w:val="0"/>
    <w:qFormat/>
  </w:style>
  <w:style w:type="character" w:styleId="25" w:customStyle="1">
    <w:name w:val="コメント内容 (文字)"/>
    <w:basedOn w:val="24"/>
    <w:next w:val="25"/>
    <w:link w:val="0"/>
    <w:uiPriority w:val="0"/>
    <w:qFormat/>
    <w:rPr>
      <w:b w:val="1"/>
    </w:rPr>
  </w:style>
  <w:style w:type="character" w:styleId="26">
    <w:name w:val="page number"/>
    <w:basedOn w:val="10"/>
    <w:next w:val="26"/>
    <w:link w:val="0"/>
    <w:uiPriority w:val="0"/>
    <w:qFormat/>
  </w:style>
  <w:style w:type="character" w:styleId="27" w:customStyle="1">
    <w:name w:val="日付 (文字)"/>
    <w:basedOn w:val="10"/>
    <w:next w:val="27"/>
    <w:link w:val="0"/>
    <w:uiPriority w:val="0"/>
    <w:qFormat/>
    <w:rPr>
      <w:rFonts w:ascii="Century" w:hAnsi="Century"/>
    </w:rPr>
  </w:style>
  <w:style w:type="character" w:styleId="28" w:customStyle="1">
    <w:name w:val="書式なし (文字)"/>
    <w:basedOn w:val="10"/>
    <w:next w:val="28"/>
    <w:link w:val="0"/>
    <w:uiPriority w:val="0"/>
    <w:qFormat/>
    <w:rPr>
      <w:rFonts w:ascii="ＭＳ ゴシック" w:hAnsi="ＭＳ ゴシック" w:eastAsia="ＭＳ ゴシック"/>
      <w:sz w:val="20"/>
    </w:rPr>
  </w:style>
  <w:style w:type="character" w:styleId="29" w:customStyle="1">
    <w:name w:val="記 (文字)"/>
    <w:basedOn w:val="10"/>
    <w:next w:val="29"/>
    <w:link w:val="0"/>
    <w:uiPriority w:val="0"/>
    <w:qFormat/>
    <w:rPr>
      <w:rFonts w:ascii="ＭＳ ゴシック" w:hAnsi="ＭＳ ゴシック" w:eastAsia="ＭＳ ゴシック"/>
      <w:color w:val="000000"/>
    </w:rPr>
  </w:style>
  <w:style w:type="character" w:styleId="30" w:customStyle="1">
    <w:name w:val="結語 (文字)"/>
    <w:basedOn w:val="10"/>
    <w:next w:val="30"/>
    <w:link w:val="0"/>
    <w:uiPriority w:val="0"/>
    <w:qFormat/>
    <w:rPr>
      <w:rFonts w:ascii="ＭＳ ゴシック" w:hAnsi="ＭＳ ゴシック" w:eastAsia="ＭＳ ゴシック"/>
      <w:color w:val="000000"/>
    </w:rPr>
  </w:style>
  <w:style w:type="paragraph" w:styleId="31" w:customStyle="1">
    <w:name w:val="Heading"/>
    <w:basedOn w:val="0"/>
    <w:next w:val="32"/>
    <w:link w:val="0"/>
    <w:uiPriority w:val="0"/>
    <w:qFormat/>
    <w:pPr>
      <w:keepNext w:val="1"/>
      <w:spacing w:before="240" w:beforeLines="0" w:beforeAutospacing="0" w:after="120" w:afterLines="0" w:afterAutospacing="0"/>
    </w:pPr>
    <w:rPr>
      <w:rFonts w:ascii="Liberation Sans" w:hAnsi="Liberation Sans"/>
      <w:sz w:val="28"/>
    </w:rPr>
  </w:style>
  <w:style w:type="paragraph" w:styleId="32">
    <w:name w:val="Body Text"/>
    <w:basedOn w:val="0"/>
    <w:next w:val="32"/>
    <w:link w:val="0"/>
    <w:uiPriority w:val="0"/>
    <w:pPr>
      <w:spacing w:before="0" w:beforeLines="0" w:beforeAutospacing="0" w:after="140" w:afterLines="0" w:afterAutospacing="0" w:line="288" w:lineRule="auto"/>
    </w:pPr>
  </w:style>
  <w:style w:type="paragraph" w:styleId="33">
    <w:name w:val="List"/>
    <w:basedOn w:val="32"/>
    <w:next w:val="33"/>
    <w:link w:val="0"/>
    <w:uiPriority w:val="0"/>
  </w:style>
  <w:style w:type="paragraph" w:styleId="34" w:customStyle="1">
    <w:name w:val="Caption"/>
    <w:basedOn w:val="0"/>
    <w:next w:val="34"/>
    <w:link w:val="0"/>
    <w:uiPriority w:val="0"/>
    <w:qFormat/>
    <w:pPr>
      <w:suppressLineNumbers w:val="1"/>
      <w:spacing w:before="120" w:beforeLines="0" w:beforeAutospacing="0" w:after="120" w:afterLines="0" w:afterAutospacing="0"/>
    </w:pPr>
    <w:rPr>
      <w:i w:val="1"/>
      <w:sz w:val="24"/>
    </w:rPr>
  </w:style>
  <w:style w:type="paragraph" w:styleId="35" w:customStyle="1">
    <w:name w:val="Index"/>
    <w:basedOn w:val="0"/>
    <w:next w:val="35"/>
    <w:link w:val="0"/>
    <w:uiPriority w:val="0"/>
    <w:qFormat/>
    <w:pPr>
      <w:suppressLineNumbers w:val="1"/>
    </w:pPr>
  </w:style>
  <w:style w:type="paragraph" w:styleId="36">
    <w:name w:val="TOC Heading"/>
    <w:basedOn w:val="15"/>
    <w:next w:val="36"/>
    <w:link w:val="0"/>
    <w:uiPriority w:val="0"/>
    <w:qFormat/>
  </w:style>
  <w:style w:type="paragraph" w:styleId="37" w:customStyle="1">
    <w:name w:val="Header"/>
    <w:basedOn w:val="0"/>
    <w:next w:val="37"/>
    <w:link w:val="0"/>
    <w:uiPriority w:val="0"/>
    <w:pPr>
      <w:tabs>
        <w:tab w:val="center" w:leader="none" w:pos="4252"/>
        <w:tab w:val="right" w:leader="none" w:pos="8504"/>
      </w:tabs>
      <w:snapToGrid w:val="0"/>
    </w:pPr>
  </w:style>
  <w:style w:type="paragraph" w:styleId="38" w:customStyle="1">
    <w:name w:val="Footer"/>
    <w:basedOn w:val="0"/>
    <w:next w:val="38"/>
    <w:link w:val="0"/>
    <w:uiPriority w:val="0"/>
    <w:pPr>
      <w:tabs>
        <w:tab w:val="center" w:leader="none" w:pos="4252"/>
        <w:tab w:val="right" w:leader="none" w:pos="8504"/>
      </w:tabs>
      <w:snapToGrid w:val="0"/>
    </w:pPr>
  </w:style>
  <w:style w:type="paragraph" w:styleId="39">
    <w:name w:val="Balloon Text"/>
    <w:basedOn w:val="0"/>
    <w:next w:val="39"/>
    <w:link w:val="0"/>
    <w:uiPriority w:val="0"/>
    <w:semiHidden/>
    <w:qFormat/>
    <w:rPr>
      <w:rFonts w:ascii="Arial" w:hAnsi="Arial" w:eastAsia="ＭＳ ゴシック"/>
      <w:sz w:val="18"/>
    </w:rPr>
  </w:style>
  <w:style w:type="paragraph" w:styleId="40">
    <w:name w:val="annotation text"/>
    <w:basedOn w:val="0"/>
    <w:next w:val="40"/>
    <w:link w:val="0"/>
    <w:uiPriority w:val="0"/>
    <w:semiHidden/>
    <w:qFormat/>
    <w:pPr>
      <w:jc w:val="left"/>
    </w:pPr>
  </w:style>
  <w:style w:type="paragraph" w:styleId="41">
    <w:name w:val="annotation subject"/>
    <w:basedOn w:val="40"/>
    <w:next w:val="41"/>
    <w:link w:val="0"/>
    <w:uiPriority w:val="0"/>
    <w:semiHidden/>
    <w:qFormat/>
    <w:rPr>
      <w:b w:val="1"/>
    </w:rPr>
  </w:style>
  <w:style w:type="paragraph" w:styleId="42">
    <w:name w:val="Revision"/>
    <w:next w:val="42"/>
    <w:link w:val="0"/>
    <w:uiPriority w:val="0"/>
    <w:qFormat/>
    <w:pPr>
      <w:widowControl w:val="1"/>
      <w:kinsoku w:val="1"/>
      <w:overflowPunct w:val="1"/>
      <w:autoSpaceDE w:val="1"/>
      <w:jc w:val="left"/>
    </w:pPr>
    <w:rPr>
      <w:rFonts w:ascii="Century" w:hAnsi="Century"/>
      <w:color w:val="auto"/>
      <w:sz w:val="21"/>
    </w:rPr>
  </w:style>
  <w:style w:type="paragraph" w:styleId="43">
    <w:name w:val="List Paragraph"/>
    <w:basedOn w:val="0"/>
    <w:next w:val="43"/>
    <w:link w:val="0"/>
    <w:uiPriority w:val="0"/>
    <w:qFormat/>
    <w:pPr>
      <w:ind w:left="840" w:right="0" w:firstLine="0"/>
    </w:pPr>
    <w:rPr>
      <w:rFonts w:ascii="Century" w:hAnsi="Century"/>
    </w:rPr>
  </w:style>
  <w:style w:type="paragraph" w:styleId="44">
    <w:name w:val="Date"/>
    <w:basedOn w:val="0"/>
    <w:next w:val="44"/>
    <w:link w:val="0"/>
    <w:uiPriority w:val="0"/>
    <w:qFormat/>
    <w:rPr>
      <w:rFonts w:ascii="Century" w:hAnsi="Century"/>
    </w:rPr>
  </w:style>
  <w:style w:type="paragraph" w:styleId="45">
    <w:name w:val="Plain Text"/>
    <w:basedOn w:val="0"/>
    <w:next w:val="45"/>
    <w:link w:val="0"/>
    <w:uiPriority w:val="0"/>
    <w:qFormat/>
    <w:pPr>
      <w:jc w:val="left"/>
    </w:pPr>
    <w:rPr>
      <w:rFonts w:ascii="ＭＳ ゴシック" w:hAnsi="ＭＳ ゴシック" w:eastAsia="ＭＳ ゴシック"/>
      <w:sz w:val="20"/>
    </w:rPr>
  </w:style>
  <w:style w:type="paragraph" w:styleId="46">
    <w:name w:val="Note Heading"/>
    <w:basedOn w:val="0"/>
    <w:next w:val="46"/>
    <w:link w:val="0"/>
    <w:uiPriority w:val="0"/>
    <w:qFormat/>
    <w:pPr>
      <w:jc w:val="center"/>
    </w:pPr>
    <w:rPr>
      <w:rFonts w:ascii="ＭＳ ゴシック" w:hAnsi="ＭＳ ゴシック" w:eastAsia="ＭＳ ゴシック"/>
      <w:color w:val="000000"/>
    </w:rPr>
  </w:style>
  <w:style w:type="paragraph" w:styleId="47">
    <w:name w:val="Closing"/>
    <w:basedOn w:val="0"/>
    <w:next w:val="47"/>
    <w:link w:val="0"/>
    <w:uiPriority w:val="0"/>
    <w:qFormat/>
    <w:pPr>
      <w:jc w:val="right"/>
    </w:pPr>
    <w:rPr>
      <w:rFonts w:ascii="ＭＳ ゴシック" w:hAnsi="ＭＳ ゴシック" w:eastAsia="ＭＳ ゴシック"/>
      <w:color w:val="000000"/>
    </w:rPr>
  </w:style>
  <w:style w:type="paragraph" w:styleId="48" w:customStyle="1">
    <w:name w:val="Frame Contents"/>
    <w:basedOn w:val="0"/>
    <w:next w:val="48"/>
    <w:link w:val="0"/>
    <w:uiPriority w:val="0"/>
    <w:qFormat/>
  </w:style>
  <w:style w:type="paragraph" w:styleId="49" w:customStyle="1">
    <w:name w:val="Table Contents"/>
    <w:basedOn w:val="0"/>
    <w:next w:val="49"/>
    <w:link w:val="0"/>
    <w:uiPriority w:val="0"/>
    <w:qFormat/>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2</Pages>
  <Words>3</Words>
  <Characters>1211</Characters>
  <Application>JUST Note</Application>
  <Lines>76</Lines>
  <Paragraphs>47</Paragraphs>
  <Company>経済産業省</Company>
  <CharactersWithSpaces>1859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2020-03-09T02:40:52Z</cp:lastPrinted>
  <dcterms:created xsi:type="dcterms:W3CDTF">2012-10-18T04:08:00Z</dcterms:created>
  <dcterms:modified xsi:type="dcterms:W3CDTF">2024-08-21T05:24:18Z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14.0000</vt:lpwstr>
  </property>
  <property fmtid="{D5CDD505-2E9C-101B-9397-08002B2CF9AE}" pid="3" name="Company">
    <vt:lpwstr>経済産業省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