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介護報酬算定に係る体制等に関する届出について</w:t>
      </w:r>
    </w:p>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（認知</w:t>
      </w:r>
      <w:bookmarkStart w:id="0" w:name="_GoBack"/>
      <w:bookmarkEnd w:id="0"/>
      <w:r>
        <w:rPr>
          <w:rFonts w:hint="eastAsia" w:ascii="HG丸ｺﾞｼｯｸM-PRO" w:hAnsi="HG丸ｺﾞｼｯｸM-PRO" w:eastAsia="HG丸ｺﾞｼｯｸM-PRO"/>
          <w:sz w:val="28"/>
        </w:rPr>
        <w:t>症対応型通所介護）</w:t>
      </w:r>
    </w:p>
    <w:p>
      <w:pPr>
        <w:pStyle w:val="0"/>
        <w:snapToGrid w:val="0"/>
        <w:rPr>
          <w:rFonts w:hint="eastAsia" w:ascii="HG丸ｺﾞｼｯｸM-PRO" w:hAnsi="HG丸ｺﾞｼｯｸM-PRO" w:eastAsia="HG丸ｺﾞｼｯｸM-PRO"/>
          <w:sz w:val="28"/>
        </w:rPr>
      </w:pPr>
    </w:p>
    <w:p>
      <w:pPr>
        <w:pStyle w:val="0"/>
        <w:snapToGrid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【提出書類】</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・介護給付費算定に係る体制等に関する届出書（別紙</w:t>
      </w:r>
      <w:r>
        <w:rPr>
          <w:rFonts w:hint="eastAsia" w:ascii="HG丸ｺﾞｼｯｸM-PRO" w:hAnsi="HG丸ｺﾞｼｯｸM-PRO" w:eastAsia="HG丸ｺﾞｼｯｸM-PRO"/>
          <w:strike w:val="0"/>
          <w:color w:val="000000"/>
          <w:sz w:val="21"/>
          <w:u w:val="none" w:color="auto"/>
        </w:rPr>
        <w:t>３－２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１－３</w:t>
      </w:r>
      <w:r>
        <w:rPr>
          <w:rFonts w:hint="default" w:ascii="HG丸ｺﾞｼｯｸM-PRO" w:hAnsi="HG丸ｺﾞｼｯｸM-PRO" w:eastAsia="HG丸ｺﾞｼｯｸM-PRO"/>
          <w:strike w:val="0"/>
          <w:color w:val="000000"/>
          <w:sz w:val="21"/>
          <w:u w:val="none" w:color="auto"/>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trike w:val="0"/>
          <w:color w:val="000000"/>
          <w:sz w:val="21"/>
          <w:u w:val="none" w:color="auto"/>
        </w:rPr>
        <w:t>・以下の添付書類</w:t>
      </w:r>
    </w:p>
    <w:tbl>
      <w:tblPr>
        <w:tblStyle w:val="17"/>
        <w:tblW w:w="0" w:type="auto"/>
        <w:tblInd w:w="0" w:type="dxa"/>
        <w:tblLayout w:type="fixed"/>
        <w:tblLook w:firstRow="1" w:lastRow="0" w:firstColumn="1" w:lastColumn="0" w:noHBand="0" w:noVBand="1" w:val="04A0"/>
      </w:tblPr>
      <w:tblGrid>
        <w:gridCol w:w="3565"/>
        <w:gridCol w:w="4939"/>
      </w:tblGrid>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職員の欠員による減算の状況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減算・減算の解消</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※人員欠如が生じた月（解消した場合は解消した月）のもの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減算の解消についても、前月</w:t>
            </w:r>
            <w:r>
              <w:rPr>
                <w:rFonts w:hint="eastAsia" w:ascii="HG丸ｺﾞｼｯｸM-PRO" w:hAnsi="HG丸ｺﾞｼｯｸM-PRO" w:eastAsia="HG丸ｺﾞｼｯｸM-PRO"/>
                <w:sz w:val="21"/>
                <w:u w:val="single" w:color="auto"/>
              </w:rPr>
              <w:t>15</w:t>
            </w:r>
            <w:r>
              <w:rPr>
                <w:rFonts w:hint="eastAsia" w:ascii="HG丸ｺﾞｼｯｸM-PRO" w:hAnsi="HG丸ｺﾞｼｯｸM-PRO" w:eastAsia="HG丸ｺﾞｼｯｸM-PRO"/>
                <w:sz w:val="21"/>
                <w:u w:val="single" w:color="auto"/>
              </w:rPr>
              <w:t>日が締切りです。締切りに間に合わない場合、翌々月からの減算解消となります。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算定している加算で、人員欠如に該当していないことを要件とする加算は、取下げの届出をしてください。</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時間延長サービス体制</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・勤務形態一覧表（別紙７）（延長時に対応できる職員がわかるように）※</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・運営規程（延長サービス対応時間をサービス提供時間の項目に記載）</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入浴介助加算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・平面図（別紙６）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・写真（風呂周辺）</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生活機能向上連携加算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個別機能訓練加算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※機能訓練指導員のみ</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※はり師及びきゅう師の場合のみ</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＊個別機能訓練加算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を算定する場合、</w:t>
            </w:r>
            <w:r>
              <w:rPr>
                <w:rFonts w:hint="eastAsia" w:ascii="HG丸ｺﾞｼｯｸM-PRO" w:hAnsi="HG丸ｺﾞｼｯｸM-PRO" w:eastAsia="HG丸ｺﾞｼｯｸM-PRO"/>
                <w:sz w:val="21"/>
                <w:u w:val="single" w:color="auto"/>
              </w:rPr>
              <w:t>「個別機能訓練加算</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Ⅰ</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イ又は</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Ⅰ</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ロ」の届出</w:t>
            </w:r>
            <w:r>
              <w:rPr>
                <w:rFonts w:hint="eastAsia" w:ascii="HG丸ｺﾞｼｯｸM-PRO" w:hAnsi="HG丸ｺﾞｼｯｸM-PRO" w:eastAsia="HG丸ｺﾞｼｯｸM-PRO"/>
                <w:sz w:val="21"/>
                <w:u w:val="single" w:color="auto"/>
                <w:vertAlign w:val="superscript"/>
              </w:rPr>
              <w:t>※</w:t>
            </w:r>
            <w:r>
              <w:rPr>
                <w:rFonts w:hint="eastAsia" w:ascii="HG丸ｺﾞｼｯｸM-PRO" w:hAnsi="HG丸ｺﾞｼｯｸM-PRO" w:eastAsia="HG丸ｺﾞｼｯｸM-PRO"/>
                <w:sz w:val="21"/>
              </w:rPr>
              <w:t>と併せて「ＬＩＦＥへの登録」の届出を行ってください。※既に届出済の場合は不要</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ＡＤＬ維持等加算（申出）</w:t>
            </w:r>
          </w:p>
        </w:tc>
        <w:tc>
          <w:tcPr>
            <w:tcW w:w="4939" w:type="dxa"/>
            <w:vAlign w:val="top"/>
          </w:tcPr>
          <w:p>
            <w:pPr>
              <w:pStyle w:val="0"/>
              <w:snapToGrid w:val="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【提出期限】</w:t>
            </w:r>
          </w:p>
          <w:p>
            <w:pPr>
              <w:pStyle w:val="0"/>
              <w:snapToGrid w:val="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評価対象期間の初月の前月</w:t>
            </w:r>
            <w:r>
              <w:rPr>
                <w:rFonts w:hint="eastAsia" w:ascii="HG丸ｺﾞｼｯｸM-PRO" w:hAnsi="HG丸ｺﾞｼｯｸM-PRO" w:eastAsia="HG丸ｺﾞｼｯｸM-PRO"/>
                <w:sz w:val="21"/>
              </w:rPr>
              <w:t>15</w:t>
            </w:r>
            <w:r>
              <w:rPr>
                <w:rFonts w:hint="eastAsia" w:ascii="HG丸ｺﾞｼｯｸM-PRO" w:hAnsi="HG丸ｺﾞｼｯｸM-PRO" w:eastAsia="HG丸ｺﾞｼｯｸM-PRO"/>
                <w:sz w:val="21"/>
              </w:rPr>
              <w:t>日まで</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若年性認知症利用者受入加算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栄養アセスメント加算・栄養改善加算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※外部の事業所との連携による場合は不要</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口腔機能向上加算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p>
        </w:tc>
        <w:tc>
          <w:tcPr>
            <w:tcW w:w="4939" w:type="dxa"/>
            <w:vAlign w:val="top"/>
          </w:tcPr>
          <w:p>
            <w:pPr>
              <w:pStyle w:val="0"/>
              <w:snapToGrid w:val="0"/>
              <w:ind w:left="220" w:right="0" w:hanging="22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を算定する場合は、併せて「</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への登録」の届出も行ってください。</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＊既に</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を算定している事業所が新たに</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の届出を行う場合は「</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への登録」の届出のみ</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科学的介護推進体制加算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への登録」の届出も必要です。</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Ⅲ</w:t>
            </w:r>
            <w:r>
              <w:rPr>
                <w:rFonts w:hint="eastAsia" w:ascii="HG丸ｺﾞｼｯｸM-PRO" w:hAnsi="HG丸ｺﾞｼｯｸM-PRO" w:eastAsia="HG丸ｺﾞｼｯｸM-PRO"/>
                <w:sz w:val="21"/>
              </w:rPr>
              <w:t>)</w:t>
            </w:r>
          </w:p>
        </w:tc>
        <w:tc>
          <w:tcPr>
            <w:tcW w:w="4939" w:type="dxa"/>
            <w:vAlign w:val="top"/>
          </w:tcPr>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・サービス提供体制強化加算に関する届出書（別紙１４－３）</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前年度の４月から翌年２月（１１カ月間）までのもの。</w:t>
            </w:r>
            <w:r>
              <w:rPr>
                <w:rFonts w:hint="eastAsia" w:ascii="HG丸ｺﾞｼｯｸM-PRO" w:hAnsi="HG丸ｺﾞｼｯｸM-PRO" w:eastAsia="HG丸ｺﾞｼｯｸM-PRO"/>
                <w:sz w:val="21"/>
              </w:rPr>
              <w:t>（運営実績が６か月未満の場合は届出日の属する月の前３か月分。）</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有資格者の割合でみる場合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勤続年数１０年以上の要件でみる場合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有資格者の割合でみる場合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・有資格者の資格証の写し　</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勤続年数７年以上の要件でみる場合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tc>
      </w:tr>
    </w:tbl>
    <w:p>
      <w:pPr>
        <w:pStyle w:val="0"/>
        <w:autoSpaceDE w:val="0"/>
        <w:autoSpaceDN w:val="0"/>
        <w:adjustRightInd w:val="0"/>
        <w:snapToGrid w:val="0"/>
        <w:rPr>
          <w:rFonts w:hint="eastAsia" w:ascii="HG丸ｺﾞｼｯｸM-PRO" w:hAnsi="HG丸ｺﾞｼｯｸM-PRO" w:eastAsia="HG丸ｺﾞｼｯｸM-PRO"/>
          <w:sz w:val="21"/>
        </w:rPr>
      </w:pPr>
    </w:p>
    <w:p>
      <w:pPr>
        <w:pStyle w:val="0"/>
        <w:autoSpaceDE w:val="0"/>
        <w:autoSpaceDN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※上記に掲げる以外にも確認のために書類等の提出を求めることがあります。</w:t>
      </w:r>
    </w:p>
    <w:p>
      <w:pPr>
        <w:pStyle w:val="0"/>
        <w:rPr>
          <w:rFonts w:hint="eastAsia"/>
          <w:sz w:val="21"/>
        </w:rPr>
      </w:pP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6</Words>
  <Characters>1054</Characters>
  <Application>JUST Note</Application>
  <Lines>74</Lines>
  <Paragraphs>49</Paragraphs>
  <Company>八街市</Company>
  <CharactersWithSpaces>1064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2022-03-23T06:48:29Z</cp:lastPrinted>
  <dcterms:created xsi:type="dcterms:W3CDTF">2022-03-22T02:21:00Z</dcterms:created>
  <dcterms:modified xsi:type="dcterms:W3CDTF">2025-04-07T05:59:14Z</dcterms:modified>
  <cp:revision>10</cp:revision>
</cp:coreProperties>
</file>