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napToGrid w:val="0"/>
        <w:ind w:leftChars="0" w:firstLine="0" w:firstLineChars="0"/>
        <w:rPr>
          <w:rFonts w:hint="eastAsia" w:asciiTheme="majorEastAsia" w:hAnsiTheme="majorEastAsia" w:eastAsiaTheme="majorEastAsia"/>
          <w:b w:val="1"/>
          <w:sz w:val="36"/>
        </w:rPr>
      </w:pPr>
      <w:r>
        <w:rPr>
          <w:rFonts w:hint="eastAsia" w:asciiTheme="majorEastAsia" w:hAnsiTheme="majorEastAsia" w:eastAsiaTheme="majorEastAsia"/>
          <w:b w:val="1"/>
          <w:sz w:val="36"/>
        </w:rPr>
        <w:t>八街市指定地域密着型サービス事業所</w:t>
      </w:r>
    </w:p>
    <w:p>
      <w:pPr>
        <w:pStyle w:val="0"/>
        <w:snapToGrid w:val="0"/>
        <w:ind w:leftChars="0" w:firstLine="0" w:firstLineChars="0"/>
        <w:rPr>
          <w:rFonts w:hint="eastAsia" w:asciiTheme="majorEastAsia" w:hAnsiTheme="majorEastAsia" w:eastAsiaTheme="majorEastAsia"/>
          <w:b w:val="1"/>
          <w:sz w:val="36"/>
        </w:rPr>
      </w:pPr>
      <w:r>
        <w:rPr>
          <w:rFonts w:hint="eastAsia" w:asciiTheme="majorEastAsia" w:hAnsiTheme="majorEastAsia" w:eastAsiaTheme="majorEastAsia"/>
          <w:b w:val="1"/>
          <w:sz w:val="36"/>
        </w:rPr>
        <w:t>八街市指定</w:t>
      </w:r>
      <w:r>
        <w:rPr>
          <w:rFonts w:hint="eastAsia"/>
          <w:sz w:val="36"/>
        </w:rPr>
        <w:t>居宅介護支援事業所</w:t>
      </w:r>
    </w:p>
    <w:p>
      <w:pPr>
        <w:pStyle w:val="0"/>
        <w:snapToGrid w:val="0"/>
        <w:ind w:leftChars="0" w:firstLine="0" w:firstLineChars="0"/>
        <w:rPr>
          <w:rFonts w:hint="eastAsia" w:asciiTheme="majorEastAsia" w:hAnsiTheme="majorEastAsia" w:eastAsiaTheme="majorEastAsia"/>
          <w:b w:val="1"/>
          <w:sz w:val="36"/>
        </w:rPr>
      </w:pPr>
    </w:p>
    <w:p>
      <w:pPr>
        <w:pStyle w:val="0"/>
        <w:snapToGrid w:val="0"/>
        <w:ind w:leftChars="0" w:firstLine="0" w:firstLineChars="0"/>
        <w:rPr>
          <w:rFonts w:hint="eastAsia" w:asciiTheme="majorEastAsia" w:hAnsiTheme="majorEastAsia" w:eastAsiaTheme="majorEastAsia"/>
          <w:b w:val="1"/>
          <w:sz w:val="36"/>
        </w:rPr>
      </w:pPr>
      <w:r>
        <w:rPr>
          <w:rFonts w:hint="eastAsia" w:asciiTheme="majorEastAsia" w:hAnsiTheme="majorEastAsia" w:eastAsiaTheme="majorEastAsia"/>
          <w:b w:val="1"/>
          <w:sz w:val="36"/>
        </w:rPr>
        <w:t>令和２年度集団指導資料</w:t>
      </w:r>
    </w:p>
    <w:p>
      <w:pPr>
        <w:pStyle w:val="0"/>
        <w:snapToGrid w:val="0"/>
        <w:ind w:firstLine="660" w:firstLineChars="300"/>
        <w:rPr>
          <w:rFonts w:hint="eastAsia"/>
          <w:sz w:val="22"/>
        </w:rPr>
      </w:pPr>
      <w:r>
        <w:rPr>
          <w:rFonts w:hint="eastAsia"/>
          <w:sz w:val="22"/>
        </w:rPr>
        <w:t>・地域密着型通所介護</w:t>
      </w:r>
    </w:p>
    <w:p>
      <w:pPr>
        <w:pStyle w:val="0"/>
        <w:snapToGrid w:val="0"/>
        <w:ind w:firstLine="660" w:firstLineChars="300"/>
        <w:rPr>
          <w:rFonts w:hint="eastAsia"/>
          <w:sz w:val="22"/>
        </w:rPr>
      </w:pPr>
      <w:r>
        <w:rPr>
          <w:rFonts w:hint="eastAsia"/>
          <w:sz w:val="22"/>
        </w:rPr>
        <w:t>・認知症対応型通所介護</w:t>
      </w:r>
    </w:p>
    <w:p>
      <w:pPr>
        <w:pStyle w:val="0"/>
        <w:snapToGrid w:val="0"/>
        <w:ind w:firstLine="660" w:firstLineChars="300"/>
        <w:rPr>
          <w:rFonts w:hint="eastAsia"/>
          <w:sz w:val="22"/>
        </w:rPr>
      </w:pPr>
      <w:r>
        <w:rPr>
          <w:rFonts w:hint="eastAsia"/>
          <w:sz w:val="22"/>
        </w:rPr>
        <w:t>・定期巡回・随時対応型訪問介護看護</w:t>
      </w:r>
    </w:p>
    <w:p>
      <w:pPr>
        <w:pStyle w:val="0"/>
        <w:snapToGrid w:val="0"/>
        <w:ind w:firstLine="660" w:firstLineChars="300"/>
        <w:rPr>
          <w:rFonts w:hint="eastAsia"/>
          <w:sz w:val="22"/>
        </w:rPr>
      </w:pPr>
      <w:r>
        <w:rPr>
          <w:rFonts w:hint="eastAsia"/>
          <w:sz w:val="22"/>
        </w:rPr>
        <w:t>・認知症対応型共同生活介護</w:t>
      </w:r>
    </w:p>
    <w:p>
      <w:pPr>
        <w:pStyle w:val="0"/>
        <w:snapToGrid w:val="0"/>
        <w:ind w:firstLine="660" w:firstLineChars="300"/>
        <w:rPr>
          <w:rFonts w:hint="eastAsia"/>
          <w:sz w:val="22"/>
        </w:rPr>
      </w:pPr>
      <w:r>
        <w:rPr>
          <w:rFonts w:hint="eastAsia"/>
          <w:sz w:val="22"/>
        </w:rPr>
        <w:t>・小規模多機能型居宅介護</w:t>
      </w:r>
    </w:p>
    <w:p>
      <w:pPr>
        <w:pStyle w:val="0"/>
        <w:snapToGrid w:val="0"/>
        <w:ind w:firstLine="660" w:firstLineChars="300"/>
        <w:rPr>
          <w:rFonts w:hint="eastAsia"/>
          <w:sz w:val="22"/>
        </w:rPr>
      </w:pPr>
      <w:r>
        <w:rPr>
          <w:rFonts w:hint="eastAsia"/>
          <w:sz w:val="22"/>
        </w:rPr>
        <w:t>・居宅介護支援事業所</w:t>
      </w:r>
    </w:p>
    <w:p>
      <w:pPr>
        <w:pStyle w:val="0"/>
        <w:snapToGrid w:val="0"/>
        <w:rPr>
          <w:rFonts w:hint="eastAsia"/>
          <w:sz w:val="22"/>
        </w:rPr>
      </w:pPr>
    </w:p>
    <w:p>
      <w:pPr>
        <w:pStyle w:val="0"/>
        <w:snapToGrid w:val="0"/>
        <w:rPr>
          <w:rFonts w:hint="eastAsia" w:asciiTheme="majorEastAsia" w:hAnsiTheme="majorEastAsia" w:eastAsiaTheme="majorEastAsia"/>
          <w:b w:val="1"/>
          <w:sz w:val="28"/>
        </w:rPr>
      </w:pPr>
      <w:r>
        <w:rPr>
          <w:rFonts w:hint="eastAsia" w:asciiTheme="majorEastAsia" w:hAnsiTheme="majorEastAsia" w:eastAsiaTheme="majorEastAsia"/>
          <w:b w:val="1"/>
          <w:sz w:val="28"/>
        </w:rPr>
        <w:t>令和３年度介護保険制度改正について</w:t>
      </w:r>
    </w:p>
    <w:p>
      <w:pPr>
        <w:pStyle w:val="0"/>
        <w:snapToGrid w:val="0"/>
        <w:ind w:firstLineChars="0"/>
        <w:rPr>
          <w:rFonts w:hint="eastAsia" w:asciiTheme="minorEastAsia" w:hAnsiTheme="minorEastAsia" w:eastAsiaTheme="minorEastAsia"/>
          <w:sz w:val="22"/>
        </w:rPr>
      </w:pPr>
      <w:r>
        <w:rPr>
          <w:rFonts w:hint="eastAsia" w:asciiTheme="minorEastAsia" w:hAnsiTheme="minorEastAsia" w:eastAsiaTheme="minorEastAsia"/>
          <w:sz w:val="22"/>
        </w:rPr>
        <w:t>【令和３年４月から】</w:t>
      </w:r>
    </w:p>
    <w:p>
      <w:pPr>
        <w:pStyle w:val="0"/>
        <w:snapToGrid w:val="0"/>
        <w:ind w:firstLine="220" w:firstLineChars="100"/>
        <w:rPr>
          <w:rFonts w:hint="eastAsia" w:asciiTheme="minorEastAsia" w:hAnsiTheme="minorEastAsia" w:eastAsiaTheme="minorEastAsia"/>
          <w:sz w:val="22"/>
        </w:rPr>
      </w:pPr>
      <w:r>
        <w:rPr>
          <w:rFonts w:hint="eastAsia" w:asciiTheme="minorEastAsia" w:hAnsiTheme="minorEastAsia" w:eastAsiaTheme="minorEastAsia"/>
          <w:sz w:val="22"/>
        </w:rPr>
        <w:t>介護保険サービスを利用したときの利用者負担が変わります。</w:t>
      </w:r>
    </w:p>
    <w:p>
      <w:pPr>
        <w:pStyle w:val="0"/>
        <w:snapToGrid w:val="0"/>
        <w:ind w:firstLine="220" w:firstLineChars="100"/>
        <w:rPr>
          <w:rFonts w:hint="eastAsia" w:asciiTheme="minorEastAsia" w:hAnsiTheme="minorEastAsia" w:eastAsiaTheme="minorEastAsia"/>
          <w:sz w:val="22"/>
        </w:rPr>
      </w:pPr>
      <w:r>
        <w:rPr>
          <w:rFonts w:hint="eastAsia" w:asciiTheme="minorEastAsia" w:hAnsiTheme="minorEastAsia" w:eastAsiaTheme="minorEastAsia"/>
          <w:sz w:val="22"/>
        </w:rPr>
        <w:t>介護報酬改定にともなって、介護保険サービスの金額が変わったため、利用したときに支払う利用者負担額も変わります。</w:t>
      </w:r>
    </w:p>
    <w:p>
      <w:pPr>
        <w:pStyle w:val="0"/>
        <w:snapToGrid w:val="0"/>
        <w:rPr>
          <w:rFonts w:hint="eastAsia" w:asciiTheme="minorEastAsia" w:hAnsiTheme="minorEastAsia" w:eastAsiaTheme="minorEastAsia"/>
          <w:sz w:val="28"/>
        </w:rPr>
      </w:pPr>
    </w:p>
    <w:p>
      <w:pPr>
        <w:pStyle w:val="0"/>
        <w:snapToGrid w:val="0"/>
        <w:rPr>
          <w:rFonts w:hint="eastAsia" w:asciiTheme="majorEastAsia" w:hAnsiTheme="majorEastAsia" w:eastAsiaTheme="majorEastAsia"/>
          <w:b w:val="1"/>
          <w:sz w:val="28"/>
          <w:u w:val="none" w:color="auto"/>
        </w:rPr>
      </w:pPr>
      <w:r>
        <w:rPr>
          <w:rFonts w:hint="eastAsia" w:asciiTheme="majorEastAsia" w:hAnsiTheme="majorEastAsia" w:eastAsiaTheme="majorEastAsia"/>
          <w:b w:val="1"/>
          <w:sz w:val="28"/>
          <w:u w:val="none" w:color="auto"/>
        </w:rPr>
        <w:t>重要事項説明及び契約書について</w:t>
      </w:r>
    </w:p>
    <w:p>
      <w:pPr>
        <w:pStyle w:val="0"/>
        <w:snapToGrid w:val="0"/>
        <w:ind w:firstLine="220" w:firstLineChars="100"/>
        <w:rPr>
          <w:rFonts w:hint="eastAsia" w:asciiTheme="minorEastAsia" w:hAnsiTheme="minorEastAsia" w:eastAsiaTheme="minorEastAsia"/>
          <w:sz w:val="22"/>
        </w:rPr>
      </w:pPr>
      <w:r>
        <w:rPr>
          <w:rFonts w:hint="eastAsia" w:asciiTheme="minorEastAsia" w:hAnsiTheme="minorEastAsia" w:eastAsiaTheme="minorEastAsia"/>
          <w:sz w:val="22"/>
        </w:rPr>
        <w:t>重要事項説明書や契約書の内容を変更する場合には、利用者に分り易い文章を用いて懇切丁寧に説明することを心掛け、改めて重要事項の説明を行い同意を得たり、再契約を行うことが適切と考えられます。</w:t>
      </w:r>
    </w:p>
    <w:p>
      <w:pPr>
        <w:pStyle w:val="0"/>
        <w:snapToGrid w:val="0"/>
        <w:ind w:firstLine="220" w:firstLineChars="100"/>
        <w:rPr>
          <w:rFonts w:hint="eastAsia" w:asciiTheme="minorEastAsia" w:hAnsiTheme="minorEastAsia" w:eastAsiaTheme="minorEastAsia"/>
          <w:sz w:val="22"/>
        </w:rPr>
      </w:pPr>
      <w:r>
        <w:rPr>
          <w:rFonts w:hint="eastAsia" w:asciiTheme="minorEastAsia" w:hAnsiTheme="minorEastAsia" w:eastAsiaTheme="minorEastAsia"/>
          <w:sz w:val="22"/>
        </w:rPr>
        <w:t>署名・押印については廃止の動きがありますが、契約上のトラブル防止の観点から、当面の間、現行通りの取扱いとします。</w:t>
      </w:r>
    </w:p>
    <w:p>
      <w:pPr>
        <w:pStyle w:val="0"/>
        <w:snapToGrid w:val="0"/>
        <w:ind w:firstLine="220" w:firstLineChars="100"/>
        <w:rPr>
          <w:rFonts w:hint="eastAsia" w:asciiTheme="minorEastAsia" w:hAnsiTheme="minorEastAsia" w:eastAsiaTheme="minorEastAsia"/>
          <w:sz w:val="22"/>
        </w:rPr>
      </w:pPr>
      <w:r>
        <w:rPr>
          <w:rFonts w:hint="eastAsia" w:asciiTheme="minorEastAsia" w:hAnsiTheme="minorEastAsia" w:eastAsiaTheme="minorEastAsia"/>
          <w:strike w:val="0"/>
          <w:color w:val="FF0000"/>
          <w:sz w:val="22"/>
          <w:u w:val="single" w:color="auto"/>
        </w:rPr>
        <w:t>単に資料を送付したことをもって同意に代えることは認められませんので、必ず説明を十分に行い、理解を得るようにしてください。</w:t>
      </w:r>
    </w:p>
    <w:p>
      <w:pPr>
        <w:pStyle w:val="0"/>
        <w:autoSpaceDE w:val="0"/>
        <w:autoSpaceDN w:val="0"/>
        <w:adjustRightInd w:val="0"/>
        <w:snapToGrid w:val="0"/>
        <w:rPr>
          <w:rFonts w:hint="eastAsia" w:asciiTheme="minorEastAsia" w:hAnsiTheme="minorEastAsia" w:eastAsiaTheme="minorEastAsia"/>
          <w:strike w:val="0"/>
          <w:color w:val="000000"/>
          <w:sz w:val="28"/>
          <w:u w:val="none" w:color="auto"/>
        </w:rPr>
      </w:pPr>
    </w:p>
    <w:p>
      <w:pPr>
        <w:pStyle w:val="0"/>
        <w:autoSpaceDE w:val="0"/>
        <w:autoSpaceDN w:val="0"/>
        <w:adjustRightInd w:val="0"/>
        <w:snapToGrid w:val="0"/>
        <w:rPr>
          <w:rFonts w:hint="eastAsia" w:asciiTheme="majorEastAsia" w:hAnsiTheme="majorEastAsia" w:eastAsiaTheme="majorEastAsia"/>
          <w:b w:val="1"/>
          <w:strike w:val="0"/>
          <w:color w:val="000000"/>
          <w:sz w:val="28"/>
          <w:u w:val="none" w:color="auto"/>
        </w:rPr>
      </w:pPr>
      <w:r>
        <w:rPr>
          <w:rFonts w:hint="eastAsia" w:asciiTheme="majorEastAsia" w:hAnsiTheme="majorEastAsia" w:eastAsiaTheme="majorEastAsia"/>
          <w:b w:val="1"/>
          <w:strike w:val="0"/>
          <w:color w:val="000000"/>
          <w:sz w:val="28"/>
          <w:u w:val="none" w:color="auto"/>
        </w:rPr>
        <w:t>料金表を作成するうえの留意点について</w:t>
      </w:r>
    </w:p>
    <w:p>
      <w:pPr>
        <w:pStyle w:val="0"/>
        <w:autoSpaceDE w:val="0"/>
        <w:autoSpaceDN w:val="0"/>
        <w:adjustRightInd w:val="0"/>
        <w:snapToGrid w:val="0"/>
        <w:ind w:firstLine="210" w:firstLineChars="100"/>
        <w:rPr>
          <w:rFonts w:hint="eastAsia" w:asciiTheme="minorEastAsia" w:hAnsiTheme="minorEastAsia" w:eastAsiaTheme="minorEastAsia"/>
          <w:strike w:val="0"/>
          <w:color w:val="000000"/>
          <w:sz w:val="24"/>
          <w:u w:val="none" w:color="auto"/>
        </w:rPr>
      </w:pPr>
      <w:r>
        <w:rPr>
          <w:rFonts w:hint="eastAsia" w:asciiTheme="minorEastAsia" w:hAnsiTheme="minorEastAsia" w:eastAsiaTheme="minorEastAsia"/>
          <w:strike w:val="0"/>
          <w:color w:val="000000"/>
          <w:sz w:val="22"/>
          <w:u w:val="none" w:color="auto"/>
        </w:rPr>
        <w:t>新型コロナウイルス感染症に対応するための特例的な評価として、全サービスにおいて、</w:t>
      </w:r>
      <w:r>
        <w:rPr>
          <w:rFonts w:hint="eastAsia" w:asciiTheme="minorEastAsia" w:hAnsiTheme="minorEastAsia" w:eastAsiaTheme="minorEastAsia"/>
          <w:strike w:val="0"/>
          <w:color w:val="000000"/>
          <w:sz w:val="22"/>
          <w:u w:val="single" w:color="auto"/>
        </w:rPr>
        <w:t>令和３年４月から同年９月までの間、基本報酬に０．１％上乗せされます。</w:t>
      </w:r>
      <w:r>
        <w:rPr>
          <w:rFonts w:hint="eastAsia" w:asciiTheme="minorEastAsia" w:hAnsiTheme="minorEastAsia" w:eastAsiaTheme="minorEastAsia"/>
          <w:strike w:val="0"/>
          <w:color w:val="000000"/>
          <w:sz w:val="22"/>
          <w:u w:val="none" w:color="auto"/>
        </w:rPr>
        <w:t>利用者負担に影響があるため、当該評価を盛り込んだ料金表の作成が必要になります。</w:t>
      </w:r>
    </w:p>
    <w:p>
      <w:pPr>
        <w:pStyle w:val="0"/>
        <w:autoSpaceDE w:val="0"/>
        <w:autoSpaceDN w:val="0"/>
        <w:adjustRightInd w:val="0"/>
        <w:snapToGrid w:val="0"/>
        <w:ind w:firstLine="210" w:firstLineChars="100"/>
        <w:rPr>
          <w:rFonts w:hint="eastAsia" w:asciiTheme="minorEastAsia" w:hAnsiTheme="minorEastAsia" w:eastAsiaTheme="minorEastAsia"/>
          <w:strike w:val="0"/>
          <w:color w:val="000000"/>
          <w:sz w:val="24"/>
          <w:u w:val="none" w:color="auto"/>
        </w:rPr>
      </w:pPr>
      <w:r>
        <w:rPr>
          <w:rFonts w:hint="eastAsia" w:asciiTheme="minorEastAsia" w:hAnsiTheme="minorEastAsia" w:eastAsiaTheme="minorEastAsia"/>
          <w:strike w:val="0"/>
          <w:color w:val="000000"/>
          <w:sz w:val="22"/>
          <w:u w:val="none" w:color="auto"/>
        </w:rPr>
        <w:t>しかしながら、対象期間が９月までと短期間であることを鑑み、事業者の事務負担軽減の観点から、次の方法も可能とします。</w:t>
      </w:r>
    </w:p>
    <w:p>
      <w:pPr>
        <w:pStyle w:val="0"/>
        <w:autoSpaceDE w:val="0"/>
        <w:autoSpaceDN w:val="0"/>
        <w:adjustRightInd w:val="0"/>
        <w:snapToGrid w:val="0"/>
        <w:ind w:leftChars="0" w:firstLine="0" w:firstLineChars="0"/>
        <w:rPr>
          <w:rFonts w:hint="eastAsia" w:asciiTheme="minorEastAsia" w:hAnsiTheme="minorEastAsia" w:eastAsiaTheme="minorEastAsia"/>
          <w:strike w:val="0"/>
          <w:color w:val="000000"/>
          <w:sz w:val="22"/>
          <w:u w:val="none" w:color="auto"/>
        </w:rPr>
      </w:pPr>
      <w:r>
        <w:rPr>
          <w:rFonts w:hint="eastAsia" w:asciiTheme="minorEastAsia" w:hAnsiTheme="minorEastAsia" w:eastAsiaTheme="minorEastAsia"/>
          <w:strike w:val="0"/>
          <w:color w:val="000000"/>
          <w:sz w:val="22"/>
          <w:u w:val="none" w:color="auto"/>
        </w:rPr>
        <w:t>【対応の例】</w:t>
      </w:r>
    </w:p>
    <w:p>
      <w:pPr>
        <w:pStyle w:val="0"/>
        <w:autoSpaceDE w:val="0"/>
        <w:autoSpaceDN w:val="0"/>
        <w:adjustRightInd w:val="0"/>
        <w:snapToGrid w:val="0"/>
        <w:ind w:firstLine="210" w:firstLineChars="100"/>
        <w:rPr>
          <w:rFonts w:hint="eastAsia" w:asciiTheme="minorEastAsia" w:hAnsiTheme="minorEastAsia" w:eastAsiaTheme="minorEastAsia"/>
          <w:strike w:val="0"/>
          <w:color w:val="000000"/>
          <w:sz w:val="21"/>
          <w:u w:val="none" w:color="auto"/>
        </w:rPr>
      </w:pPr>
      <w:r>
        <w:rPr>
          <w:rFonts w:hint="eastAsia" w:asciiTheme="minorEastAsia" w:hAnsiTheme="minorEastAsia" w:eastAsiaTheme="minorEastAsia"/>
          <w:strike w:val="0"/>
          <w:color w:val="000000"/>
          <w:sz w:val="21"/>
          <w:u w:val="none" w:color="auto"/>
        </w:rPr>
        <w:t>今般の報酬改定よる単位に基づいた料金表（１０月から適用される金額による料金表）を作成のうえ、注意書きとして「令和３年４月から９月までの間、基本報酬に０．１％上乗せされます。」等を記載すること。</w:t>
      </w:r>
    </w:p>
    <w:p>
      <w:pPr>
        <w:pStyle w:val="0"/>
        <w:autoSpaceDE w:val="0"/>
        <w:autoSpaceDN w:val="0"/>
        <w:adjustRightInd w:val="0"/>
        <w:snapToGrid w:val="0"/>
        <w:rPr>
          <w:rFonts w:hint="eastAsia" w:asciiTheme="minorEastAsia" w:hAnsiTheme="minorEastAsia" w:eastAsiaTheme="minorEastAsia"/>
          <w:strike w:val="0"/>
          <w:color w:val="000000"/>
          <w:sz w:val="22"/>
          <w:u w:val="none" w:color="auto"/>
        </w:rPr>
      </w:pPr>
      <w:r>
        <w:rPr>
          <w:rFonts w:hint="eastAsia" w:asciiTheme="minorEastAsia" w:hAnsiTheme="minorEastAsia" w:eastAsiaTheme="minorEastAsia"/>
          <w:strike w:val="0"/>
          <w:color w:val="000000"/>
          <w:sz w:val="22"/>
          <w:u w:val="none" w:color="auto"/>
        </w:rPr>
        <w:t>（この例にて、４月に利用者の同意を得た場合は、１０月に改めて同意を得る必要はありません。）</w:t>
      </w:r>
    </w:p>
    <w:p>
      <w:pPr>
        <w:pStyle w:val="0"/>
        <w:snapToGrid w:val="0"/>
        <w:rPr>
          <w:rFonts w:hint="eastAsia" w:asciiTheme="minorEastAsia" w:hAnsiTheme="minorEastAsia" w:eastAsiaTheme="minorEastAsia"/>
          <w:sz w:val="22"/>
        </w:rPr>
      </w:pPr>
    </w:p>
    <w:p>
      <w:pPr>
        <w:pStyle w:val="0"/>
        <w:snapToGrid w:val="0"/>
        <w:rPr>
          <w:rFonts w:hint="eastAsia" w:asciiTheme="minorEastAsia" w:hAnsiTheme="minorEastAsia" w:eastAsiaTheme="minorEastAsia"/>
          <w:sz w:val="22"/>
        </w:rPr>
      </w:pPr>
    </w:p>
    <w:p>
      <w:pPr>
        <w:pStyle w:val="0"/>
        <w:snapToGrid w:val="0"/>
        <w:rPr>
          <w:rFonts w:hint="eastAsia" w:asciiTheme="minorEastAsia" w:hAnsiTheme="minorEastAsia" w:eastAsiaTheme="minorEastAsia"/>
          <w:sz w:val="22"/>
        </w:rPr>
      </w:pPr>
    </w:p>
    <w:p>
      <w:pPr>
        <w:pStyle w:val="0"/>
        <w:snapToGrid w:val="0"/>
        <w:rPr>
          <w:rFonts w:hint="eastAsia" w:asciiTheme="majorEastAsia" w:hAnsiTheme="majorEastAsia" w:eastAsiaTheme="majorEastAsia"/>
          <w:b w:val="1"/>
          <w:sz w:val="28"/>
        </w:rPr>
      </w:pPr>
      <w:r>
        <w:rPr>
          <w:rFonts w:hint="eastAsia" w:asciiTheme="majorEastAsia" w:hAnsiTheme="majorEastAsia" w:eastAsiaTheme="majorEastAsia"/>
          <w:b w:val="1"/>
          <w:sz w:val="28"/>
        </w:rPr>
        <w:t>改正に伴う留意点について</w:t>
      </w:r>
    </w:p>
    <w:p>
      <w:pPr>
        <w:pStyle w:val="0"/>
        <w:snapToGrid w:val="0"/>
        <w:ind w:leftChars="0" w:firstLine="0" w:firstLineChars="0"/>
        <w:rPr>
          <w:rFonts w:hint="eastAsia" w:asciiTheme="minorEastAsia" w:hAnsiTheme="minorEastAsia" w:eastAsiaTheme="minorEastAsia"/>
          <w:sz w:val="22"/>
        </w:rPr>
      </w:pPr>
      <w:r>
        <w:rPr>
          <w:rFonts w:hint="eastAsia" w:asciiTheme="minorEastAsia" w:hAnsiTheme="minorEastAsia" w:eastAsiaTheme="minorEastAsia"/>
          <w:sz w:val="22"/>
        </w:rPr>
        <w:t>●介護サービスの質の評価と科学的介護の取組の推進</w:t>
      </w:r>
    </w:p>
    <w:p>
      <w:pPr>
        <w:pStyle w:val="0"/>
        <w:snapToGrid w:val="0"/>
        <w:ind w:leftChars="0" w:firstLine="0" w:firstLineChars="0"/>
        <w:rPr>
          <w:rFonts w:hint="eastAsia" w:asciiTheme="minorEastAsia" w:hAnsiTheme="minorEastAsia" w:eastAsiaTheme="minorEastAsia"/>
          <w:sz w:val="22"/>
        </w:rPr>
      </w:pPr>
      <w:r>
        <w:rPr>
          <w:rFonts w:hint="eastAsia" w:asciiTheme="minorEastAsia" w:hAnsiTheme="minorEastAsia" w:eastAsiaTheme="minorEastAsia"/>
          <w:sz w:val="22"/>
        </w:rPr>
        <w:t>介護保険等関連情報の活用</w:t>
      </w:r>
    </w:p>
    <w:p>
      <w:pPr>
        <w:pStyle w:val="0"/>
        <w:snapToGrid w:val="0"/>
        <w:ind w:leftChars="0" w:firstLine="0" w:firstLineChars="0"/>
        <w:rPr>
          <w:rFonts w:hint="eastAsia" w:asciiTheme="minorEastAsia" w:hAnsiTheme="minorEastAsia" w:eastAsiaTheme="minorEastAsia"/>
          <w:sz w:val="22"/>
        </w:rPr>
      </w:pPr>
      <w:r>
        <w:rPr>
          <w:rFonts w:hint="eastAsia" w:asciiTheme="minorEastAsia" w:hAnsiTheme="minorEastAsia" w:eastAsiaTheme="minorEastAsia"/>
          <w:sz w:val="22"/>
        </w:rPr>
        <w:t>CHASE</w:t>
      </w:r>
      <w:r>
        <w:rPr>
          <w:rFonts w:hint="eastAsia" w:asciiTheme="minorEastAsia" w:hAnsiTheme="minorEastAsia" w:eastAsiaTheme="minorEastAsia"/>
          <w:sz w:val="22"/>
        </w:rPr>
        <w:t>・</w:t>
      </w:r>
      <w:r>
        <w:rPr>
          <w:rFonts w:hint="eastAsia" w:asciiTheme="minorEastAsia" w:hAnsiTheme="minorEastAsia" w:eastAsiaTheme="minorEastAsia"/>
          <w:sz w:val="22"/>
        </w:rPr>
        <w:t>VISIT</w:t>
      </w:r>
      <w:r>
        <w:rPr>
          <w:rFonts w:hint="eastAsia" w:asciiTheme="minorEastAsia" w:hAnsiTheme="minorEastAsia" w:eastAsiaTheme="minorEastAsia"/>
          <w:sz w:val="22"/>
        </w:rPr>
        <w:t>情報の収集・活用と</w:t>
      </w:r>
      <w:r>
        <w:rPr>
          <w:rFonts w:hint="eastAsia" w:asciiTheme="minorEastAsia" w:hAnsiTheme="minorEastAsia" w:eastAsiaTheme="minorEastAsia"/>
          <w:sz w:val="22"/>
        </w:rPr>
        <w:t>PDCA</w:t>
      </w:r>
      <w:r>
        <w:rPr>
          <w:rFonts w:hint="eastAsia" w:asciiTheme="minorEastAsia" w:hAnsiTheme="minorEastAsia" w:eastAsiaTheme="minorEastAsia"/>
          <w:sz w:val="22"/>
        </w:rPr>
        <w:t>サイクルの推進</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【該当サービス】</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・全サービス共通</w:t>
      </w:r>
    </w:p>
    <w:p>
      <w:pPr>
        <w:pStyle w:val="0"/>
        <w:snapToGrid w:val="0"/>
        <w:ind w:leftChars="0" w:firstLine="0" w:firstLineChars="0"/>
        <w:rPr>
          <w:rFonts w:hint="eastAsia" w:asciiTheme="minorEastAsia" w:hAnsiTheme="minorEastAsia" w:eastAsiaTheme="minorEastAsia"/>
          <w:sz w:val="22"/>
        </w:rPr>
      </w:pPr>
      <w:r>
        <w:rPr>
          <w:rFonts w:hint="eastAsia" w:asciiTheme="minorEastAsia" w:hAnsiTheme="minorEastAsia" w:eastAsiaTheme="minorEastAsia"/>
          <w:sz w:val="22"/>
        </w:rPr>
        <w:t>・科学的に効果が裏付けられた自立支援・重度化防止に資する質の高いサービス提供の推進を目的とし、</w:t>
      </w:r>
      <w:r>
        <w:rPr>
          <w:rFonts w:hint="eastAsia" w:asciiTheme="minorEastAsia" w:hAnsiTheme="minorEastAsia" w:eastAsiaTheme="minorEastAsia"/>
          <w:sz w:val="22"/>
        </w:rPr>
        <w:t>LIFE</w:t>
      </w:r>
      <w:r>
        <w:rPr>
          <w:rFonts w:hint="eastAsia" w:asciiTheme="minorEastAsia" w:hAnsiTheme="minorEastAsia" w:eastAsiaTheme="minorEastAsia"/>
          <w:sz w:val="22"/>
        </w:rPr>
        <w:t>を用いた厚生労働省へのデータ提出とフィードバックの活用による、</w:t>
      </w:r>
      <w:r>
        <w:rPr>
          <w:rFonts w:hint="eastAsia" w:asciiTheme="minorEastAsia" w:hAnsiTheme="minorEastAsia" w:eastAsiaTheme="minorEastAsia"/>
          <w:sz w:val="22"/>
        </w:rPr>
        <w:t>PDCA</w:t>
      </w:r>
      <w:r>
        <w:rPr>
          <w:rFonts w:hint="eastAsia" w:asciiTheme="minorEastAsia" w:hAnsiTheme="minorEastAsia" w:eastAsiaTheme="minorEastAsia"/>
          <w:sz w:val="22"/>
        </w:rPr>
        <w:t>サイクル・ケアの質の向上を図る取組を推進。</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→科学的介護推進加算の要件。</w:t>
      </w:r>
    </w:p>
    <w:p>
      <w:pPr>
        <w:pStyle w:val="0"/>
        <w:snapToGrid w:val="0"/>
        <w:rPr>
          <w:rFonts w:hint="eastAsia" w:asciiTheme="minorEastAsia" w:hAnsiTheme="minorEastAsia" w:eastAsiaTheme="minorEastAsia"/>
          <w:color w:val="FF0000"/>
          <w:sz w:val="22"/>
        </w:rPr>
      </w:pPr>
      <w:r>
        <w:rPr>
          <w:rFonts w:hint="eastAsia" w:asciiTheme="minorEastAsia" w:hAnsiTheme="minorEastAsia" w:eastAsiaTheme="minorEastAsia"/>
          <w:sz w:val="22"/>
        </w:rPr>
        <w:t>→加算届出の体制状況一覧表に</w:t>
      </w:r>
      <w:r>
        <w:rPr>
          <w:rFonts w:hint="eastAsia" w:asciiTheme="minorEastAsia" w:hAnsiTheme="minorEastAsia" w:eastAsiaTheme="minorEastAsia"/>
          <w:sz w:val="22"/>
        </w:rPr>
        <w:t>LIFE</w:t>
      </w:r>
      <w:r>
        <w:rPr>
          <w:rFonts w:hint="eastAsia" w:asciiTheme="minorEastAsia" w:hAnsiTheme="minorEastAsia" w:eastAsiaTheme="minorEastAsia"/>
          <w:sz w:val="22"/>
        </w:rPr>
        <w:t>への登録の記載項目が追加。加算を算定する場合は体制届の提出が必要。</w:t>
      </w:r>
    </w:p>
    <w:p>
      <w:pPr>
        <w:pStyle w:val="0"/>
        <w:snapToGrid w:val="0"/>
        <w:rPr>
          <w:rFonts w:hint="eastAsia" w:asciiTheme="minorEastAsia" w:hAnsiTheme="minorEastAsia" w:eastAsiaTheme="minorEastAsia"/>
          <w:color w:val="FF0000"/>
          <w:sz w:val="22"/>
        </w:rPr>
      </w:pP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color w:val="000000" w:themeColor="text1"/>
          <w:sz w:val="22"/>
        </w:rPr>
        <w:t>●</w:t>
      </w:r>
      <w:r>
        <w:rPr>
          <w:rFonts w:hint="eastAsia" w:asciiTheme="minorEastAsia" w:hAnsiTheme="minorEastAsia" w:eastAsiaTheme="minorEastAsia"/>
          <w:sz w:val="22"/>
        </w:rPr>
        <w:t>ハラスメント対策の強化</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ハラスメントにより就業環境が害されることを防止するための方針の明確化等の必要な措置を講じなければならない。</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【該当サービス】</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・全サービス共通</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・事業主が講ずべき措置の主な内容</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→事業者のハラスメント対策等の明確化及びその周知</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→マニュアル等の作成・共有</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→報告・相談しやすい窓口の設置</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※カスタマーハラスメント防止のための方針の明確化等の必要な措置を講じることもも推奨する。</w:t>
      </w:r>
    </w:p>
    <w:p>
      <w:pPr>
        <w:pStyle w:val="0"/>
        <w:snapToGrid w:val="0"/>
        <w:rPr>
          <w:rFonts w:hint="eastAsia" w:asciiTheme="minorEastAsia" w:hAnsiTheme="minorEastAsia" w:eastAsiaTheme="minorEastAsia"/>
          <w:sz w:val="22"/>
        </w:rPr>
      </w:pP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color w:val="000000" w:themeColor="text1"/>
          <w:sz w:val="22"/>
        </w:rPr>
        <w:t>●認知症に係る取組の情報公表制度への対応</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介護サービス事業者の認知症対応力の向上と利用者の介護サービスの選択に資する観点から、研修の受講状況等、認知症にかかる事業者の取組状況について、介護サービス情報公表制度において公表することを求める。</w:t>
      </w:r>
    </w:p>
    <w:p>
      <w:pPr>
        <w:pStyle w:val="0"/>
        <w:snapToGrid w:val="0"/>
        <w:rPr>
          <w:rFonts w:hint="eastAsia" w:asciiTheme="minorEastAsia" w:hAnsiTheme="minorEastAsia" w:eastAsiaTheme="minorEastAsia"/>
          <w:color w:val="000000" w:themeColor="text1"/>
          <w:sz w:val="22"/>
        </w:rPr>
      </w:pPr>
      <w:r>
        <w:rPr>
          <w:rFonts w:hint="eastAsia" w:asciiTheme="minorEastAsia" w:hAnsiTheme="minorEastAsia" w:eastAsiaTheme="minorEastAsia"/>
          <w:sz w:val="22"/>
        </w:rPr>
        <w:t>【該当サービス】</w:t>
      </w:r>
    </w:p>
    <w:p>
      <w:pPr>
        <w:pStyle w:val="0"/>
        <w:snapToGrid w:val="0"/>
        <w:rPr>
          <w:rFonts w:hint="eastAsia" w:asciiTheme="minorEastAsia" w:hAnsiTheme="minorEastAsia" w:eastAsiaTheme="minorEastAsia"/>
          <w:color w:val="000000" w:themeColor="text1"/>
          <w:sz w:val="22"/>
        </w:rPr>
      </w:pPr>
      <w:r>
        <w:rPr>
          <w:rFonts w:hint="eastAsia" w:asciiTheme="minorEastAsia" w:hAnsiTheme="minorEastAsia" w:eastAsiaTheme="minorEastAsia"/>
          <w:color w:val="000000" w:themeColor="text1"/>
          <w:sz w:val="22"/>
        </w:rPr>
        <w:t>・全サービス共通</w:t>
      </w:r>
    </w:p>
    <w:p>
      <w:pPr>
        <w:pStyle w:val="0"/>
        <w:snapToGrid w:val="0"/>
        <w:rPr>
          <w:rFonts w:hint="eastAsia" w:asciiTheme="minorEastAsia" w:hAnsiTheme="minorEastAsia" w:eastAsiaTheme="minorEastAsia"/>
          <w:color w:val="000000" w:themeColor="text1"/>
          <w:sz w:val="22"/>
        </w:rPr>
      </w:pPr>
      <w:r>
        <w:rPr>
          <w:rFonts w:hint="eastAsia" w:asciiTheme="minorEastAsia" w:hAnsiTheme="minorEastAsia" w:eastAsiaTheme="minorEastAsia"/>
          <w:color w:val="000000" w:themeColor="text1"/>
          <w:sz w:val="22"/>
        </w:rPr>
        <w:t>・見直し内容</w:t>
      </w:r>
    </w:p>
    <w:p>
      <w:pPr>
        <w:pStyle w:val="0"/>
        <w:snapToGrid w:val="0"/>
        <w:rPr>
          <w:rFonts w:hint="eastAsia" w:asciiTheme="minorEastAsia" w:hAnsiTheme="minorEastAsia" w:eastAsiaTheme="minorEastAsia"/>
          <w:color w:val="000000" w:themeColor="text1"/>
          <w:sz w:val="22"/>
        </w:rPr>
      </w:pPr>
      <w:r>
        <w:rPr>
          <w:rFonts w:hint="eastAsia" w:asciiTheme="minorEastAsia" w:hAnsiTheme="minorEastAsia" w:eastAsiaTheme="minorEastAsia"/>
          <w:color w:val="000000" w:themeColor="text1"/>
          <w:sz w:val="22"/>
        </w:rPr>
        <w:t>→基本情報調査票にその他の研修欄が設定され、認知症介護指導者研修、認知症介護実践リーダー研修、認知症介護実践者研修、受講人数を入力。</w:t>
      </w:r>
    </w:p>
    <w:p>
      <w:pPr>
        <w:pStyle w:val="0"/>
        <w:snapToGrid w:val="0"/>
        <w:rPr>
          <w:rFonts w:hint="eastAsia" w:asciiTheme="minorEastAsia" w:hAnsiTheme="minorEastAsia" w:eastAsiaTheme="minorEastAsia"/>
          <w:color w:val="000000" w:themeColor="text1"/>
          <w:sz w:val="22"/>
        </w:rPr>
      </w:pP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●感染症対策の強化（</w:t>
      </w:r>
      <w:r>
        <w:rPr>
          <w:rFonts w:hint="eastAsia" w:asciiTheme="minorEastAsia" w:hAnsiTheme="minorEastAsia" w:eastAsiaTheme="minorEastAsia"/>
          <w:sz w:val="22"/>
          <w:bdr w:val="none" w:color="auto" w:sz="0" w:space="0"/>
        </w:rPr>
        <w:t>３年間の経過措置があります）</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感染症の発生及びまん延等に関する取組の徹底を求める観点から、以下の取組を義務づける。</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【該当サービス】</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・全サービス共通</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→新型コロナウイルス感染症等の感染症の発生及びまん延等に関する取組の徹底のため、委員会の開催、指針の整備、研修の実施及び訓練（シミュレーション）の実施等が義務付けされます。</w:t>
      </w:r>
    </w:p>
    <w:p>
      <w:pPr>
        <w:pStyle w:val="0"/>
        <w:snapToGrid w:val="0"/>
        <w:rPr>
          <w:rFonts w:hint="eastAsia" w:asciiTheme="minorEastAsia" w:hAnsiTheme="minorEastAsia" w:eastAsiaTheme="minorEastAsia"/>
          <w:color w:val="auto"/>
          <w:sz w:val="22"/>
        </w:rPr>
      </w:pPr>
      <w:r>
        <w:rPr>
          <w:rFonts w:hint="eastAsia" w:asciiTheme="minorEastAsia" w:hAnsiTheme="minorEastAsia" w:eastAsiaTheme="minorEastAsia"/>
          <w:color w:val="auto"/>
          <w:sz w:val="22"/>
        </w:rPr>
        <w:t>【感染症に係る業務継続計画】</w:t>
      </w:r>
    </w:p>
    <w:p>
      <w:pPr>
        <w:pStyle w:val="0"/>
        <w:snapToGrid w:val="0"/>
        <w:rPr>
          <w:rFonts w:hint="eastAsia" w:asciiTheme="minorEastAsia" w:hAnsiTheme="minorEastAsia" w:eastAsiaTheme="minorEastAsia"/>
          <w:color w:val="auto"/>
          <w:sz w:val="22"/>
        </w:rPr>
      </w:pPr>
      <w:r>
        <w:rPr>
          <w:rFonts w:hint="eastAsia" w:asciiTheme="minorEastAsia" w:hAnsiTheme="minorEastAsia" w:eastAsiaTheme="minorEastAsia"/>
          <w:color w:val="auto"/>
          <w:sz w:val="22"/>
        </w:rPr>
        <w:t>ａ平時からの備え（体制構築・整備・感染症防止に向けた取組の実施、備蓄品の確保）</w:t>
      </w:r>
    </w:p>
    <w:p>
      <w:pPr>
        <w:pStyle w:val="0"/>
        <w:snapToGrid w:val="0"/>
        <w:rPr>
          <w:rFonts w:hint="eastAsia" w:asciiTheme="minorEastAsia" w:hAnsiTheme="minorEastAsia" w:eastAsiaTheme="minorEastAsia"/>
          <w:color w:val="auto"/>
          <w:sz w:val="22"/>
        </w:rPr>
      </w:pPr>
      <w:r>
        <w:rPr>
          <w:rFonts w:hint="eastAsia" w:asciiTheme="minorEastAsia" w:hAnsiTheme="minorEastAsia" w:eastAsiaTheme="minorEastAsia"/>
          <w:color w:val="auto"/>
          <w:sz w:val="22"/>
        </w:rPr>
        <w:t>ｂ初動対応</w:t>
      </w:r>
    </w:p>
    <w:p>
      <w:pPr>
        <w:pStyle w:val="0"/>
        <w:snapToGrid w:val="0"/>
        <w:rPr>
          <w:rFonts w:hint="eastAsia" w:asciiTheme="minorEastAsia" w:hAnsiTheme="minorEastAsia" w:eastAsiaTheme="minorEastAsia"/>
          <w:color w:val="0070C0"/>
          <w:sz w:val="22"/>
        </w:rPr>
      </w:pPr>
      <w:r>
        <w:rPr>
          <w:rFonts w:hint="eastAsia" w:asciiTheme="minorEastAsia" w:hAnsiTheme="minorEastAsia" w:eastAsiaTheme="minorEastAsia"/>
          <w:color w:val="auto"/>
          <w:sz w:val="22"/>
        </w:rPr>
        <w:t>ｃ感染拡大防止体制の確立（保健所との連携、濃厚接触者への対応、関係者との情報共有）</w:t>
      </w:r>
    </w:p>
    <w:p>
      <w:pPr>
        <w:pStyle w:val="0"/>
        <w:snapToGrid w:val="0"/>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→指針については厚生労働省「介護現場における感染対策の手引き」等を活用してください。</w:t>
      </w:r>
    </w:p>
    <w:p>
      <w:pPr>
        <w:pStyle w:val="0"/>
        <w:snapToGrid w:val="0"/>
        <w:rPr>
          <w:rFonts w:hint="eastAsia" w:asciiTheme="minorEastAsia" w:hAnsiTheme="minorEastAsia" w:eastAsiaTheme="minorEastAsia"/>
          <w:color w:val="000000"/>
          <w:sz w:val="22"/>
        </w:rPr>
      </w:pPr>
      <w:r>
        <w:rPr>
          <w:rFonts w:hint="eastAsia" w:asciiTheme="minorEastAsia" w:hAnsiTheme="minorEastAsia" w:eastAsiaTheme="minorEastAsia"/>
          <w:color w:val="000000"/>
          <w:sz w:val="22"/>
        </w:rPr>
        <w:t>→研修については、厚生労働省「介護施設・事業所の職員向け感染症対策力向上のための研修教材」等を活用してください。</w:t>
      </w:r>
    </w:p>
    <w:p>
      <w:pPr>
        <w:pStyle w:val="0"/>
        <w:snapToGrid w:val="0"/>
        <w:rPr>
          <w:rFonts w:hint="eastAsia" w:asciiTheme="minorEastAsia" w:hAnsiTheme="minorEastAsia" w:eastAsiaTheme="minorEastAsia"/>
          <w:sz w:val="22"/>
        </w:rPr>
      </w:pP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●業務継続に向けた取り組みの強化等（３年間の経過措置があります）</w:t>
      </w:r>
      <w:r>
        <w:rPr>
          <w:rFonts w:hint="eastAsia" w:asciiTheme="minorEastAsia" w:hAnsiTheme="minorEastAsia" w:eastAsiaTheme="minorEastAsia"/>
          <w:sz w:val="22"/>
        </w:rPr>
        <w:t xml:space="preserve"> </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感染症や災害が起きた場合であっても、必要な介護サービスが継続的に提供できる体制を構築する観点から、以下の取組を義務づける。</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【該当サービス】</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・全サービス共通</w:t>
      </w:r>
      <w:r>
        <w:rPr>
          <w:rFonts w:hint="eastAsia" w:asciiTheme="minorEastAsia" w:hAnsiTheme="minorEastAsia" w:eastAsiaTheme="minorEastAsia"/>
          <w:sz w:val="22"/>
        </w:rPr>
        <w:t xml:space="preserve"> </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→業務継続に向けた計画等の策定、研修の実施及び訓練（シミュレーション）の実施等を義務付けされます。</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【災害に係る業務継続計画】</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ａ平常時の対応（建物・設備の安全対策、電気・水道等のライフラインが停止した場合の対策、必需品の備蓄等）</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ｂ緊急時の対応（業務継続計画発動基準、対応体制等）</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ｃ他施設、地域との連携</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→国において以下のガイドラインが示されています。</w:t>
      </w:r>
      <w:r>
        <w:rPr>
          <w:rFonts w:hint="eastAsia" w:asciiTheme="minorEastAsia" w:hAnsiTheme="minorEastAsia" w:eastAsiaTheme="minorEastAsia"/>
          <w:sz w:val="22"/>
        </w:rPr>
        <w:t>(</w:t>
      </w:r>
      <w:r>
        <w:rPr>
          <w:rFonts w:hint="eastAsia" w:asciiTheme="minorEastAsia" w:hAnsiTheme="minorEastAsia" w:eastAsiaTheme="minorEastAsia"/>
          <w:sz w:val="22"/>
        </w:rPr>
        <w:t>作成のひな形が用意されています。）</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・介護施設・事業所における新型コロナウイルス感染症発生時の業務継続ガイドライン</w:t>
      </w:r>
      <w:r>
        <w:rPr>
          <w:rFonts w:hint="eastAsia" w:asciiTheme="minorEastAsia" w:hAnsiTheme="minorEastAsia" w:eastAsiaTheme="minorEastAsia"/>
          <w:sz w:val="22"/>
        </w:rPr>
        <w:t xml:space="preserve"> </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・介護施設・事業所における自然災害発生時の業務継続ガイドライン</w:t>
      </w:r>
      <w:r>
        <w:rPr>
          <w:rFonts w:hint="eastAsia" w:asciiTheme="minorEastAsia" w:hAnsiTheme="minorEastAsia" w:eastAsiaTheme="minorEastAsia"/>
          <w:sz w:val="22"/>
        </w:rPr>
        <w:t xml:space="preserve"> </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また、以下のサイトで作成のための研修の動画が見れますので、活用ください。</w:t>
      </w:r>
      <w:r>
        <w:rPr>
          <w:rFonts w:hint="eastAsia" w:asciiTheme="minorEastAsia" w:hAnsiTheme="minorEastAsia" w:eastAsiaTheme="minorEastAsia"/>
          <w:sz w:val="22"/>
        </w:rPr>
        <w:t xml:space="preserve"> </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 xml:space="preserve">https://www.mhlw.go.jp/stf/seisakunitsuite/bunya/hukushi_kaigo/kaigo_koureisha/douga_00002.html </w:t>
      </w:r>
    </w:p>
    <w:p>
      <w:pPr>
        <w:pStyle w:val="0"/>
        <w:snapToGrid w:val="0"/>
        <w:rPr>
          <w:rFonts w:hint="eastAsia" w:asciiTheme="minorEastAsia" w:hAnsiTheme="minorEastAsia" w:eastAsiaTheme="minorEastAsia"/>
          <w:sz w:val="22"/>
        </w:rPr>
      </w:pP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●高齢者虐待防止の推進（３年間の経過措置があります）</w:t>
      </w:r>
      <w:r>
        <w:rPr>
          <w:rFonts w:hint="eastAsia" w:asciiTheme="minorEastAsia" w:hAnsiTheme="minorEastAsia" w:eastAsiaTheme="minorEastAsia"/>
          <w:sz w:val="22"/>
        </w:rPr>
        <w:t xml:space="preserve"> </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利用者の人権の擁護、虐待の防止等の観点から、虐待の発生又はその再発を防止するため、委員会の開催、指針の整備、研修を実施とともに、これらを実施するための担当者を定めることの義務付けを行います。</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【該当サービス】</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・全サービス共通</w:t>
      </w:r>
    </w:p>
    <w:p>
      <w:pPr>
        <w:pStyle w:val="0"/>
        <w:snapToGrid w:val="0"/>
        <w:rPr>
          <w:rFonts w:hint="eastAsia" w:asciiTheme="minorEastAsia" w:hAnsiTheme="minorEastAsia" w:eastAsiaTheme="minorEastAsia"/>
          <w:color w:val="auto"/>
          <w:sz w:val="22"/>
        </w:rPr>
      </w:pPr>
      <w:r>
        <w:rPr>
          <w:rFonts w:hint="eastAsia" w:asciiTheme="minorEastAsia" w:hAnsiTheme="minorEastAsia" w:eastAsiaTheme="minorEastAsia"/>
          <w:sz w:val="22"/>
        </w:rPr>
        <w:t>→運営規程に定めておかなければならない事項として「虐待の防止のための措置に関す</w:t>
      </w:r>
      <w:r>
        <w:rPr>
          <w:rFonts w:hint="eastAsia" w:asciiTheme="minorEastAsia" w:hAnsiTheme="minorEastAsia" w:eastAsiaTheme="minorEastAsia"/>
          <w:color w:val="auto"/>
          <w:sz w:val="22"/>
        </w:rPr>
        <w:t>る事項」が追加されました。これにより、運営規程の変更を行った場合には、市への</w:t>
      </w:r>
      <w:r>
        <w:rPr>
          <w:rFonts w:hint="eastAsia" w:asciiTheme="minorEastAsia" w:hAnsiTheme="minorEastAsia" w:eastAsiaTheme="minorEastAsia"/>
          <w:color w:val="auto"/>
          <w:sz w:val="22"/>
          <w:u w:val="wave" w:color="auto"/>
        </w:rPr>
        <w:t>変更届は不要とする取扱いとします。ただし、令和</w:t>
      </w:r>
      <w:r>
        <w:rPr>
          <w:rFonts w:hint="eastAsia" w:asciiTheme="minorEastAsia" w:hAnsiTheme="minorEastAsia" w:eastAsiaTheme="minorEastAsia"/>
          <w:color w:val="auto"/>
          <w:sz w:val="22"/>
          <w:u w:val="wave" w:color="auto"/>
        </w:rPr>
        <w:t>3</w:t>
      </w:r>
      <w:r>
        <w:rPr>
          <w:rFonts w:hint="eastAsia" w:asciiTheme="minorEastAsia" w:hAnsiTheme="minorEastAsia" w:eastAsiaTheme="minorEastAsia"/>
          <w:color w:val="auto"/>
          <w:sz w:val="22"/>
          <w:u w:val="wave" w:color="auto"/>
        </w:rPr>
        <w:t>年</w:t>
      </w:r>
      <w:r>
        <w:rPr>
          <w:rFonts w:hint="eastAsia" w:asciiTheme="minorEastAsia" w:hAnsiTheme="minorEastAsia" w:eastAsiaTheme="minorEastAsia"/>
          <w:color w:val="auto"/>
          <w:sz w:val="22"/>
          <w:u w:val="wave" w:color="auto"/>
        </w:rPr>
        <w:t>4</w:t>
      </w:r>
      <w:r>
        <w:rPr>
          <w:rFonts w:hint="eastAsia" w:asciiTheme="minorEastAsia" w:hAnsiTheme="minorEastAsia" w:eastAsiaTheme="minorEastAsia"/>
          <w:color w:val="auto"/>
          <w:sz w:val="22"/>
          <w:u w:val="wave" w:color="auto"/>
        </w:rPr>
        <w:t>月</w:t>
      </w:r>
      <w:r>
        <w:rPr>
          <w:rFonts w:hint="eastAsia" w:asciiTheme="minorEastAsia" w:hAnsiTheme="minorEastAsia" w:eastAsiaTheme="minorEastAsia"/>
          <w:color w:val="auto"/>
          <w:sz w:val="22"/>
          <w:u w:val="wave" w:color="auto"/>
        </w:rPr>
        <w:t>1</w:t>
      </w:r>
      <w:r>
        <w:rPr>
          <w:rFonts w:hint="eastAsia" w:asciiTheme="minorEastAsia" w:hAnsiTheme="minorEastAsia" w:eastAsiaTheme="minorEastAsia"/>
          <w:color w:val="auto"/>
          <w:sz w:val="22"/>
          <w:u w:val="wave" w:color="auto"/>
        </w:rPr>
        <w:t>日以降、この他に変更届の提出が必要となる事項があった場合に、併せて運営規程等に関する変更届を提出してください。</w:t>
      </w:r>
    </w:p>
    <w:p>
      <w:pPr>
        <w:pStyle w:val="0"/>
        <w:snapToGrid w:val="0"/>
        <w:rPr>
          <w:rFonts w:hint="eastAsia" w:asciiTheme="minorEastAsia" w:hAnsiTheme="minorEastAsia" w:eastAsiaTheme="minorEastAsia"/>
          <w:color w:val="auto"/>
          <w:sz w:val="22"/>
        </w:rPr>
      </w:pPr>
      <w:r>
        <w:rPr>
          <w:rFonts w:hint="eastAsia" w:asciiTheme="minorEastAsia" w:hAnsiTheme="minorEastAsia" w:eastAsiaTheme="minorEastAsia"/>
          <w:color w:val="auto"/>
          <w:sz w:val="22"/>
        </w:rPr>
        <w:t>【運営規程　記載例】</w:t>
      </w:r>
    </w:p>
    <w:p>
      <w:pPr>
        <w:pStyle w:val="0"/>
        <w:snapToGrid w:val="0"/>
        <w:rPr>
          <w:rFonts w:hint="eastAsia" w:asciiTheme="minorEastAsia" w:hAnsiTheme="minorEastAsia" w:eastAsiaTheme="minorEastAsia"/>
          <w:color w:val="auto"/>
          <w:sz w:val="22"/>
        </w:rPr>
      </w:pPr>
      <w:r>
        <w:rPr>
          <w:rFonts w:hint="eastAsia" w:asciiTheme="minorEastAsia" w:hAnsiTheme="minorEastAsia" w:eastAsiaTheme="minorEastAsia"/>
          <w:color w:val="auto"/>
          <w:sz w:val="22"/>
        </w:rPr>
        <w:t>（虐待防止に関する事項）</w:t>
      </w:r>
    </w:p>
    <w:p>
      <w:pPr>
        <w:pStyle w:val="0"/>
        <w:snapToGrid w:val="0"/>
        <w:ind w:left="220" w:hanging="220" w:hangingChars="100"/>
        <w:rPr>
          <w:rFonts w:hint="eastAsia" w:asciiTheme="minorEastAsia" w:hAnsiTheme="minorEastAsia" w:eastAsiaTheme="minorEastAsia"/>
          <w:color w:val="auto"/>
          <w:sz w:val="22"/>
        </w:rPr>
      </w:pPr>
      <w:r>
        <w:rPr>
          <w:rFonts w:hint="eastAsia" w:asciiTheme="minorEastAsia" w:hAnsiTheme="minorEastAsia" w:eastAsiaTheme="minorEastAsia"/>
          <w:color w:val="auto"/>
          <w:sz w:val="22"/>
        </w:rPr>
        <w:t>第○条　事業所は、利用者の人権の擁護・虐待等の防止のため次の措置を講ずるものとする。</w:t>
      </w:r>
    </w:p>
    <w:p>
      <w:pPr>
        <w:pStyle w:val="0"/>
        <w:snapToGrid w:val="0"/>
        <w:rPr>
          <w:rFonts w:hint="eastAsia" w:asciiTheme="minorEastAsia" w:hAnsiTheme="minorEastAsia" w:eastAsiaTheme="minorEastAsia"/>
          <w:color w:val="auto"/>
          <w:sz w:val="22"/>
        </w:rPr>
      </w:pPr>
      <w:r>
        <w:rPr>
          <w:rFonts w:hint="eastAsia" w:asciiTheme="minorEastAsia" w:hAnsiTheme="minorEastAsia" w:eastAsiaTheme="minorEastAsia"/>
          <w:color w:val="auto"/>
          <w:sz w:val="22"/>
        </w:rPr>
        <w:t>　</w:t>
      </w:r>
      <w:r>
        <w:rPr>
          <w:rFonts w:hint="eastAsia" w:asciiTheme="minorEastAsia" w:hAnsiTheme="minorEastAsia" w:eastAsiaTheme="minorEastAsia"/>
          <w:color w:val="auto"/>
          <w:sz w:val="22"/>
        </w:rPr>
        <w:t>(</w:t>
      </w:r>
      <w:r>
        <w:rPr>
          <w:rFonts w:hint="eastAsia" w:asciiTheme="minorEastAsia" w:hAnsiTheme="minorEastAsia" w:eastAsiaTheme="minorEastAsia"/>
          <w:color w:val="auto"/>
          <w:sz w:val="22"/>
        </w:rPr>
        <w:t>１</w:t>
      </w:r>
      <w:r>
        <w:rPr>
          <w:rFonts w:hint="eastAsia" w:asciiTheme="minorEastAsia" w:hAnsiTheme="minorEastAsia" w:eastAsiaTheme="minorEastAsia"/>
          <w:color w:val="auto"/>
          <w:sz w:val="22"/>
        </w:rPr>
        <w:t>)</w:t>
      </w:r>
      <w:r>
        <w:rPr>
          <w:rFonts w:hint="eastAsia" w:asciiTheme="minorEastAsia" w:hAnsiTheme="minorEastAsia" w:eastAsiaTheme="minorEastAsia"/>
          <w:color w:val="auto"/>
          <w:sz w:val="22"/>
        </w:rPr>
        <w:t>虐待の防止に係る対策を検討するための委員会を定期的に開催するとともに、その結果について、従業者に十分に周知する。</w:t>
      </w:r>
    </w:p>
    <w:p>
      <w:pPr>
        <w:pStyle w:val="0"/>
        <w:snapToGrid w:val="0"/>
        <w:rPr>
          <w:rFonts w:hint="eastAsia" w:asciiTheme="minorEastAsia" w:hAnsiTheme="minorEastAsia" w:eastAsiaTheme="minorEastAsia"/>
          <w:color w:val="auto"/>
          <w:sz w:val="22"/>
        </w:rPr>
      </w:pPr>
      <w:r>
        <w:rPr>
          <w:rFonts w:hint="eastAsia" w:asciiTheme="minorEastAsia" w:hAnsiTheme="minorEastAsia" w:eastAsiaTheme="minorEastAsia"/>
          <w:color w:val="auto"/>
          <w:sz w:val="22"/>
        </w:rPr>
        <w:t>　</w:t>
      </w:r>
      <w:r>
        <w:rPr>
          <w:rFonts w:hint="eastAsia" w:asciiTheme="minorEastAsia" w:hAnsiTheme="minorEastAsia" w:eastAsiaTheme="minorEastAsia"/>
          <w:color w:val="auto"/>
          <w:sz w:val="22"/>
        </w:rPr>
        <w:t>(</w:t>
      </w:r>
      <w:r>
        <w:rPr>
          <w:rFonts w:hint="eastAsia" w:asciiTheme="minorEastAsia" w:hAnsiTheme="minorEastAsia" w:eastAsiaTheme="minorEastAsia"/>
          <w:color w:val="auto"/>
          <w:sz w:val="22"/>
        </w:rPr>
        <w:t>２</w:t>
      </w:r>
      <w:r>
        <w:rPr>
          <w:rFonts w:hint="eastAsia" w:asciiTheme="minorEastAsia" w:hAnsiTheme="minorEastAsia" w:eastAsiaTheme="minorEastAsia"/>
          <w:color w:val="auto"/>
          <w:sz w:val="22"/>
        </w:rPr>
        <w:t>)</w:t>
      </w:r>
      <w:r>
        <w:rPr>
          <w:rFonts w:hint="eastAsia" w:asciiTheme="minorEastAsia" w:hAnsiTheme="minorEastAsia" w:eastAsiaTheme="minorEastAsia"/>
          <w:color w:val="auto"/>
          <w:sz w:val="22"/>
        </w:rPr>
        <w:t>虐待の防止のための指針を整備する。</w:t>
      </w:r>
    </w:p>
    <w:p>
      <w:pPr>
        <w:pStyle w:val="0"/>
        <w:snapToGrid w:val="0"/>
        <w:rPr>
          <w:rFonts w:hint="eastAsia" w:asciiTheme="minorEastAsia" w:hAnsiTheme="minorEastAsia" w:eastAsiaTheme="minorEastAsia"/>
          <w:color w:val="auto"/>
          <w:sz w:val="22"/>
        </w:rPr>
      </w:pPr>
      <w:r>
        <w:rPr>
          <w:rFonts w:hint="eastAsia" w:asciiTheme="minorEastAsia" w:hAnsiTheme="minorEastAsia" w:eastAsiaTheme="minorEastAsia"/>
          <w:color w:val="auto"/>
          <w:sz w:val="22"/>
        </w:rPr>
        <w:t>　</w:t>
      </w:r>
      <w:r>
        <w:rPr>
          <w:rFonts w:hint="eastAsia" w:asciiTheme="minorEastAsia" w:hAnsiTheme="minorEastAsia" w:eastAsiaTheme="minorEastAsia"/>
          <w:color w:val="auto"/>
          <w:sz w:val="22"/>
        </w:rPr>
        <w:t>(</w:t>
      </w:r>
      <w:r>
        <w:rPr>
          <w:rFonts w:hint="eastAsia" w:asciiTheme="minorEastAsia" w:hAnsiTheme="minorEastAsia" w:eastAsiaTheme="minorEastAsia"/>
          <w:color w:val="auto"/>
          <w:sz w:val="22"/>
        </w:rPr>
        <w:t>３</w:t>
      </w:r>
      <w:r>
        <w:rPr>
          <w:rFonts w:hint="eastAsia" w:asciiTheme="minorEastAsia" w:hAnsiTheme="minorEastAsia" w:eastAsiaTheme="minorEastAsia"/>
          <w:color w:val="auto"/>
          <w:sz w:val="22"/>
        </w:rPr>
        <w:t>)</w:t>
      </w:r>
      <w:r>
        <w:rPr>
          <w:rFonts w:hint="eastAsia" w:asciiTheme="minorEastAsia" w:hAnsiTheme="minorEastAsia" w:eastAsiaTheme="minorEastAsia"/>
          <w:color w:val="auto"/>
          <w:sz w:val="22"/>
        </w:rPr>
        <w:t>従業者に対し、虐待の防止のための研修を定期的に実施する。</w:t>
      </w:r>
    </w:p>
    <w:p>
      <w:pPr>
        <w:pStyle w:val="0"/>
        <w:snapToGrid w:val="0"/>
        <w:rPr>
          <w:rFonts w:hint="eastAsia" w:asciiTheme="minorEastAsia" w:hAnsiTheme="minorEastAsia" w:eastAsiaTheme="minorEastAsia"/>
          <w:color w:val="auto"/>
          <w:sz w:val="22"/>
        </w:rPr>
      </w:pPr>
      <w:r>
        <w:rPr>
          <w:rFonts w:hint="eastAsia" w:asciiTheme="minorEastAsia" w:hAnsiTheme="minorEastAsia" w:eastAsiaTheme="minorEastAsia"/>
          <w:color w:val="auto"/>
          <w:sz w:val="22"/>
        </w:rPr>
        <w:t>　</w:t>
      </w:r>
      <w:r>
        <w:rPr>
          <w:rFonts w:hint="eastAsia" w:asciiTheme="minorEastAsia" w:hAnsiTheme="minorEastAsia" w:eastAsiaTheme="minorEastAsia"/>
          <w:color w:val="auto"/>
          <w:sz w:val="22"/>
        </w:rPr>
        <w:t>(</w:t>
      </w:r>
      <w:r>
        <w:rPr>
          <w:rFonts w:hint="eastAsia" w:asciiTheme="minorEastAsia" w:hAnsiTheme="minorEastAsia" w:eastAsiaTheme="minorEastAsia"/>
          <w:color w:val="auto"/>
          <w:sz w:val="22"/>
        </w:rPr>
        <w:t>４</w:t>
      </w:r>
      <w:r>
        <w:rPr>
          <w:rFonts w:hint="eastAsia" w:asciiTheme="minorEastAsia" w:hAnsiTheme="minorEastAsia" w:eastAsiaTheme="minorEastAsia"/>
          <w:color w:val="auto"/>
          <w:sz w:val="22"/>
        </w:rPr>
        <w:t>)</w:t>
      </w:r>
      <w:r>
        <w:rPr>
          <w:rFonts w:hint="eastAsia" w:asciiTheme="minorEastAsia" w:hAnsiTheme="minorEastAsia" w:eastAsiaTheme="minorEastAsia"/>
          <w:color w:val="auto"/>
          <w:sz w:val="22"/>
        </w:rPr>
        <w:t>前３号に掲げる措置を適切に実施するための担当者を置く。</w:t>
      </w:r>
    </w:p>
    <w:p>
      <w:pPr>
        <w:pStyle w:val="0"/>
        <w:snapToGrid w:val="0"/>
        <w:rPr>
          <w:rFonts w:hint="eastAsia" w:asciiTheme="minorEastAsia" w:hAnsiTheme="minorEastAsia" w:eastAsiaTheme="minorEastAsia"/>
          <w:color w:val="auto"/>
          <w:sz w:val="22"/>
        </w:rPr>
      </w:pPr>
      <w:r>
        <w:rPr>
          <w:rFonts w:hint="eastAsia" w:asciiTheme="minorEastAsia" w:hAnsiTheme="minorEastAsia" w:eastAsiaTheme="minorEastAsia"/>
          <w:color w:val="auto"/>
          <w:sz w:val="22"/>
        </w:rPr>
        <w:t>２　前項第</w:t>
      </w:r>
      <w:r>
        <w:rPr>
          <w:rFonts w:hint="eastAsia" w:asciiTheme="minorEastAsia" w:hAnsiTheme="minorEastAsia" w:eastAsiaTheme="minorEastAsia"/>
          <w:color w:val="auto"/>
          <w:sz w:val="22"/>
        </w:rPr>
        <w:t>1</w:t>
      </w:r>
      <w:r>
        <w:rPr>
          <w:rFonts w:hint="eastAsia" w:asciiTheme="minorEastAsia" w:hAnsiTheme="minorEastAsia" w:eastAsiaTheme="minorEastAsia"/>
          <w:color w:val="auto"/>
          <w:sz w:val="22"/>
        </w:rPr>
        <w:t>号に規定する委員会は、テレビ電話装置等を活用して行うことができるものとする。</w:t>
      </w:r>
    </w:p>
    <w:p>
      <w:pPr>
        <w:pStyle w:val="0"/>
        <w:snapToGrid w:val="0"/>
        <w:rPr>
          <w:rFonts w:hint="eastAsia" w:asciiTheme="minorEastAsia" w:hAnsiTheme="minorEastAsia" w:eastAsiaTheme="minorEastAsia"/>
          <w:sz w:val="22"/>
        </w:rPr>
      </w:pP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●認知症介護基礎研修の受講の義務付け（３年間の経過措置があります）</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認知症について理解の下、本人主体の介護を行い、認知症の人の尊厳の保障を実現していく観点から、介護に関わる全ての者の認知症対応力を向上させていくため、介護に直接携わる職員のうち、医療・福祉関係の資格を有さない者について、認知症介護基礎研修を受講させるために必要な措置を講じることを義務付けされます。</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新入職員の受講については１年の猶予期間を設けることとする。</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【該当サービス】</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・全サービス共通</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→３年間の経過措置期間と、新入職員の受講については１年の猶予期間がもうけられています。研修はｅラーニング等で受講することが可能です。</w:t>
      </w:r>
    </w:p>
    <w:p>
      <w:pPr>
        <w:pStyle w:val="0"/>
        <w:rPr>
          <w:rFonts w:hint="eastAsia" w:asciiTheme="minorEastAsia" w:hAnsiTheme="minorEastAsia" w:eastAsiaTheme="minorEastAsia"/>
          <w:color w:val="000000" w:themeColor="text1"/>
          <w:sz w:val="22"/>
        </w:rPr>
      </w:pPr>
    </w:p>
    <w:p>
      <w:pPr>
        <w:pStyle w:val="0"/>
        <w:rPr>
          <w:rFonts w:hint="eastAsia" w:ascii="ＭＳ 明朝" w:hAnsi="ＭＳ 明朝" w:eastAsia="ＭＳ 明朝"/>
          <w:sz w:val="28"/>
        </w:rPr>
      </w:pPr>
      <w:r>
        <w:rPr>
          <w:rFonts w:hint="eastAsia" w:ascii="ＭＳ 明朝" w:hAnsi="ＭＳ 明朝" w:eastAsia="ＭＳ 明朝"/>
          <w:b w:val="1"/>
          <w:sz w:val="28"/>
        </w:rPr>
        <w:t>＜令和</w:t>
      </w:r>
      <w:r>
        <w:rPr>
          <w:rFonts w:hint="eastAsia" w:ascii="ＭＳ 明朝" w:hAnsi="ＭＳ 明朝" w:eastAsia="ＭＳ 明朝"/>
          <w:b w:val="1"/>
          <w:sz w:val="28"/>
        </w:rPr>
        <w:t>3</w:t>
      </w:r>
      <w:r>
        <w:rPr>
          <w:rFonts w:hint="eastAsia" w:ascii="ＭＳ 明朝" w:hAnsi="ＭＳ 明朝" w:eastAsia="ＭＳ 明朝"/>
          <w:b w:val="1"/>
          <w:sz w:val="28"/>
        </w:rPr>
        <w:t>年度法改正　居宅介護支援事業所における改正ポイント＞</w:t>
      </w:r>
    </w:p>
    <w:p>
      <w:pPr>
        <w:pStyle w:val="0"/>
        <w:rPr>
          <w:rFonts w:hint="eastAsia" w:ascii="ＭＳ 明朝" w:hAnsi="ＭＳ 明朝" w:eastAsia="ＭＳ 明朝"/>
          <w:sz w:val="22"/>
        </w:rPr>
      </w:pPr>
      <w:r>
        <w:rPr>
          <w:rFonts w:hint="eastAsia" w:ascii="ＭＳ 明朝" w:hAnsi="ＭＳ 明朝" w:eastAsia="ＭＳ 明朝"/>
          <w:sz w:val="22"/>
        </w:rPr>
        <w:t xml:space="preserve"> </w:t>
      </w:r>
      <w:r>
        <w:rPr>
          <w:rFonts w:hint="eastAsia" w:ascii="ＭＳ 明朝" w:hAnsi="ＭＳ 明朝" w:eastAsia="ＭＳ 明朝"/>
          <w:b w:val="1"/>
          <w:sz w:val="22"/>
        </w:rPr>
        <w:t>基本報酬の引き上げ</w:t>
      </w:r>
    </w:p>
    <w:p>
      <w:pPr>
        <w:pStyle w:val="0"/>
        <w:rPr>
          <w:rFonts w:hint="eastAsia" w:ascii="ＭＳ 明朝" w:hAnsi="ＭＳ 明朝" w:eastAsia="ＭＳ 明朝"/>
          <w:b w:val="1"/>
          <w:sz w:val="22"/>
        </w:rPr>
      </w:pPr>
      <w:r>
        <w:rPr>
          <w:rFonts w:hint="eastAsia"/>
        </w:rPr>
        <w:drawing>
          <wp:inline distT="0" distB="0" distL="203200" distR="203200">
            <wp:extent cx="5400040" cy="1905635"/>
            <wp:effectExtent l="0" t="0" r="0" b="0"/>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5"/>
                    <a:stretch>
                      <a:fillRect/>
                    </a:stretch>
                  </pic:blipFill>
                  <pic:spPr>
                    <a:xfrm>
                      <a:off x="0" y="0"/>
                      <a:ext cx="5400040" cy="1905635"/>
                    </a:xfrm>
                    <a:prstGeom prst="rect">
                      <a:avLst/>
                    </a:prstGeom>
                  </pic:spPr>
                </pic:pic>
              </a:graphicData>
            </a:graphic>
          </wp:inline>
        </w:drawing>
      </w:r>
    </w:p>
    <w:p>
      <w:pPr>
        <w:pStyle w:val="0"/>
        <w:snapToGrid w:val="0"/>
        <w:rPr>
          <w:rFonts w:hint="eastAsia" w:ascii="ＭＳ 明朝" w:hAnsi="ＭＳ 明朝" w:eastAsia="ＭＳ 明朝"/>
          <w:b w:val="1"/>
          <w:sz w:val="22"/>
        </w:rPr>
      </w:pPr>
    </w:p>
    <w:p>
      <w:pPr>
        <w:pStyle w:val="0"/>
        <w:snapToGrid w:val="0"/>
        <w:rPr>
          <w:rFonts w:hint="eastAsia" w:asciiTheme="minorEastAsia" w:hAnsiTheme="minorEastAsia" w:eastAsiaTheme="minorEastAsia"/>
          <w:b w:val="1"/>
          <w:sz w:val="22"/>
        </w:rPr>
      </w:pPr>
      <w:r>
        <w:rPr>
          <w:rFonts w:hint="eastAsia" w:asciiTheme="minorEastAsia" w:hAnsiTheme="minorEastAsia" w:eastAsiaTheme="minorEastAsia"/>
          <w:b w:val="1"/>
          <w:sz w:val="22"/>
        </w:rPr>
        <w:t>看取り期における本人の意思に沿ったケアの充実</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　看取りに係る加算の算定要件に、「人生の最終段階における医療・ケアの決定プロセスに関するガイドライン」等の内容に沿った取組を行うことを求める。</w:t>
      </w:r>
    </w:p>
    <w:p>
      <w:pPr>
        <w:pStyle w:val="0"/>
        <w:snapToGrid w:val="0"/>
        <w:rPr>
          <w:rFonts w:hint="eastAsia" w:asciiTheme="minorEastAsia" w:hAnsiTheme="minorEastAsia" w:eastAsiaTheme="minorEastAsia"/>
          <w:sz w:val="22"/>
        </w:rPr>
      </w:pPr>
    </w:p>
    <w:p>
      <w:pPr>
        <w:pStyle w:val="0"/>
        <w:snapToGrid w:val="0"/>
        <w:rPr>
          <w:rFonts w:hint="eastAsia" w:asciiTheme="minorEastAsia" w:hAnsiTheme="minorEastAsia" w:eastAsiaTheme="minorEastAsia"/>
          <w:b w:val="1"/>
          <w:sz w:val="22"/>
        </w:rPr>
      </w:pPr>
      <w:r>
        <w:rPr>
          <w:rFonts w:hint="eastAsia" w:asciiTheme="minorEastAsia" w:hAnsiTheme="minorEastAsia" w:eastAsiaTheme="minorEastAsia"/>
          <w:b w:val="1"/>
          <w:sz w:val="22"/>
        </w:rPr>
        <w:t>退院・退所時のカンファレンスにおける福祉用具専門相談員等の参画促進</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　退院・退所加算のカンファレンスの要件について、以下の内容を通知に記載。</w:t>
      </w:r>
    </w:p>
    <w:p>
      <w:pPr>
        <w:pStyle w:val="0"/>
        <w:snapToGrid w:val="0"/>
        <w:rPr>
          <w:rFonts w:hint="eastAsia" w:asciiTheme="minorEastAsia" w:hAnsiTheme="minorEastAsia" w:eastAsiaTheme="minorEastAsia"/>
          <w:sz w:val="22"/>
        </w:rPr>
      </w:pPr>
    </w:p>
    <w:p>
      <w:pPr>
        <w:pStyle w:val="0"/>
        <w:rPr>
          <w:rFonts w:hint="eastAsia" w:ascii="ＭＳ 明朝" w:hAnsi="ＭＳ 明朝" w:eastAsia="ＭＳ 明朝"/>
          <w:sz w:val="22"/>
        </w:rPr>
      </w:pPr>
      <w:r>
        <w:rPr>
          <w:rFonts w:hint="eastAsia"/>
        </w:rPr>
        <w:drawing>
          <wp:inline distT="0" distB="0" distL="203200" distR="203200">
            <wp:extent cx="5590540" cy="3030220"/>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6"/>
                    <a:stretch>
                      <a:fillRect/>
                    </a:stretch>
                  </pic:blipFill>
                  <pic:spPr>
                    <a:xfrm>
                      <a:off x="0" y="0"/>
                      <a:ext cx="5590540" cy="3030220"/>
                    </a:xfrm>
                    <a:prstGeom prst="rect">
                      <a:avLst/>
                    </a:prstGeom>
                  </pic:spPr>
                </pic:pic>
              </a:graphicData>
            </a:graphic>
          </wp:inline>
        </w:drawing>
      </w:r>
    </w:p>
    <w:p>
      <w:pPr>
        <w:pStyle w:val="0"/>
        <w:snapToGrid w:val="0"/>
        <w:rPr>
          <w:rFonts w:hint="eastAsia" w:asciiTheme="minorEastAsia" w:hAnsiTheme="minorEastAsia" w:eastAsiaTheme="minorEastAsia"/>
          <w:b w:val="1"/>
          <w:sz w:val="22"/>
        </w:rPr>
      </w:pPr>
    </w:p>
    <w:p>
      <w:pPr>
        <w:pStyle w:val="0"/>
        <w:snapToGrid w:val="0"/>
        <w:rPr>
          <w:rFonts w:hint="eastAsia" w:asciiTheme="minorEastAsia" w:hAnsiTheme="minorEastAsia" w:eastAsiaTheme="minorEastAsia"/>
          <w:b w:val="1"/>
          <w:sz w:val="22"/>
        </w:rPr>
      </w:pPr>
      <w:r>
        <w:rPr>
          <w:rFonts w:hint="eastAsia" w:asciiTheme="minorEastAsia" w:hAnsiTheme="minorEastAsia" w:eastAsiaTheme="minorEastAsia"/>
          <w:b w:val="1"/>
          <w:sz w:val="22"/>
        </w:rPr>
        <w:t>質の高いケアマネジメントの推進（特定事業所加算の見直し等）</w:t>
      </w:r>
    </w:p>
    <w:p>
      <w:pPr>
        <w:pStyle w:val="0"/>
        <w:snapToGrid w:val="0"/>
        <w:ind w:firstLine="220" w:firstLineChars="100"/>
        <w:rPr>
          <w:rFonts w:hint="eastAsia" w:asciiTheme="minorEastAsia" w:hAnsiTheme="minorEastAsia" w:eastAsiaTheme="minorEastAsia"/>
          <w:sz w:val="22"/>
        </w:rPr>
      </w:pPr>
      <w:r>
        <w:rPr>
          <w:rFonts w:hint="eastAsia" w:asciiTheme="minorEastAsia" w:hAnsiTheme="minorEastAsia" w:eastAsiaTheme="minorEastAsia"/>
          <w:b w:val="1"/>
          <w:sz w:val="22"/>
        </w:rPr>
        <w:t>特定事業所加算</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 xml:space="preserve"> </w:t>
      </w:r>
      <w:r>
        <w:rPr>
          <w:rFonts w:hint="eastAsia" w:asciiTheme="minorEastAsia" w:hAnsiTheme="minorEastAsia" w:eastAsiaTheme="minorEastAsia"/>
          <w:sz w:val="22"/>
        </w:rPr>
        <w:t>　特定事業所加算について、以下の見直しを行う。</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ア　必要に応じて、多様な主体等が提供する生活支援のサービス（インフォーマルサービスを含む）が包括的に提供されるような居宅サービス計画を作成していることを要件として求める。</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イ　小規模事業所が事業所間連携により質の高いケアマネジメントを実現していくよう、事業所間連携により体制確保や対応等を行う事業所を評価するような区分を創設する。</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ウ　特定事業所加算（Ⅳ）について、加算（Ⅰ）から（Ⅲ）までと異なり、病院との連携や看取りへの対応の状況を要件とするものであることを踏まえ、医療と介護の連携を推進する観点から、特定事業所加算から切り離した別個の加算とする。</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＜改定前　⇒　改定後＞</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 xml:space="preserve"> </w:t>
      </w:r>
      <w:r>
        <w:rPr>
          <w:rFonts w:hint="eastAsia" w:asciiTheme="minorEastAsia" w:hAnsiTheme="minorEastAsia" w:eastAsiaTheme="minorEastAsia"/>
          <w:sz w:val="22"/>
        </w:rPr>
        <w:t>特定事業所加算（Ⅰ）　</w:t>
      </w:r>
      <w:r>
        <w:rPr>
          <w:rFonts w:hint="eastAsia" w:asciiTheme="minorEastAsia" w:hAnsiTheme="minorEastAsia" w:eastAsiaTheme="minorEastAsia"/>
          <w:sz w:val="22"/>
        </w:rPr>
        <w:t>500</w:t>
      </w:r>
      <w:r>
        <w:rPr>
          <w:rFonts w:hint="eastAsia" w:asciiTheme="minorEastAsia" w:hAnsiTheme="minorEastAsia" w:eastAsiaTheme="minorEastAsia"/>
          <w:sz w:val="22"/>
        </w:rPr>
        <w:t>単位</w:t>
      </w:r>
      <w:r>
        <w:rPr>
          <w:rFonts w:hint="eastAsia" w:asciiTheme="minorEastAsia" w:hAnsiTheme="minorEastAsia" w:eastAsiaTheme="minorEastAsia"/>
          <w:sz w:val="22"/>
        </w:rPr>
        <w:t>/</w:t>
      </w:r>
      <w:r>
        <w:rPr>
          <w:rFonts w:hint="eastAsia" w:asciiTheme="minorEastAsia" w:hAnsiTheme="minorEastAsia" w:eastAsiaTheme="minorEastAsia"/>
          <w:sz w:val="22"/>
        </w:rPr>
        <w:t>月　⇒　特定事業所加算（Ⅰ）</w:t>
      </w:r>
      <w:r>
        <w:rPr>
          <w:rFonts w:hint="eastAsia" w:asciiTheme="minorEastAsia" w:hAnsiTheme="minorEastAsia" w:eastAsiaTheme="minorEastAsia"/>
          <w:sz w:val="22"/>
        </w:rPr>
        <w:t>505</w:t>
      </w:r>
      <w:r>
        <w:rPr>
          <w:rFonts w:hint="eastAsia" w:asciiTheme="minorEastAsia" w:hAnsiTheme="minorEastAsia" w:eastAsiaTheme="minorEastAsia"/>
          <w:sz w:val="22"/>
        </w:rPr>
        <w:t>単位</w:t>
      </w:r>
      <w:r>
        <w:rPr>
          <w:rFonts w:hint="eastAsia" w:asciiTheme="minorEastAsia" w:hAnsiTheme="minorEastAsia" w:eastAsiaTheme="minorEastAsia"/>
          <w:sz w:val="22"/>
        </w:rPr>
        <w:t>/</w:t>
      </w:r>
      <w:r>
        <w:rPr>
          <w:rFonts w:hint="eastAsia" w:asciiTheme="minorEastAsia" w:hAnsiTheme="minorEastAsia" w:eastAsiaTheme="minorEastAsia"/>
          <w:sz w:val="22"/>
        </w:rPr>
        <w:t>月</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 xml:space="preserve"> </w:t>
      </w:r>
      <w:r>
        <w:rPr>
          <w:rFonts w:hint="eastAsia" w:asciiTheme="minorEastAsia" w:hAnsiTheme="minorEastAsia" w:eastAsiaTheme="minorEastAsia"/>
          <w:sz w:val="22"/>
        </w:rPr>
        <w:t>特定事業所加算（Ⅱ）　</w:t>
      </w:r>
      <w:r>
        <w:rPr>
          <w:rFonts w:hint="eastAsia" w:asciiTheme="minorEastAsia" w:hAnsiTheme="minorEastAsia" w:eastAsiaTheme="minorEastAsia"/>
          <w:sz w:val="22"/>
        </w:rPr>
        <w:t>400</w:t>
      </w:r>
      <w:r>
        <w:rPr>
          <w:rFonts w:hint="eastAsia" w:asciiTheme="minorEastAsia" w:hAnsiTheme="minorEastAsia" w:eastAsiaTheme="minorEastAsia"/>
          <w:sz w:val="22"/>
        </w:rPr>
        <w:t>単位</w:t>
      </w:r>
      <w:r>
        <w:rPr>
          <w:rFonts w:hint="eastAsia" w:asciiTheme="minorEastAsia" w:hAnsiTheme="minorEastAsia" w:eastAsiaTheme="minorEastAsia"/>
          <w:sz w:val="22"/>
        </w:rPr>
        <w:t>/</w:t>
      </w:r>
      <w:r>
        <w:rPr>
          <w:rFonts w:hint="eastAsia" w:asciiTheme="minorEastAsia" w:hAnsiTheme="minorEastAsia" w:eastAsiaTheme="minorEastAsia"/>
          <w:sz w:val="22"/>
        </w:rPr>
        <w:t>月　⇒　特定事業所加算（Ⅱ）</w:t>
      </w:r>
      <w:r>
        <w:rPr>
          <w:rFonts w:hint="eastAsia" w:asciiTheme="minorEastAsia" w:hAnsiTheme="minorEastAsia" w:eastAsiaTheme="minorEastAsia"/>
          <w:sz w:val="22"/>
        </w:rPr>
        <w:t>407</w:t>
      </w:r>
      <w:r>
        <w:rPr>
          <w:rFonts w:hint="eastAsia" w:asciiTheme="minorEastAsia" w:hAnsiTheme="minorEastAsia" w:eastAsiaTheme="minorEastAsia"/>
          <w:sz w:val="22"/>
        </w:rPr>
        <w:t>単位</w:t>
      </w:r>
      <w:r>
        <w:rPr>
          <w:rFonts w:hint="eastAsia" w:asciiTheme="minorEastAsia" w:hAnsiTheme="minorEastAsia" w:eastAsiaTheme="minorEastAsia"/>
          <w:sz w:val="22"/>
        </w:rPr>
        <w:t>/</w:t>
      </w:r>
      <w:r>
        <w:rPr>
          <w:rFonts w:hint="eastAsia" w:asciiTheme="minorEastAsia" w:hAnsiTheme="minorEastAsia" w:eastAsiaTheme="minorEastAsia"/>
          <w:sz w:val="22"/>
        </w:rPr>
        <w:t>月</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 xml:space="preserve"> </w:t>
      </w:r>
      <w:r>
        <w:rPr>
          <w:rFonts w:hint="eastAsia" w:asciiTheme="minorEastAsia" w:hAnsiTheme="minorEastAsia" w:eastAsiaTheme="minorEastAsia"/>
          <w:sz w:val="22"/>
        </w:rPr>
        <w:t>特定事業所加算（Ⅲ）　</w:t>
      </w:r>
      <w:r>
        <w:rPr>
          <w:rFonts w:hint="eastAsia" w:asciiTheme="minorEastAsia" w:hAnsiTheme="minorEastAsia" w:eastAsiaTheme="minorEastAsia"/>
          <w:sz w:val="22"/>
        </w:rPr>
        <w:t>300</w:t>
      </w:r>
      <w:r>
        <w:rPr>
          <w:rFonts w:hint="eastAsia" w:asciiTheme="minorEastAsia" w:hAnsiTheme="minorEastAsia" w:eastAsiaTheme="minorEastAsia"/>
          <w:sz w:val="22"/>
        </w:rPr>
        <w:t>単位</w:t>
      </w:r>
      <w:r>
        <w:rPr>
          <w:rFonts w:hint="eastAsia" w:asciiTheme="minorEastAsia" w:hAnsiTheme="minorEastAsia" w:eastAsiaTheme="minorEastAsia"/>
          <w:sz w:val="22"/>
        </w:rPr>
        <w:t>/</w:t>
      </w:r>
      <w:r>
        <w:rPr>
          <w:rFonts w:hint="eastAsia" w:asciiTheme="minorEastAsia" w:hAnsiTheme="minorEastAsia" w:eastAsiaTheme="minorEastAsia"/>
          <w:sz w:val="22"/>
        </w:rPr>
        <w:t>月　⇒　特定事業所加算（Ⅲ）</w:t>
      </w:r>
      <w:r>
        <w:rPr>
          <w:rFonts w:hint="eastAsia" w:asciiTheme="minorEastAsia" w:hAnsiTheme="minorEastAsia" w:eastAsiaTheme="minorEastAsia"/>
          <w:sz w:val="22"/>
        </w:rPr>
        <w:t>309</w:t>
      </w:r>
      <w:r>
        <w:rPr>
          <w:rFonts w:hint="eastAsia" w:asciiTheme="minorEastAsia" w:hAnsiTheme="minorEastAsia" w:eastAsiaTheme="minorEastAsia"/>
          <w:sz w:val="22"/>
        </w:rPr>
        <w:t>単位</w:t>
      </w:r>
      <w:r>
        <w:rPr>
          <w:rFonts w:hint="eastAsia" w:asciiTheme="minorEastAsia" w:hAnsiTheme="minorEastAsia" w:eastAsiaTheme="minorEastAsia"/>
          <w:sz w:val="22"/>
        </w:rPr>
        <w:t>/</w:t>
      </w:r>
      <w:r>
        <w:rPr>
          <w:rFonts w:hint="eastAsia" w:asciiTheme="minorEastAsia" w:hAnsiTheme="minorEastAsia" w:eastAsiaTheme="minorEastAsia"/>
          <w:sz w:val="22"/>
        </w:rPr>
        <w:t>月</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なし　⇒　特定事業所加算（</w:t>
      </w:r>
      <w:r>
        <w:rPr>
          <w:rFonts w:hint="eastAsia" w:asciiTheme="minorEastAsia" w:hAnsiTheme="minorEastAsia" w:eastAsiaTheme="minorEastAsia"/>
          <w:sz w:val="22"/>
        </w:rPr>
        <w:t>A</w:t>
      </w:r>
      <w:r>
        <w:rPr>
          <w:rFonts w:hint="eastAsia" w:asciiTheme="minorEastAsia" w:hAnsiTheme="minorEastAsia" w:eastAsiaTheme="minorEastAsia"/>
          <w:sz w:val="22"/>
        </w:rPr>
        <w:t>）</w:t>
      </w:r>
      <w:r>
        <w:rPr>
          <w:rFonts w:hint="eastAsia" w:asciiTheme="minorEastAsia" w:hAnsiTheme="minorEastAsia" w:eastAsiaTheme="minorEastAsia"/>
          <w:sz w:val="22"/>
        </w:rPr>
        <w:t>100</w:t>
      </w:r>
      <w:r>
        <w:rPr>
          <w:rFonts w:hint="eastAsia" w:asciiTheme="minorEastAsia" w:hAnsiTheme="minorEastAsia" w:eastAsiaTheme="minorEastAsia"/>
          <w:sz w:val="22"/>
        </w:rPr>
        <w:t>単位</w:t>
      </w:r>
      <w:r>
        <w:rPr>
          <w:rFonts w:hint="eastAsia" w:asciiTheme="minorEastAsia" w:hAnsiTheme="minorEastAsia" w:eastAsiaTheme="minorEastAsia"/>
          <w:sz w:val="22"/>
        </w:rPr>
        <w:t>/</w:t>
      </w:r>
      <w:r>
        <w:rPr>
          <w:rFonts w:hint="eastAsia" w:asciiTheme="minorEastAsia" w:hAnsiTheme="minorEastAsia" w:eastAsiaTheme="minorEastAsia"/>
          <w:sz w:val="22"/>
        </w:rPr>
        <w:t>月（新設）</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 xml:space="preserve"> </w:t>
      </w:r>
      <w:r>
        <w:rPr>
          <w:rFonts w:hint="eastAsia" w:asciiTheme="minorEastAsia" w:hAnsiTheme="minorEastAsia" w:eastAsiaTheme="minorEastAsia"/>
          <w:sz w:val="22"/>
        </w:rPr>
        <w:t>特定事業所加算（Ⅳ）　</w:t>
      </w:r>
      <w:r>
        <w:rPr>
          <w:rFonts w:hint="eastAsia" w:asciiTheme="minorEastAsia" w:hAnsiTheme="minorEastAsia" w:eastAsiaTheme="minorEastAsia"/>
          <w:sz w:val="22"/>
        </w:rPr>
        <w:t>125</w:t>
      </w:r>
      <w:r>
        <w:rPr>
          <w:rFonts w:hint="eastAsia" w:asciiTheme="minorEastAsia" w:hAnsiTheme="minorEastAsia" w:eastAsiaTheme="minorEastAsia"/>
          <w:sz w:val="22"/>
        </w:rPr>
        <w:t>単位／月　⇒　特定事業所医療介護連携加算　</w:t>
      </w:r>
      <w:r>
        <w:rPr>
          <w:rFonts w:hint="eastAsia" w:asciiTheme="minorEastAsia" w:hAnsiTheme="minorEastAsia" w:eastAsiaTheme="minorEastAsia"/>
          <w:sz w:val="22"/>
        </w:rPr>
        <w:t>125</w:t>
      </w:r>
      <w:r>
        <w:rPr>
          <w:rFonts w:hint="eastAsia" w:asciiTheme="minorEastAsia" w:hAnsiTheme="minorEastAsia" w:eastAsiaTheme="minorEastAsia"/>
          <w:sz w:val="22"/>
        </w:rPr>
        <w:t>単位／月</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 xml:space="preserve"> </w:t>
      </w:r>
      <w:r>
        <w:rPr>
          <w:rFonts w:hint="eastAsia" w:asciiTheme="minorEastAsia" w:hAnsiTheme="minorEastAsia" w:eastAsiaTheme="minorEastAsia"/>
          <w:sz w:val="22"/>
        </w:rPr>
        <w:t>ケアマネジメントの公正中立性の確保を図る観点から、事業所に、以下について、利用者に説明を行うとともに、介護サービス情報公表制度において公表することを求める。</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・前６か月間に作成したケアプランにおける、訪問介護、通所介護、地域密着型通所介護、福祉用具貸与の各サービスの利用割合</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・前６か月間に作成したケアプランにおける、訪問介護、通所介護、地域密着型通所介護、福祉用具貸与の各サービスごとの、同一事業者によって提供されたものの割合</w:t>
      </w:r>
    </w:p>
    <w:p>
      <w:pPr>
        <w:pStyle w:val="0"/>
        <w:snapToGrid w:val="0"/>
        <w:rPr>
          <w:rFonts w:hint="eastAsia" w:asciiTheme="minorEastAsia" w:hAnsiTheme="minorEastAsia" w:eastAsiaTheme="minorEastAsia"/>
          <w:sz w:val="22"/>
        </w:rPr>
      </w:pPr>
    </w:p>
    <w:p>
      <w:pPr>
        <w:pStyle w:val="0"/>
        <w:snapToGrid w:val="0"/>
        <w:rPr>
          <w:rFonts w:hint="eastAsia" w:asciiTheme="minorEastAsia" w:hAnsiTheme="minorEastAsia" w:eastAsiaTheme="minorEastAsia"/>
          <w:b w:val="1"/>
          <w:sz w:val="22"/>
        </w:rPr>
      </w:pPr>
      <w:r>
        <w:rPr>
          <w:rFonts w:hint="eastAsia" w:asciiTheme="minorEastAsia" w:hAnsiTheme="minorEastAsia" w:eastAsiaTheme="minorEastAsia"/>
          <w:b w:val="1"/>
          <w:sz w:val="22"/>
        </w:rPr>
        <w:t>逓減の見直し</w:t>
      </w:r>
    </w:p>
    <w:p>
      <w:pPr>
        <w:pStyle w:val="0"/>
        <w:snapToGrid w:val="0"/>
        <w:ind w:firstLine="220" w:firstLineChars="100"/>
        <w:rPr>
          <w:rFonts w:hint="eastAsia" w:asciiTheme="minorEastAsia" w:hAnsiTheme="minorEastAsia" w:eastAsiaTheme="minorEastAsia"/>
          <w:sz w:val="22"/>
        </w:rPr>
      </w:pPr>
      <w:r>
        <w:rPr>
          <w:rFonts w:hint="eastAsia" w:asciiTheme="minorEastAsia" w:hAnsiTheme="minorEastAsia" w:eastAsiaTheme="minorEastAsia"/>
          <w:sz w:val="22"/>
        </w:rPr>
        <w:t>一定の</w:t>
      </w:r>
      <w:r>
        <w:rPr>
          <w:rFonts w:hint="eastAsia" w:asciiTheme="minorEastAsia" w:hAnsiTheme="minorEastAsia" w:eastAsiaTheme="minorEastAsia"/>
          <w:sz w:val="22"/>
        </w:rPr>
        <w:t>ICT</w:t>
      </w:r>
      <w:r>
        <w:rPr>
          <w:rFonts w:hint="eastAsia" w:asciiTheme="minorEastAsia" w:hAnsiTheme="minorEastAsia" w:eastAsiaTheme="minorEastAsia"/>
          <w:sz w:val="22"/>
        </w:rPr>
        <w:t>（</w:t>
      </w:r>
      <w:r>
        <w:rPr>
          <w:rFonts w:hint="eastAsia" w:asciiTheme="minorEastAsia" w:hAnsiTheme="minorEastAsia" w:eastAsiaTheme="minorEastAsia"/>
          <w:sz w:val="22"/>
        </w:rPr>
        <w:t>AI</w:t>
      </w:r>
      <w:r>
        <w:rPr>
          <w:rFonts w:hint="eastAsia" w:asciiTheme="minorEastAsia" w:hAnsiTheme="minorEastAsia" w:eastAsiaTheme="minorEastAsia"/>
          <w:sz w:val="22"/>
        </w:rPr>
        <w:t>を含む）の活用または事務職員の配置を行っている事業者については、逓減制の適用（居宅介護支援費（Ⅱ）の適用）を</w:t>
      </w:r>
      <w:r>
        <w:rPr>
          <w:rFonts w:hint="eastAsia" w:asciiTheme="minorEastAsia" w:hAnsiTheme="minorEastAsia" w:eastAsiaTheme="minorEastAsia"/>
          <w:sz w:val="22"/>
        </w:rPr>
        <w:t>45</w:t>
      </w:r>
      <w:r>
        <w:rPr>
          <w:rFonts w:hint="eastAsia" w:asciiTheme="minorEastAsia" w:hAnsiTheme="minorEastAsia" w:eastAsiaTheme="minorEastAsia"/>
          <w:sz w:val="22"/>
        </w:rPr>
        <w:t>件以上の部分からとする見直しを行う。その際、この取扱いを行う場合の逓減率（居宅介護支援（Ⅱ）および（Ⅲ）の単位数）について、メリハリをつけた設定とする見直しを行う。</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w:t>
      </w:r>
      <w:r>
        <w:rPr>
          <w:rFonts w:hint="eastAsia" w:asciiTheme="minorEastAsia" w:hAnsiTheme="minorEastAsia" w:eastAsiaTheme="minorEastAsia"/>
          <w:sz w:val="22"/>
        </w:rPr>
        <w:t xml:space="preserve"> </w:t>
      </w:r>
      <w:r>
        <w:rPr>
          <w:rFonts w:hint="eastAsia" w:asciiTheme="minorEastAsia" w:hAnsiTheme="minorEastAsia" w:eastAsiaTheme="minorEastAsia"/>
          <w:sz w:val="22"/>
        </w:rPr>
        <w:t>特定事業所加算における「介護支援専門員１人当たりの受け入れ可能な利用者数」について、この取扱いを踏まえた見直しを行う。</w:t>
      </w:r>
    </w:p>
    <w:p>
      <w:pPr>
        <w:pStyle w:val="0"/>
        <w:snapToGrid w:val="0"/>
        <w:ind w:firstLine="220" w:firstLineChars="100"/>
        <w:rPr>
          <w:rFonts w:hint="eastAsia" w:asciiTheme="minorEastAsia" w:hAnsiTheme="minorEastAsia" w:eastAsiaTheme="minorEastAsia"/>
          <w:sz w:val="22"/>
        </w:rPr>
      </w:pPr>
      <w:r>
        <w:rPr>
          <w:rFonts w:hint="eastAsia" w:asciiTheme="minorEastAsia" w:hAnsiTheme="minorEastAsia" w:eastAsiaTheme="minorEastAsia"/>
          <w:sz w:val="22"/>
        </w:rPr>
        <w:t>逓減制での介護支援専門員１人当たりの取扱件数の計算に当たり、現在、事業所が自然災害や感染症等による突発的な対応で利用者を受け入れた場合は、例外的に件数に含めないこととしているが、地域の実情を踏まえ、事業所がその周辺の中山間地域等の事業所の存在状況からやむを得ず利用者を受け入れた場合についても例外的に件数に含めない見直しを行う。</w:t>
      </w:r>
    </w:p>
    <w:p>
      <w:pPr>
        <w:pStyle w:val="0"/>
        <w:snapToGrid w:val="0"/>
        <w:rPr>
          <w:rFonts w:hint="eastAsia" w:asciiTheme="minorEastAsia" w:hAnsiTheme="minorEastAsia" w:eastAsiaTheme="minorEastAsia"/>
          <w:sz w:val="22"/>
        </w:rPr>
      </w:pPr>
    </w:p>
    <w:p>
      <w:pPr>
        <w:pStyle w:val="0"/>
        <w:snapToGrid w:val="0"/>
        <w:rPr>
          <w:rFonts w:hint="eastAsia" w:asciiTheme="minorEastAsia" w:hAnsiTheme="minorEastAsia" w:eastAsiaTheme="minorEastAsia"/>
          <w:b w:val="1"/>
          <w:sz w:val="22"/>
        </w:rPr>
      </w:pPr>
      <w:r>
        <w:rPr>
          <w:rFonts w:hint="eastAsia" w:asciiTheme="minorEastAsia" w:hAnsiTheme="minorEastAsia" w:eastAsiaTheme="minorEastAsia"/>
          <w:b w:val="1"/>
          <w:sz w:val="22"/>
        </w:rPr>
        <w:t>医療機関との情報連携の強化</w:t>
      </w:r>
    </w:p>
    <w:p>
      <w:pPr>
        <w:pStyle w:val="0"/>
        <w:snapToGrid w:val="0"/>
        <w:ind w:firstLine="220" w:firstLineChars="100"/>
        <w:rPr>
          <w:rFonts w:hint="eastAsia" w:asciiTheme="minorEastAsia" w:hAnsiTheme="minorEastAsia" w:eastAsiaTheme="minorEastAsia"/>
          <w:sz w:val="22"/>
        </w:rPr>
      </w:pPr>
      <w:r>
        <w:rPr>
          <w:rFonts w:hint="eastAsia" w:asciiTheme="minorEastAsia" w:hAnsiTheme="minorEastAsia" w:eastAsiaTheme="minorEastAsia"/>
          <w:sz w:val="22"/>
        </w:rPr>
        <w:t xml:space="preserve"> </w:t>
      </w:r>
      <w:r>
        <w:rPr>
          <w:rFonts w:hint="eastAsia" w:asciiTheme="minorEastAsia" w:hAnsiTheme="minorEastAsia" w:eastAsiaTheme="minorEastAsia"/>
          <w:sz w:val="22"/>
        </w:rPr>
        <w:t>利用者が医療機関において医師の診察を受ける際に介護支援専門員が同席し、医師等と情報連携を行い、当該情報を踏まえてケアマネジメントを行うことを一定の場合に評価する新たな加算を創設</w:t>
      </w:r>
    </w:p>
    <w:p>
      <w:pPr>
        <w:pStyle w:val="0"/>
        <w:snapToGrid w:val="0"/>
        <w:rPr>
          <w:rFonts w:hint="eastAsia" w:asciiTheme="minorEastAsia" w:hAnsiTheme="minorEastAsia" w:eastAsiaTheme="minorEastAsia"/>
          <w:sz w:val="22"/>
        </w:rPr>
      </w:pP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＜改定前　⇒　改定後＞</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なし　⇒　通院時情報連携加算　</w:t>
      </w:r>
      <w:r>
        <w:rPr>
          <w:rFonts w:hint="eastAsia" w:asciiTheme="minorEastAsia" w:hAnsiTheme="minorEastAsia" w:eastAsiaTheme="minorEastAsia"/>
          <w:sz w:val="22"/>
        </w:rPr>
        <w:t>50</w:t>
      </w:r>
      <w:r>
        <w:rPr>
          <w:rFonts w:hint="eastAsia" w:asciiTheme="minorEastAsia" w:hAnsiTheme="minorEastAsia" w:eastAsiaTheme="minorEastAsia"/>
          <w:sz w:val="22"/>
        </w:rPr>
        <w:t>単位／月（新設）</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算定要件等</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・利用者</w:t>
      </w:r>
      <w:r>
        <w:rPr>
          <w:rFonts w:hint="eastAsia" w:asciiTheme="minorEastAsia" w:hAnsiTheme="minorEastAsia" w:eastAsiaTheme="minorEastAsia"/>
          <w:sz w:val="22"/>
        </w:rPr>
        <w:t>1</w:t>
      </w:r>
      <w:r>
        <w:rPr>
          <w:rFonts w:hint="eastAsia" w:asciiTheme="minorEastAsia" w:hAnsiTheme="minorEastAsia" w:eastAsiaTheme="minorEastAsia"/>
          <w:sz w:val="22"/>
        </w:rPr>
        <w:t>人につき、</w:t>
      </w:r>
      <w:r>
        <w:rPr>
          <w:rFonts w:hint="eastAsia" w:asciiTheme="minorEastAsia" w:hAnsiTheme="minorEastAsia" w:eastAsiaTheme="minorEastAsia"/>
          <w:sz w:val="22"/>
        </w:rPr>
        <w:t>1</w:t>
      </w:r>
      <w:r>
        <w:rPr>
          <w:rFonts w:hint="eastAsia" w:asciiTheme="minorEastAsia" w:hAnsiTheme="minorEastAsia" w:eastAsiaTheme="minorEastAsia"/>
          <w:sz w:val="22"/>
        </w:rPr>
        <w:t>月に</w:t>
      </w:r>
      <w:r>
        <w:rPr>
          <w:rFonts w:hint="eastAsia" w:asciiTheme="minorEastAsia" w:hAnsiTheme="minorEastAsia" w:eastAsiaTheme="minorEastAsia"/>
          <w:sz w:val="22"/>
        </w:rPr>
        <w:t>1</w:t>
      </w:r>
      <w:r>
        <w:rPr>
          <w:rFonts w:hint="eastAsia" w:asciiTheme="minorEastAsia" w:hAnsiTheme="minorEastAsia" w:eastAsiaTheme="minorEastAsia"/>
          <w:sz w:val="22"/>
        </w:rPr>
        <w:t>回の算定を限度</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利用者が医師の診察を受ける際に同席し、医師等に利用者の心身の状況や生活環境等の必要な情報提供を行い、医師等から利用者に関する必要な情報提供を受けた上で、居宅サービス計画（ケアプラン）に記録した場合</w:t>
      </w:r>
    </w:p>
    <w:p>
      <w:pPr>
        <w:pStyle w:val="0"/>
        <w:snapToGrid w:val="0"/>
        <w:rPr>
          <w:rFonts w:hint="eastAsia" w:asciiTheme="minorEastAsia" w:hAnsiTheme="minorEastAsia" w:eastAsiaTheme="minorEastAsia"/>
          <w:sz w:val="22"/>
        </w:rPr>
      </w:pPr>
    </w:p>
    <w:p>
      <w:pPr>
        <w:pStyle w:val="0"/>
        <w:snapToGrid w:val="0"/>
        <w:rPr>
          <w:rFonts w:hint="eastAsia" w:asciiTheme="minorEastAsia" w:hAnsiTheme="minorEastAsia" w:eastAsiaTheme="minorEastAsia"/>
          <w:b w:val="1"/>
          <w:sz w:val="22"/>
        </w:rPr>
      </w:pPr>
      <w:r>
        <w:rPr>
          <w:rFonts w:hint="eastAsia" w:asciiTheme="minorEastAsia" w:hAnsiTheme="minorEastAsia" w:eastAsiaTheme="minorEastAsia"/>
          <w:b w:val="1"/>
          <w:sz w:val="22"/>
        </w:rPr>
        <w:t>看取り期におけるサービス利用前の相談・調整等に係る評価</w:t>
      </w:r>
    </w:p>
    <w:p>
      <w:pPr>
        <w:pStyle w:val="0"/>
        <w:snapToGrid w:val="0"/>
        <w:ind w:firstLine="220" w:firstLineChars="100"/>
        <w:rPr>
          <w:rFonts w:hint="eastAsia" w:asciiTheme="minorEastAsia" w:hAnsiTheme="minorEastAsia" w:eastAsiaTheme="minorEastAsia"/>
          <w:sz w:val="22"/>
        </w:rPr>
      </w:pPr>
      <w:r>
        <w:rPr>
          <w:rFonts w:hint="eastAsia" w:asciiTheme="minorEastAsia" w:hAnsiTheme="minorEastAsia" w:eastAsiaTheme="minorEastAsia"/>
          <w:sz w:val="22"/>
        </w:rPr>
        <w:t>居宅サービス等の利用に向けて介護支援専門員が利用者の退院時等にケアマネジメント業務を行ったものの利用者の死亡によりサービス利用に至らなかった場合に、モニタリングやサービス担当者会議における検討等必要なケアマネジメント業務や給付管理のための準備が行われ、介護保険サービスが提供されたものと同等に取り扱うことが適当と認められるケースについて、居宅介護支援の基本報酬の算定が可能</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＜改定前　⇒　改定後＞</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サービス利用の実績がない場合は請求不可　⇒　居宅介護支援費を算定可</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算定要件等</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・モニタリング等の必要なケアマネジメント業務を行い、給付管理票の（原案の）作成など、請求にあたって必要な書類の整備を行っていること</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 xml:space="preserve"> </w:t>
      </w:r>
      <w:r>
        <w:rPr>
          <w:rFonts w:hint="eastAsia" w:asciiTheme="minorEastAsia" w:hAnsiTheme="minorEastAsia" w:eastAsiaTheme="minorEastAsia"/>
          <w:sz w:val="22"/>
        </w:rPr>
        <w:t>・居宅介護支援費を算定した旨を適切に説明できるよう、個々のケアプラン等において記録で残しつつ、居宅介護支援事業所において、それらの書類等を管理しておくこと</w:t>
      </w:r>
    </w:p>
    <w:p>
      <w:pPr>
        <w:pStyle w:val="0"/>
        <w:snapToGrid w:val="0"/>
        <w:rPr>
          <w:rFonts w:hint="eastAsia" w:asciiTheme="minorEastAsia" w:hAnsiTheme="minorEastAsia" w:eastAsiaTheme="minorEastAsia"/>
          <w:sz w:val="22"/>
        </w:rPr>
      </w:pPr>
    </w:p>
    <w:p>
      <w:pPr>
        <w:pStyle w:val="0"/>
        <w:snapToGrid w:val="0"/>
        <w:rPr>
          <w:rFonts w:hint="eastAsia" w:asciiTheme="minorEastAsia" w:hAnsiTheme="minorEastAsia" w:eastAsiaTheme="minorEastAsia"/>
          <w:b w:val="1"/>
          <w:sz w:val="22"/>
        </w:rPr>
      </w:pPr>
      <w:r>
        <w:rPr>
          <w:rFonts w:hint="eastAsia" w:asciiTheme="minorEastAsia" w:hAnsiTheme="minorEastAsia" w:eastAsiaTheme="minorEastAsia"/>
          <w:b w:val="1"/>
          <w:sz w:val="22"/>
        </w:rPr>
        <w:t>介護予防支援の充実（予防のみ）</w:t>
      </w:r>
    </w:p>
    <w:p>
      <w:pPr>
        <w:pStyle w:val="0"/>
        <w:snapToGrid w:val="0"/>
        <w:ind w:firstLine="220" w:firstLineChars="100"/>
        <w:rPr>
          <w:rFonts w:hint="eastAsia" w:asciiTheme="minorEastAsia" w:hAnsiTheme="minorEastAsia" w:eastAsiaTheme="minorEastAsia"/>
          <w:sz w:val="22"/>
        </w:rPr>
      </w:pPr>
      <w:r>
        <w:rPr>
          <w:rFonts w:hint="eastAsia" w:asciiTheme="minorEastAsia" w:hAnsiTheme="minorEastAsia" w:eastAsiaTheme="minorEastAsia"/>
          <w:sz w:val="22"/>
        </w:rPr>
        <w:t>介護予防支援事業所が委託する個々のケアプランについて、委託時における居宅介護支援事業者との適切な情報連携等を評価する新たな加算を創設。</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＜改定前　⇒　改定後＞</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なし　⇒　委託連携加算　</w:t>
      </w:r>
      <w:r>
        <w:rPr>
          <w:rFonts w:hint="eastAsia" w:asciiTheme="minorEastAsia" w:hAnsiTheme="minorEastAsia" w:eastAsiaTheme="minorEastAsia"/>
          <w:sz w:val="22"/>
        </w:rPr>
        <w:t>300</w:t>
      </w:r>
      <w:r>
        <w:rPr>
          <w:rFonts w:hint="eastAsia" w:asciiTheme="minorEastAsia" w:hAnsiTheme="minorEastAsia" w:eastAsiaTheme="minorEastAsia"/>
          <w:sz w:val="22"/>
        </w:rPr>
        <w:t>単位／月（新設）</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算定要件等</w:t>
      </w:r>
    </w:p>
    <w:p>
      <w:pPr>
        <w:pStyle w:val="0"/>
        <w:snapToGrid w:val="0"/>
        <w:ind w:firstLine="220" w:firstLineChars="100"/>
        <w:rPr>
          <w:rFonts w:hint="eastAsia" w:asciiTheme="minorEastAsia" w:hAnsiTheme="minorEastAsia" w:eastAsiaTheme="minorEastAsia"/>
          <w:sz w:val="22"/>
        </w:rPr>
      </w:pPr>
      <w:r>
        <w:rPr>
          <w:rFonts w:hint="eastAsia" w:asciiTheme="minorEastAsia" w:hAnsiTheme="minorEastAsia" w:eastAsiaTheme="minorEastAsia"/>
          <w:sz w:val="22"/>
        </w:rPr>
        <w:t xml:space="preserve"> </w:t>
      </w:r>
      <w:r>
        <w:rPr>
          <w:rFonts w:hint="eastAsia" w:asciiTheme="minorEastAsia" w:hAnsiTheme="minorEastAsia" w:eastAsiaTheme="minorEastAsia"/>
          <w:sz w:val="22"/>
        </w:rPr>
        <w:t>利用者</w:t>
      </w:r>
      <w:r>
        <w:rPr>
          <w:rFonts w:hint="eastAsia" w:asciiTheme="minorEastAsia" w:hAnsiTheme="minorEastAsia" w:eastAsiaTheme="minorEastAsia"/>
          <w:sz w:val="22"/>
        </w:rPr>
        <w:t>1</w:t>
      </w:r>
      <w:r>
        <w:rPr>
          <w:rFonts w:hint="eastAsia" w:asciiTheme="minorEastAsia" w:hAnsiTheme="minorEastAsia" w:eastAsiaTheme="minorEastAsia"/>
          <w:sz w:val="22"/>
        </w:rPr>
        <w:t>人につき指定介護予防支援を指定居宅介護支援事業所に委託する初回に限り、所定単位数を算定する</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w:t>
      </w:r>
      <w:r>
        <w:rPr>
          <w:rFonts w:hint="eastAsia" w:asciiTheme="minorEastAsia" w:hAnsiTheme="minorEastAsia" w:eastAsiaTheme="minorEastAsia"/>
          <w:sz w:val="22"/>
        </w:rPr>
        <w:t xml:space="preserve"> </w:t>
      </w:r>
      <w:r>
        <w:rPr>
          <w:rFonts w:hint="eastAsia" w:asciiTheme="minorEastAsia" w:hAnsiTheme="minorEastAsia" w:eastAsiaTheme="minorEastAsia"/>
          <w:sz w:val="22"/>
        </w:rPr>
        <w:t>当該加算を算定した際には、介護予防支援事業所に対して、当該加算を勘案した委託費の設定等を行うよう求める。</w:t>
      </w:r>
    </w:p>
    <w:p>
      <w:pPr>
        <w:pStyle w:val="0"/>
        <w:snapToGrid w:val="0"/>
        <w:rPr>
          <w:rFonts w:hint="eastAsia" w:asciiTheme="minorEastAsia" w:hAnsiTheme="minorEastAsia" w:eastAsiaTheme="minorEastAsia"/>
          <w:sz w:val="22"/>
        </w:rPr>
      </w:pPr>
    </w:p>
    <w:p>
      <w:pPr>
        <w:pStyle w:val="0"/>
        <w:snapToGrid w:val="0"/>
        <w:rPr>
          <w:rFonts w:hint="eastAsia" w:asciiTheme="minorEastAsia" w:hAnsiTheme="minorEastAsia" w:eastAsiaTheme="minorEastAsia"/>
          <w:b w:val="1"/>
          <w:sz w:val="22"/>
        </w:rPr>
      </w:pPr>
      <w:r>
        <w:rPr>
          <w:rFonts w:hint="eastAsia" w:asciiTheme="minorEastAsia" w:hAnsiTheme="minorEastAsia" w:eastAsiaTheme="minorEastAsia"/>
          <w:b w:val="1"/>
          <w:sz w:val="22"/>
        </w:rPr>
        <w:t>特例居宅介護サービス費による地域の実情に応じたサービス提供の確保</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　中山間地域等において、地域の実情に応じた柔軟なサービス提供をより可能とする観点から、令和２年の地方分権改革に関する提案募集における提案も踏まえ、特例居宅介護サービス費等の対象地域と特別地域加算の対象地域について、自治体からの申請を踏まえて、それぞれについて分けて指定を行う。</w:t>
      </w:r>
    </w:p>
    <w:p>
      <w:pPr>
        <w:pStyle w:val="0"/>
        <w:snapToGrid w:val="0"/>
        <w:rPr>
          <w:rFonts w:hint="eastAsia" w:asciiTheme="minorEastAsia" w:hAnsiTheme="minorEastAsia" w:eastAsiaTheme="minorEastAsia"/>
          <w:sz w:val="22"/>
        </w:rPr>
      </w:pP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サービス確保が困難な離島等の特例</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 xml:space="preserve"> </w:t>
      </w:r>
      <w:r>
        <w:rPr>
          <w:rFonts w:hint="eastAsia" w:asciiTheme="minorEastAsia" w:hAnsiTheme="minorEastAsia" w:eastAsiaTheme="minorEastAsia"/>
          <w:sz w:val="22"/>
        </w:rPr>
        <w:t>　指定サービスや基準該当サービスの確保が著しく困難な離島等の地域で、市町村が必要と認める場合には、これらのサービス以外の居宅サービス・介護予防サービスに相当するサービスを保険給付の対象とすることができる。</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 xml:space="preserve"> </w:t>
      </w:r>
      <w:r>
        <w:rPr>
          <w:rFonts w:hint="eastAsia" w:asciiTheme="minorEastAsia" w:hAnsiTheme="minorEastAsia" w:eastAsiaTheme="minorEastAsia"/>
          <w:sz w:val="22"/>
        </w:rPr>
        <w:t>【対象地域】①離島振興対策実施地域</w:t>
      </w:r>
      <w:r>
        <w:rPr>
          <w:rFonts w:hint="eastAsia" w:asciiTheme="minorEastAsia" w:hAnsiTheme="minorEastAsia" w:eastAsiaTheme="minorEastAsia"/>
          <w:sz w:val="22"/>
        </w:rPr>
        <w:t xml:space="preserve"> </w:t>
      </w:r>
      <w:r>
        <w:rPr>
          <w:rFonts w:hint="eastAsia" w:asciiTheme="minorEastAsia" w:hAnsiTheme="minorEastAsia" w:eastAsiaTheme="minorEastAsia"/>
          <w:sz w:val="22"/>
        </w:rPr>
        <w:t>②奄美群島</w:t>
      </w:r>
      <w:r>
        <w:rPr>
          <w:rFonts w:hint="eastAsia" w:asciiTheme="minorEastAsia" w:hAnsiTheme="minorEastAsia" w:eastAsiaTheme="minorEastAsia"/>
          <w:sz w:val="22"/>
        </w:rPr>
        <w:t xml:space="preserve"> </w:t>
      </w:r>
      <w:r>
        <w:rPr>
          <w:rFonts w:hint="eastAsia" w:asciiTheme="minorEastAsia" w:hAnsiTheme="minorEastAsia" w:eastAsiaTheme="minorEastAsia"/>
          <w:sz w:val="22"/>
        </w:rPr>
        <w:t>③振興山村</w:t>
      </w:r>
      <w:r>
        <w:rPr>
          <w:rFonts w:hint="eastAsia" w:asciiTheme="minorEastAsia" w:hAnsiTheme="minorEastAsia" w:eastAsiaTheme="minorEastAsia"/>
          <w:sz w:val="22"/>
        </w:rPr>
        <w:t xml:space="preserve"> </w:t>
      </w:r>
      <w:r>
        <w:rPr>
          <w:rFonts w:hint="eastAsia" w:asciiTheme="minorEastAsia" w:hAnsiTheme="minorEastAsia" w:eastAsiaTheme="minorEastAsia"/>
          <w:sz w:val="22"/>
        </w:rPr>
        <w:t>④小笠原諸島</w:t>
      </w:r>
      <w:r>
        <w:rPr>
          <w:rFonts w:hint="eastAsia" w:asciiTheme="minorEastAsia" w:hAnsiTheme="minorEastAsia" w:eastAsiaTheme="minorEastAsia"/>
          <w:sz w:val="22"/>
        </w:rPr>
        <w:t xml:space="preserve"> </w:t>
      </w:r>
      <w:r>
        <w:rPr>
          <w:rFonts w:hint="eastAsia" w:asciiTheme="minorEastAsia" w:hAnsiTheme="minorEastAsia" w:eastAsiaTheme="minorEastAsia"/>
          <w:sz w:val="22"/>
        </w:rPr>
        <w:t>⑤沖縄の離島</w:t>
      </w:r>
      <w:r>
        <w:rPr>
          <w:rFonts w:hint="eastAsia" w:asciiTheme="minorEastAsia" w:hAnsiTheme="minorEastAsia" w:eastAsiaTheme="minorEastAsia"/>
          <w:sz w:val="22"/>
        </w:rPr>
        <w:t xml:space="preserve"> </w:t>
      </w:r>
      <w:r>
        <w:rPr>
          <w:rFonts w:hint="eastAsia" w:asciiTheme="minorEastAsia" w:hAnsiTheme="minorEastAsia" w:eastAsiaTheme="minorEastAsia"/>
          <w:sz w:val="22"/>
        </w:rPr>
        <w:t>⑥豪雪地帯、特別豪雪地帯、辺地、過疎地域等で、人口密度が希薄、交通が不便等の理由によりサービスの確保が著しく困難な地域</w:t>
      </w:r>
    </w:p>
    <w:p>
      <w:pPr>
        <w:pStyle w:val="0"/>
        <w:snapToGrid w:val="0"/>
        <w:rPr>
          <w:rFonts w:hint="eastAsia" w:asciiTheme="minorEastAsia" w:hAnsiTheme="minorEastAsia" w:eastAsiaTheme="minorEastAsia"/>
          <w:sz w:val="22"/>
        </w:rPr>
      </w:pP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中山間地域等に対する報酬における評価</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 xml:space="preserve"> </w:t>
      </w:r>
      <w:r>
        <w:rPr>
          <w:rFonts w:hint="eastAsia" w:asciiTheme="minorEastAsia" w:hAnsiTheme="minorEastAsia" w:eastAsiaTheme="minorEastAsia"/>
          <w:sz w:val="22"/>
        </w:rPr>
        <w:t>　中山間地域等に事業所が所在する場合や居住している利用者に対してサービス提供をした場合、介護報酬における加算で評価。</w:t>
      </w:r>
    </w:p>
    <w:p>
      <w:pPr>
        <w:pStyle w:val="0"/>
        <w:snapToGrid w:val="0"/>
        <w:rPr>
          <w:rFonts w:hint="eastAsia" w:asciiTheme="minorEastAsia" w:hAnsiTheme="minorEastAsia" w:eastAsiaTheme="minorEastAsia"/>
          <w:sz w:val="22"/>
        </w:rPr>
      </w:pPr>
    </w:p>
    <w:p>
      <w:pPr>
        <w:pStyle w:val="0"/>
        <w:snapToGrid w:val="0"/>
        <w:rPr>
          <w:rFonts w:hint="eastAsia" w:asciiTheme="minorEastAsia" w:hAnsiTheme="minorEastAsia" w:eastAsiaTheme="minorEastAsia"/>
          <w:b w:val="1"/>
          <w:sz w:val="22"/>
        </w:rPr>
      </w:pPr>
      <w:r>
        <w:rPr>
          <w:rFonts w:hint="eastAsia" w:asciiTheme="minorEastAsia" w:hAnsiTheme="minorEastAsia" w:eastAsiaTheme="minorEastAsia"/>
          <w:b w:val="1"/>
          <w:sz w:val="22"/>
        </w:rPr>
        <w:t>生活援助の訪問回数の多い利用者等のケアプランの検証</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w:t>
      </w:r>
      <w:r>
        <w:rPr>
          <w:rFonts w:hint="eastAsia" w:asciiTheme="minorEastAsia" w:hAnsiTheme="minorEastAsia" w:eastAsiaTheme="minorEastAsia"/>
          <w:sz w:val="22"/>
        </w:rPr>
        <w:t xml:space="preserve"> </w:t>
      </w:r>
      <w:r>
        <w:rPr>
          <w:rFonts w:hint="eastAsia" w:asciiTheme="minorEastAsia" w:hAnsiTheme="minorEastAsia" w:eastAsiaTheme="minorEastAsia"/>
          <w:sz w:val="22"/>
        </w:rPr>
        <w:t>２０１８年度介護報酬改定で導入された生活援助の訪問回数が多い利用者のケアプランの検証の仕組みについて、届出のあったケアプランの検証や届出頻度について、以下の見直しを行う。</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・検証の仕方について、地域ケア会議のみならず、行政職員やリハビリテーション専門職を派遣する形で行うサービス担当者会議等での対応を可能とする</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 xml:space="preserve"> </w:t>
      </w:r>
      <w:r>
        <w:rPr>
          <w:rFonts w:hint="eastAsia" w:asciiTheme="minorEastAsia" w:hAnsiTheme="minorEastAsia" w:eastAsiaTheme="minorEastAsia"/>
          <w:sz w:val="22"/>
        </w:rPr>
        <w:t>・届出頻度について、検証したケアプランの次回の届出は１年後とする</w:t>
      </w:r>
    </w:p>
    <w:p>
      <w:pPr>
        <w:pStyle w:val="0"/>
        <w:snapToGrid w:val="0"/>
        <w:rPr>
          <w:rFonts w:hint="eastAsia" w:asciiTheme="minorEastAsia" w:hAnsiTheme="minorEastAsia" w:eastAsiaTheme="minorEastAsia"/>
          <w:sz w:val="22"/>
        </w:rPr>
      </w:pP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w:t>
      </w:r>
      <w:r>
        <w:rPr>
          <w:rFonts w:hint="eastAsia" w:asciiTheme="minorEastAsia" w:hAnsiTheme="minorEastAsia" w:eastAsiaTheme="minorEastAsia"/>
          <w:sz w:val="22"/>
        </w:rPr>
        <w:t xml:space="preserve"> </w:t>
      </w:r>
      <w:r>
        <w:rPr>
          <w:rFonts w:hint="eastAsia" w:asciiTheme="minorEastAsia" w:hAnsiTheme="minorEastAsia" w:eastAsiaTheme="minorEastAsia"/>
          <w:sz w:val="22"/>
        </w:rPr>
        <w:t>区分支給限度基準額の利用割合が高く、かつ、訪問介護が利用サービスの大部分を占める等のケアプランを作成する居宅介護支援事業所を事業所単位で抽出するなどの点検・検証の仕組みを導入する。</w:t>
      </w:r>
    </w:p>
    <w:p>
      <w:pPr>
        <w:pStyle w:val="0"/>
        <w:snapToGrid w:val="0"/>
        <w:rPr>
          <w:rFonts w:hint="eastAsia" w:asciiTheme="minorEastAsia" w:hAnsiTheme="minorEastAsia" w:eastAsiaTheme="minorEastAsia"/>
          <w:sz w:val="22"/>
          <w:u w:val="single" w:color="auto"/>
        </w:rPr>
      </w:pPr>
      <w:r>
        <w:rPr>
          <w:rFonts w:hint="eastAsia" w:asciiTheme="minorEastAsia" w:hAnsiTheme="minorEastAsia" w:eastAsiaTheme="minorEastAsia"/>
          <w:sz w:val="22"/>
          <w:u w:val="single" w:color="auto"/>
        </w:rPr>
        <w:t xml:space="preserve"> </w:t>
      </w:r>
      <w:r>
        <w:rPr>
          <w:rFonts w:hint="eastAsia" w:asciiTheme="minorEastAsia" w:hAnsiTheme="minorEastAsia" w:eastAsiaTheme="minorEastAsia"/>
          <w:sz w:val="22"/>
          <w:u w:val="single" w:color="auto"/>
        </w:rPr>
        <w:t>（効率的な点検・検証の仕組みの周知期間の確保等のため、</w:t>
      </w:r>
      <w:r>
        <w:rPr>
          <w:rFonts w:hint="eastAsia" w:asciiTheme="minorEastAsia" w:hAnsiTheme="minorEastAsia" w:eastAsiaTheme="minorEastAsia"/>
          <w:sz w:val="22"/>
          <w:u w:val="single" w:color="auto"/>
        </w:rPr>
        <w:t>10</w:t>
      </w:r>
      <w:r>
        <w:rPr>
          <w:rFonts w:hint="eastAsia" w:asciiTheme="minorEastAsia" w:hAnsiTheme="minorEastAsia" w:eastAsiaTheme="minorEastAsia"/>
          <w:sz w:val="22"/>
          <w:u w:val="single" w:color="auto"/>
        </w:rPr>
        <w:t>月から施行）</w:t>
      </w:r>
    </w:p>
    <w:p>
      <w:pPr>
        <w:pStyle w:val="0"/>
        <w:snapToGrid w:val="0"/>
        <w:rPr>
          <w:rFonts w:hint="eastAsia" w:asciiTheme="minorEastAsia" w:hAnsiTheme="minorEastAsia" w:eastAsiaTheme="minorEastAsia"/>
          <w:sz w:val="22"/>
        </w:rPr>
      </w:pPr>
    </w:p>
    <w:p>
      <w:pPr>
        <w:pStyle w:val="0"/>
        <w:snapToGrid w:val="0"/>
        <w:rPr>
          <w:rFonts w:hint="eastAsia" w:asciiTheme="minorEastAsia" w:hAnsiTheme="minorEastAsia" w:eastAsiaTheme="minorEastAsia"/>
          <w:b w:val="1"/>
          <w:sz w:val="22"/>
        </w:rPr>
      </w:pPr>
      <w:r>
        <w:rPr>
          <w:rFonts w:hint="eastAsia" w:asciiTheme="minorEastAsia" w:hAnsiTheme="minorEastAsia" w:eastAsiaTheme="minorEastAsia"/>
          <w:b w:val="1"/>
          <w:sz w:val="22"/>
        </w:rPr>
        <w:t>サービス付き高齢者向け住宅等における適正なサービス提供の確保</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　同一のサービス付き高齢者向け住宅等に居住する者のケアプランについて、区分支給限度基準額の利用割合が高い者が多い場合に、併設事業所の特定を行いつつ、当該ケアプランを作成する居宅介護支援事業者を事業所単位で抽出するなどの点検・検証を行うとともに、家賃の確認や利用者のケアプランの確認を行うことなど、指導監督権限を持つ自治体による更なる指導の徹底を図る。</w:t>
      </w:r>
    </w:p>
    <w:p>
      <w:pPr>
        <w:pStyle w:val="0"/>
        <w:snapToGrid w:val="0"/>
        <w:rPr>
          <w:rFonts w:hint="eastAsia" w:asciiTheme="minorEastAsia" w:hAnsiTheme="minorEastAsia" w:eastAsiaTheme="minorEastAsia"/>
          <w:sz w:val="22"/>
          <w:u w:val="single" w:color="auto"/>
        </w:rPr>
      </w:pPr>
      <w:r>
        <w:rPr>
          <w:rFonts w:hint="eastAsia" w:asciiTheme="minorEastAsia" w:hAnsiTheme="minorEastAsia" w:eastAsiaTheme="minorEastAsia"/>
          <w:sz w:val="22"/>
          <w:u w:val="single" w:color="auto"/>
        </w:rPr>
        <w:t xml:space="preserve"> </w:t>
      </w:r>
      <w:r>
        <w:rPr>
          <w:rFonts w:hint="eastAsia" w:asciiTheme="minorEastAsia" w:hAnsiTheme="minorEastAsia" w:eastAsiaTheme="minorEastAsia"/>
          <w:sz w:val="22"/>
          <w:u w:val="single" w:color="auto"/>
        </w:rPr>
        <w:t>（効率的な点検・検証の仕組みの周知期間の確保等のため、</w:t>
      </w:r>
      <w:r>
        <w:rPr>
          <w:rFonts w:hint="eastAsia" w:asciiTheme="minorEastAsia" w:hAnsiTheme="minorEastAsia" w:eastAsiaTheme="minorEastAsia"/>
          <w:sz w:val="22"/>
          <w:u w:val="single" w:color="auto"/>
        </w:rPr>
        <w:t>10</w:t>
      </w:r>
      <w:r>
        <w:rPr>
          <w:rFonts w:hint="eastAsia" w:asciiTheme="minorEastAsia" w:hAnsiTheme="minorEastAsia" w:eastAsiaTheme="minorEastAsia"/>
          <w:sz w:val="22"/>
          <w:u w:val="single" w:color="auto"/>
        </w:rPr>
        <w:t>月から施行）</w:t>
      </w:r>
    </w:p>
    <w:p>
      <w:pPr>
        <w:pStyle w:val="0"/>
        <w:snapToGrid w:val="0"/>
        <w:rPr>
          <w:rFonts w:hint="eastAsia" w:asciiTheme="minorEastAsia" w:hAnsiTheme="minorEastAsia" w:eastAsiaTheme="minorEastAsia"/>
          <w:sz w:val="22"/>
        </w:rPr>
      </w:pPr>
    </w:p>
    <w:p>
      <w:pPr>
        <w:pStyle w:val="0"/>
        <w:snapToGrid w:val="0"/>
        <w:rPr>
          <w:rFonts w:hint="eastAsia" w:asciiTheme="minorEastAsia" w:hAnsiTheme="minorEastAsia" w:eastAsiaTheme="minorEastAsia"/>
          <w:b w:val="1"/>
          <w:sz w:val="22"/>
        </w:rPr>
      </w:pPr>
      <w:r>
        <w:rPr>
          <w:rFonts w:hint="eastAsia" w:asciiTheme="minorEastAsia" w:hAnsiTheme="minorEastAsia" w:eastAsiaTheme="minorEastAsia"/>
          <w:b w:val="1"/>
          <w:sz w:val="22"/>
        </w:rPr>
        <w:t>（看護）小規模多機能居宅介護事業所連携加算の廃止★</w:t>
      </w:r>
    </w:p>
    <w:p>
      <w:pPr>
        <w:pStyle w:val="0"/>
        <w:snapToGrid w:val="0"/>
        <w:ind w:firstLine="220" w:firstLineChars="100"/>
        <w:rPr>
          <w:rFonts w:hint="eastAsia" w:asciiTheme="minorEastAsia" w:hAnsiTheme="minorEastAsia" w:eastAsiaTheme="minorEastAsia"/>
          <w:sz w:val="22"/>
        </w:rPr>
      </w:pPr>
      <w:r>
        <w:rPr>
          <w:rFonts w:hint="eastAsia" w:asciiTheme="minorEastAsia" w:hAnsiTheme="minorEastAsia" w:eastAsiaTheme="minorEastAsia"/>
          <w:sz w:val="22"/>
        </w:rPr>
        <w:t>（看護）小規模多機能型居宅介護事業所連携加算について、報酬体系の簡素化の観点から、算定実績を踏まえて、廃止。</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＜改定前　⇒　改定後＞</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 xml:space="preserve"> </w:t>
      </w:r>
      <w:r>
        <w:rPr>
          <w:rFonts w:hint="eastAsia" w:asciiTheme="minorEastAsia" w:hAnsiTheme="minorEastAsia" w:eastAsiaTheme="minorEastAsia"/>
          <w:sz w:val="22"/>
        </w:rPr>
        <w:t>小規模多機能型居宅介護事業所連携加算　</w:t>
      </w:r>
      <w:r>
        <w:rPr>
          <w:rFonts w:hint="eastAsia" w:asciiTheme="minorEastAsia" w:hAnsiTheme="minorEastAsia" w:eastAsiaTheme="minorEastAsia"/>
          <w:sz w:val="22"/>
        </w:rPr>
        <w:t>300</w:t>
      </w:r>
      <w:r>
        <w:rPr>
          <w:rFonts w:hint="eastAsia" w:asciiTheme="minorEastAsia" w:hAnsiTheme="minorEastAsia" w:eastAsiaTheme="minorEastAsia"/>
          <w:sz w:val="22"/>
        </w:rPr>
        <w:t>単位／月　⇒　廃止</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 xml:space="preserve"> </w:t>
      </w:r>
      <w:r>
        <w:rPr>
          <w:rFonts w:hint="eastAsia" w:asciiTheme="minorEastAsia" w:hAnsiTheme="minorEastAsia" w:eastAsiaTheme="minorEastAsia"/>
          <w:sz w:val="22"/>
        </w:rPr>
        <w:t>看護小規模多機能型居宅介護事業所連携加算　</w:t>
      </w:r>
      <w:r>
        <w:rPr>
          <w:rFonts w:hint="eastAsia" w:asciiTheme="minorEastAsia" w:hAnsiTheme="minorEastAsia" w:eastAsiaTheme="minorEastAsia"/>
          <w:sz w:val="22"/>
        </w:rPr>
        <w:t>300</w:t>
      </w:r>
      <w:r>
        <w:rPr>
          <w:rFonts w:hint="eastAsia" w:asciiTheme="minorEastAsia" w:hAnsiTheme="minorEastAsia" w:eastAsiaTheme="minorEastAsia"/>
          <w:sz w:val="22"/>
        </w:rPr>
        <w:t>単位／月　⇒　廃止</w:t>
      </w:r>
    </w:p>
    <w:p>
      <w:pPr>
        <w:pStyle w:val="0"/>
        <w:snapToGrid w:val="0"/>
        <w:rPr>
          <w:rFonts w:hint="eastAsia" w:asciiTheme="minorEastAsia" w:hAnsiTheme="minorEastAsia" w:eastAsiaTheme="minorEastAsia"/>
          <w:sz w:val="22"/>
        </w:rPr>
      </w:pPr>
      <w:r>
        <w:rPr>
          <w:rFonts w:hint="eastAsia" w:asciiTheme="minorEastAsia" w:hAnsiTheme="minorEastAsia" w:eastAsiaTheme="minorEastAsia"/>
          <w:sz w:val="22"/>
        </w:rPr>
        <w:t xml:space="preserve"> </w:t>
      </w:r>
      <w:r>
        <w:rPr>
          <w:rFonts w:hint="eastAsia" w:asciiTheme="minorEastAsia" w:hAnsiTheme="minorEastAsia" w:eastAsiaTheme="minorEastAsia"/>
          <w:sz w:val="22"/>
        </w:rPr>
        <w:t>介護予防小規模多機能型居宅介護事業所連携加算　</w:t>
      </w:r>
      <w:r>
        <w:rPr>
          <w:rFonts w:hint="eastAsia" w:asciiTheme="minorEastAsia" w:hAnsiTheme="minorEastAsia" w:eastAsiaTheme="minorEastAsia"/>
          <w:sz w:val="22"/>
        </w:rPr>
        <w:t>300</w:t>
      </w:r>
      <w:r>
        <w:rPr>
          <w:rFonts w:hint="eastAsia" w:asciiTheme="minorEastAsia" w:hAnsiTheme="minorEastAsia" w:eastAsiaTheme="minorEastAsia"/>
          <w:sz w:val="22"/>
        </w:rPr>
        <w:t>単位／月　⇒　廃止</w:t>
      </w:r>
    </w:p>
    <w:p>
      <w:pPr>
        <w:pStyle w:val="0"/>
        <w:snapToGrid w:val="0"/>
        <w:rPr>
          <w:rFonts w:hint="eastAsia" w:asciiTheme="minorEastAsia" w:hAnsiTheme="minorEastAsia" w:eastAsiaTheme="minorEastAsia"/>
          <w:sz w:val="22"/>
        </w:rPr>
      </w:pPr>
    </w:p>
    <w:p>
      <w:pPr>
        <w:pStyle w:val="0"/>
        <w:snapToGrid w:val="0"/>
        <w:rPr>
          <w:rFonts w:hint="eastAsia" w:asciiTheme="minorEastAsia" w:hAnsiTheme="minorEastAsia" w:eastAsiaTheme="minorEastAsia"/>
          <w:sz w:val="22"/>
        </w:rPr>
      </w:pPr>
    </w:p>
    <w:p>
      <w:pPr>
        <w:pStyle w:val="0"/>
        <w:snapToGrid w:val="0"/>
        <w:rPr>
          <w:rFonts w:hint="eastAsia" w:asciiTheme="minorEastAsia" w:hAnsiTheme="minorEastAsia" w:eastAsiaTheme="minorEastAsia"/>
          <w:sz w:val="22"/>
        </w:rPr>
      </w:pPr>
    </w:p>
    <w:p>
      <w:pPr>
        <w:pStyle w:val="0"/>
        <w:autoSpaceDE w:val="0"/>
        <w:autoSpaceDN w:val="0"/>
        <w:adjustRightInd w:val="0"/>
        <w:jc w:val="left"/>
        <w:rPr>
          <w:rFonts w:hint="default" w:ascii="HG丸ｺﾞｼｯｸM-PRO" w:hAnsi="HG丸ｺﾞｼｯｸM-PRO" w:eastAsia="HG丸ｺﾞｼｯｸM-PRO"/>
          <w:color w:val="FF9300"/>
          <w:sz w:val="22"/>
        </w:rPr>
      </w:pPr>
      <w:r>
        <w:rPr>
          <w:rFonts w:hint="default" w:ascii="HG丸ｺﾞｼｯｸM-PRO" w:hAnsi="HG丸ｺﾞｼｯｸM-PRO" w:eastAsia="HG丸ｺﾞｼｯｸM-PRO"/>
          <w:color w:val="FF9300"/>
          <w:sz w:val="22"/>
        </w:rPr>
        <w:t>(</w:t>
      </w:r>
      <w:r>
        <w:rPr>
          <w:rFonts w:hint="default" w:ascii="HG丸ｺﾞｼｯｸM-PRO" w:hAnsi="HG丸ｺﾞｼｯｸM-PRO" w:eastAsia="HG丸ｺﾞｼｯｸM-PRO"/>
          <w:color w:val="FF9300"/>
          <w:sz w:val="22"/>
        </w:rPr>
        <w:t>２</w:t>
      </w:r>
      <w:r>
        <w:rPr>
          <w:rFonts w:hint="default" w:ascii="HG丸ｺﾞｼｯｸM-PRO" w:hAnsi="HG丸ｺﾞｼｯｸM-PRO" w:eastAsia="HG丸ｺﾞｼｯｸM-PRO"/>
          <w:color w:val="FF9300"/>
          <w:sz w:val="22"/>
        </w:rPr>
        <w:t>)</w:t>
      </w:r>
      <w:r>
        <w:rPr>
          <w:rFonts w:hint="default" w:ascii="HG丸ｺﾞｼｯｸM-PRO" w:hAnsi="HG丸ｺﾞｼｯｸM-PRO" w:eastAsia="HG丸ｺﾞｼｯｸM-PRO"/>
          <w:color w:val="FF9300"/>
          <w:sz w:val="22"/>
        </w:rPr>
        <w:t>介護サービスの質の評価と科学的介護の取組の推進</w:t>
      </w:r>
    </w:p>
    <w:p>
      <w:pPr>
        <w:pStyle w:val="0"/>
        <w:autoSpaceDE w:val="0"/>
        <w:autoSpaceDN w:val="0"/>
        <w:adjustRightInd w:val="0"/>
        <w:jc w:val="left"/>
        <w:rPr>
          <w:rFonts w:hint="eastAsia" w:ascii="ＭＳ 明朝" w:hAnsi="ＭＳ 明朝" w:eastAsia="ＭＳ 明朝"/>
          <w:sz w:val="22"/>
        </w:rPr>
      </w:pPr>
      <w:r>
        <w:rPr>
          <w:rFonts w:hint="default" w:ascii="HG丸ｺﾞｼｯｸM-PRO" w:hAnsi="HG丸ｺﾞｼｯｸM-PRO" w:eastAsia="HG丸ｺﾞｼｯｸM-PRO"/>
          <w:color w:val="FF9300"/>
          <w:sz w:val="22"/>
        </w:rPr>
        <w:t>①CHASE•VISIT</w:t>
      </w:r>
      <w:r>
        <w:rPr>
          <w:rFonts w:hint="default" w:ascii="HG丸ｺﾞｼｯｸM-PRO" w:hAnsi="HG丸ｺﾞｼｯｸM-PRO" w:eastAsia="HG丸ｺﾞｼｯｸM-PRO"/>
          <w:color w:val="FF9300"/>
          <w:sz w:val="22"/>
        </w:rPr>
        <w:t>情報の収集</w:t>
      </w:r>
      <w:r>
        <w:rPr>
          <w:rFonts w:hint="default" w:ascii="HG丸ｺﾞｼｯｸM-PRO" w:hAnsi="HG丸ｺﾞｼｯｸM-PRO" w:eastAsia="HG丸ｺﾞｼｯｸM-PRO"/>
          <w:color w:val="FF9300"/>
          <w:sz w:val="22"/>
        </w:rPr>
        <w:t>•</w:t>
      </w:r>
      <w:r>
        <w:rPr>
          <w:rFonts w:hint="default" w:ascii="HG丸ｺﾞｼｯｸM-PRO" w:hAnsi="HG丸ｺﾞｼｯｸM-PRO" w:eastAsia="HG丸ｺﾞｼｯｸM-PRO"/>
          <w:color w:val="FF9300"/>
          <w:sz w:val="22"/>
        </w:rPr>
        <w:t>活用と</w:t>
      </w:r>
      <w:r>
        <w:rPr>
          <w:rFonts w:hint="default" w:ascii="HG丸ｺﾞｼｯｸM-PRO" w:hAnsi="HG丸ｺﾞｼｯｸM-PRO" w:eastAsia="HG丸ｺﾞｼｯｸM-PRO"/>
          <w:color w:val="FF9300"/>
          <w:sz w:val="22"/>
        </w:rPr>
        <w:t>PDCA</w:t>
      </w:r>
      <w:r>
        <w:rPr>
          <w:rFonts w:hint="default" w:ascii="HG丸ｺﾞｼｯｸM-PRO" w:hAnsi="HG丸ｺﾞｼｯｸM-PRO" w:eastAsia="HG丸ｺﾞｼｯｸM-PRO"/>
          <w:color w:val="FF9300"/>
          <w:sz w:val="22"/>
        </w:rPr>
        <w:t>サイクルの推進</w:t>
      </w:r>
    </w:p>
    <w:p>
      <w:pPr>
        <w:pStyle w:val="0"/>
        <w:rPr>
          <w:rFonts w:hint="eastAsia" w:asciiTheme="minorEastAsia" w:hAnsiTheme="minorEastAsia" w:eastAsiaTheme="minorEastAsia"/>
          <w:color w:val="000000" w:themeColor="text1"/>
          <w:sz w:val="22"/>
        </w:rPr>
      </w:pPr>
      <w:r>
        <w:rPr>
          <w:rFonts w:hint="eastAsia"/>
        </w:rPr>
        <w:drawing>
          <wp:inline distT="0" distB="0" distL="203200" distR="203200">
            <wp:extent cx="5400040" cy="2924810"/>
            <wp:effectExtent l="0" t="0" r="0" b="0"/>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7"/>
                    <a:stretch>
                      <a:fillRect/>
                    </a:stretch>
                  </pic:blipFill>
                  <pic:spPr>
                    <a:xfrm>
                      <a:off x="0" y="0"/>
                      <a:ext cx="5400040" cy="2924810"/>
                    </a:xfrm>
                    <a:prstGeom prst="rect">
                      <a:avLst/>
                    </a:prstGeom>
                  </pic:spPr>
                </pic:pic>
              </a:graphicData>
            </a:graphic>
          </wp:inline>
        </w:drawing>
      </w:r>
    </w:p>
    <w:p>
      <w:pPr>
        <w:pStyle w:val="0"/>
        <w:snapToGrid w:val="0"/>
        <w:outlineLvl w:val="9"/>
        <w:rPr>
          <w:rFonts w:hint="eastAsia" w:asciiTheme="minorEastAsia" w:hAnsiTheme="minorEastAsia" w:eastAsiaTheme="minorEastAsia"/>
          <w:sz w:val="22"/>
        </w:rPr>
      </w:pPr>
      <w:r>
        <w:rPr>
          <w:rFonts w:hint="eastAsia" w:asciiTheme="minorEastAsia" w:hAnsiTheme="minorEastAsia" w:eastAsiaTheme="minorEastAsia"/>
          <w:b w:val="1"/>
          <w:sz w:val="22"/>
        </w:rPr>
        <w:t>令和</w:t>
      </w:r>
      <w:r>
        <w:rPr>
          <w:rFonts w:hint="eastAsia" w:asciiTheme="minorEastAsia" w:hAnsiTheme="minorEastAsia" w:eastAsiaTheme="minorEastAsia"/>
          <w:b w:val="1"/>
          <w:sz w:val="22"/>
        </w:rPr>
        <w:t>3</w:t>
      </w:r>
      <w:r>
        <w:rPr>
          <w:rFonts w:hint="eastAsia" w:asciiTheme="minorEastAsia" w:hAnsiTheme="minorEastAsia" w:eastAsiaTheme="minorEastAsia"/>
          <w:b w:val="1"/>
          <w:sz w:val="22"/>
        </w:rPr>
        <w:t>年</w:t>
      </w:r>
      <w:r>
        <w:rPr>
          <w:rFonts w:hint="eastAsia" w:asciiTheme="minorEastAsia" w:hAnsiTheme="minorEastAsia" w:eastAsiaTheme="minorEastAsia"/>
          <w:b w:val="1"/>
          <w:sz w:val="22"/>
        </w:rPr>
        <w:t>4</w:t>
      </w:r>
      <w:r>
        <w:rPr>
          <w:rFonts w:hint="eastAsia" w:asciiTheme="minorEastAsia" w:hAnsiTheme="minorEastAsia" w:eastAsiaTheme="minorEastAsia"/>
          <w:b w:val="1"/>
          <w:sz w:val="22"/>
        </w:rPr>
        <w:t>月</w:t>
      </w:r>
      <w:r>
        <w:rPr>
          <w:rFonts w:hint="eastAsia" w:asciiTheme="minorEastAsia" w:hAnsiTheme="minorEastAsia" w:eastAsiaTheme="minorEastAsia"/>
          <w:b w:val="1"/>
          <w:sz w:val="22"/>
        </w:rPr>
        <w:t>1</w:t>
      </w:r>
      <w:r>
        <w:rPr>
          <w:rFonts w:hint="eastAsia" w:asciiTheme="minorEastAsia" w:hAnsiTheme="minorEastAsia" w:eastAsiaTheme="minorEastAsia"/>
          <w:b w:val="1"/>
          <w:sz w:val="22"/>
        </w:rPr>
        <w:t>日以降の居宅介護支援事業所における管理者の取扱いについて</w:t>
      </w:r>
    </w:p>
    <w:p>
      <w:pPr>
        <w:pStyle w:val="0"/>
        <w:snapToGrid w:val="0"/>
        <w:ind w:firstLine="220" w:firstLineChars="100"/>
        <w:outlineLvl w:val="9"/>
        <w:rPr>
          <w:rFonts w:hint="eastAsia" w:asciiTheme="minorEastAsia" w:hAnsiTheme="minorEastAsia" w:eastAsiaTheme="minorEastAsia"/>
          <w:sz w:val="22"/>
        </w:rPr>
      </w:pPr>
      <w:r>
        <w:rPr>
          <w:rFonts w:hint="eastAsia" w:asciiTheme="minorEastAsia" w:hAnsiTheme="minorEastAsia" w:eastAsiaTheme="minorEastAsia"/>
          <w:sz w:val="22"/>
        </w:rPr>
        <w:t>居宅介護支援事業所の管理者については、平成</w:t>
      </w:r>
      <w:r>
        <w:rPr>
          <w:rFonts w:hint="eastAsia" w:asciiTheme="minorEastAsia" w:hAnsiTheme="minorEastAsia" w:eastAsiaTheme="minorEastAsia"/>
          <w:sz w:val="22"/>
        </w:rPr>
        <w:t>30</w:t>
      </w:r>
      <w:r>
        <w:rPr>
          <w:rFonts w:hint="eastAsia" w:asciiTheme="minorEastAsia" w:hAnsiTheme="minorEastAsia" w:eastAsiaTheme="minorEastAsia"/>
          <w:sz w:val="22"/>
        </w:rPr>
        <w:t>年度介護報酬改定において、「指定居宅介護支援等の事業の人員及び運営に関する基準（平成</w:t>
      </w:r>
      <w:r>
        <w:rPr>
          <w:rFonts w:hint="eastAsia" w:asciiTheme="minorEastAsia" w:hAnsiTheme="minorEastAsia" w:eastAsiaTheme="minorEastAsia"/>
          <w:sz w:val="22"/>
        </w:rPr>
        <w:t>11</w:t>
      </w:r>
      <w:r>
        <w:rPr>
          <w:rFonts w:hint="eastAsia" w:asciiTheme="minorEastAsia" w:hAnsiTheme="minorEastAsia" w:eastAsiaTheme="minorEastAsia"/>
          <w:sz w:val="22"/>
        </w:rPr>
        <w:t>年厚生省令第</w:t>
      </w:r>
      <w:r>
        <w:rPr>
          <w:rFonts w:hint="eastAsia" w:asciiTheme="minorEastAsia" w:hAnsiTheme="minorEastAsia" w:eastAsiaTheme="minorEastAsia"/>
          <w:sz w:val="22"/>
        </w:rPr>
        <w:t>38</w:t>
      </w:r>
      <w:r>
        <w:rPr>
          <w:rFonts w:hint="eastAsia" w:asciiTheme="minorEastAsia" w:hAnsiTheme="minorEastAsia" w:eastAsiaTheme="minorEastAsia"/>
          <w:sz w:val="22"/>
        </w:rPr>
        <w:t>号。以下「基準省令」という。）」が改正され、管理者の要件が介護支援専門員から主任介護支援専門員に変更されました。令和</w:t>
      </w:r>
      <w:r>
        <w:rPr>
          <w:rFonts w:hint="eastAsia" w:asciiTheme="minorEastAsia" w:hAnsiTheme="minorEastAsia" w:eastAsiaTheme="minorEastAsia"/>
          <w:sz w:val="22"/>
        </w:rPr>
        <w:t>3</w:t>
      </w:r>
      <w:r>
        <w:rPr>
          <w:rFonts w:hint="eastAsia" w:asciiTheme="minorEastAsia" w:hAnsiTheme="minorEastAsia" w:eastAsiaTheme="minorEastAsia"/>
          <w:sz w:val="22"/>
        </w:rPr>
        <w:t>年</w:t>
      </w:r>
      <w:r>
        <w:rPr>
          <w:rFonts w:hint="eastAsia" w:asciiTheme="minorEastAsia" w:hAnsiTheme="minorEastAsia" w:eastAsiaTheme="minorEastAsia"/>
          <w:sz w:val="22"/>
        </w:rPr>
        <w:t>3</w:t>
      </w:r>
      <w:r>
        <w:rPr>
          <w:rFonts w:hint="eastAsia" w:asciiTheme="minorEastAsia" w:hAnsiTheme="minorEastAsia" w:eastAsiaTheme="minorEastAsia"/>
          <w:sz w:val="22"/>
        </w:rPr>
        <w:t>月</w:t>
      </w:r>
      <w:r>
        <w:rPr>
          <w:rFonts w:hint="eastAsia" w:asciiTheme="minorEastAsia" w:hAnsiTheme="minorEastAsia" w:eastAsiaTheme="minorEastAsia"/>
          <w:sz w:val="22"/>
        </w:rPr>
        <w:t>31</w:t>
      </w:r>
      <w:r>
        <w:rPr>
          <w:rFonts w:hint="eastAsia" w:asciiTheme="minorEastAsia" w:hAnsiTheme="minorEastAsia" w:eastAsiaTheme="minorEastAsia"/>
          <w:sz w:val="22"/>
        </w:rPr>
        <w:t>日までは、その適用を猶予するとの経過措置がありましたが、令和</w:t>
      </w:r>
      <w:r>
        <w:rPr>
          <w:rFonts w:hint="eastAsia" w:asciiTheme="minorEastAsia" w:hAnsiTheme="minorEastAsia" w:eastAsiaTheme="minorEastAsia"/>
          <w:sz w:val="22"/>
        </w:rPr>
        <w:t>2</w:t>
      </w:r>
      <w:r>
        <w:rPr>
          <w:rFonts w:hint="eastAsia" w:asciiTheme="minorEastAsia" w:hAnsiTheme="minorEastAsia" w:eastAsiaTheme="minorEastAsia"/>
          <w:sz w:val="22"/>
        </w:rPr>
        <w:t>年</w:t>
      </w:r>
      <w:r>
        <w:rPr>
          <w:rFonts w:hint="eastAsia" w:asciiTheme="minorEastAsia" w:hAnsiTheme="minorEastAsia" w:eastAsiaTheme="minorEastAsia"/>
          <w:sz w:val="22"/>
        </w:rPr>
        <w:t>6</w:t>
      </w:r>
      <w:r>
        <w:rPr>
          <w:rFonts w:hint="eastAsia" w:asciiTheme="minorEastAsia" w:hAnsiTheme="minorEastAsia" w:eastAsiaTheme="minorEastAsia"/>
          <w:sz w:val="22"/>
        </w:rPr>
        <w:t>月</w:t>
      </w:r>
      <w:r>
        <w:rPr>
          <w:rFonts w:hint="eastAsia" w:asciiTheme="minorEastAsia" w:hAnsiTheme="minorEastAsia" w:eastAsiaTheme="minorEastAsia"/>
          <w:sz w:val="22"/>
        </w:rPr>
        <w:t>5</w:t>
      </w:r>
      <w:r>
        <w:rPr>
          <w:rFonts w:hint="eastAsia" w:asciiTheme="minorEastAsia" w:hAnsiTheme="minorEastAsia" w:eastAsiaTheme="minorEastAsia"/>
          <w:sz w:val="22"/>
        </w:rPr>
        <w:t>日に基準省令が改正されたことに伴い、下記のとおりお知らせします。</w:t>
      </w:r>
    </w:p>
    <w:p>
      <w:pPr>
        <w:pStyle w:val="0"/>
        <w:snapToGrid w:val="0"/>
        <w:ind w:firstLine="220" w:firstLineChars="100"/>
        <w:outlineLvl w:val="9"/>
        <w:rPr>
          <w:rFonts w:hint="eastAsia" w:asciiTheme="minorEastAsia" w:hAnsiTheme="minorEastAsia" w:eastAsiaTheme="minorEastAsia"/>
          <w:sz w:val="22"/>
        </w:rPr>
      </w:pPr>
    </w:p>
    <w:p>
      <w:pPr>
        <w:pStyle w:val="0"/>
        <w:snapToGrid w:val="0"/>
        <w:outlineLvl w:val="9"/>
        <w:rPr>
          <w:rFonts w:hint="eastAsia" w:asciiTheme="minorEastAsia" w:hAnsiTheme="minorEastAsia" w:eastAsiaTheme="minorEastAsia"/>
          <w:sz w:val="22"/>
        </w:rPr>
      </w:pPr>
      <w:r>
        <w:rPr>
          <w:rFonts w:hint="eastAsia" w:asciiTheme="minorEastAsia" w:hAnsiTheme="minorEastAsia" w:eastAsiaTheme="minorEastAsia"/>
          <w:b w:val="1"/>
          <w:sz w:val="22"/>
        </w:rPr>
        <w:t>管理者要件に係る経過措置期間の延長について</w:t>
      </w:r>
    </w:p>
    <w:p>
      <w:pPr>
        <w:pStyle w:val="0"/>
        <w:snapToGrid w:val="0"/>
        <w:ind w:firstLine="220" w:firstLineChars="100"/>
        <w:outlineLvl w:val="9"/>
        <w:rPr>
          <w:rFonts w:hint="eastAsia" w:asciiTheme="minorEastAsia" w:hAnsiTheme="minorEastAsia" w:eastAsiaTheme="minorEastAsia"/>
          <w:sz w:val="22"/>
        </w:rPr>
      </w:pPr>
      <w:r>
        <w:rPr>
          <w:rFonts w:hint="eastAsia" w:asciiTheme="minorEastAsia" w:hAnsiTheme="minorEastAsia" w:eastAsiaTheme="minorEastAsia"/>
          <w:sz w:val="22"/>
        </w:rPr>
        <w:t>令和</w:t>
      </w:r>
      <w:r>
        <w:rPr>
          <w:rFonts w:hint="eastAsia" w:asciiTheme="minorEastAsia" w:hAnsiTheme="minorEastAsia" w:eastAsiaTheme="minorEastAsia"/>
          <w:sz w:val="22"/>
        </w:rPr>
        <w:t>3</w:t>
      </w:r>
      <w:r>
        <w:rPr>
          <w:rFonts w:hint="eastAsia" w:asciiTheme="minorEastAsia" w:hAnsiTheme="minorEastAsia" w:eastAsiaTheme="minorEastAsia"/>
          <w:sz w:val="22"/>
        </w:rPr>
        <w:t>年</w:t>
      </w:r>
      <w:r>
        <w:rPr>
          <w:rFonts w:hint="eastAsia" w:asciiTheme="minorEastAsia" w:hAnsiTheme="minorEastAsia" w:eastAsiaTheme="minorEastAsia"/>
          <w:sz w:val="22"/>
        </w:rPr>
        <w:t>3</w:t>
      </w:r>
      <w:r>
        <w:rPr>
          <w:rFonts w:hint="eastAsia" w:asciiTheme="minorEastAsia" w:hAnsiTheme="minorEastAsia" w:eastAsiaTheme="minorEastAsia"/>
          <w:sz w:val="22"/>
        </w:rPr>
        <w:t>月</w:t>
      </w:r>
      <w:r>
        <w:rPr>
          <w:rFonts w:hint="eastAsia" w:asciiTheme="minorEastAsia" w:hAnsiTheme="minorEastAsia" w:eastAsiaTheme="minorEastAsia"/>
          <w:sz w:val="22"/>
        </w:rPr>
        <w:t>31</w:t>
      </w:r>
      <w:r>
        <w:rPr>
          <w:rFonts w:hint="eastAsia" w:asciiTheme="minorEastAsia" w:hAnsiTheme="minorEastAsia" w:eastAsiaTheme="minorEastAsia"/>
          <w:sz w:val="22"/>
        </w:rPr>
        <w:t>日時点で、管理者が主任介護支援専門員でない事業所について、その方が管理者である場合に限り、管理者を主任介護支援専門員とする要件の経過措置期間が令和</w:t>
      </w:r>
      <w:r>
        <w:rPr>
          <w:rFonts w:hint="eastAsia" w:asciiTheme="minorEastAsia" w:hAnsiTheme="minorEastAsia" w:eastAsiaTheme="minorEastAsia"/>
          <w:sz w:val="22"/>
        </w:rPr>
        <w:t>9</w:t>
      </w:r>
      <w:r>
        <w:rPr>
          <w:rFonts w:hint="eastAsia" w:asciiTheme="minorEastAsia" w:hAnsiTheme="minorEastAsia" w:eastAsiaTheme="minorEastAsia"/>
          <w:sz w:val="22"/>
        </w:rPr>
        <w:t>年</w:t>
      </w:r>
      <w:r>
        <w:rPr>
          <w:rFonts w:hint="eastAsia" w:asciiTheme="minorEastAsia" w:hAnsiTheme="minorEastAsia" w:eastAsiaTheme="minorEastAsia"/>
          <w:sz w:val="22"/>
        </w:rPr>
        <w:t>3</w:t>
      </w:r>
      <w:r>
        <w:rPr>
          <w:rFonts w:hint="eastAsia" w:asciiTheme="minorEastAsia" w:hAnsiTheme="minorEastAsia" w:eastAsiaTheme="minorEastAsia"/>
          <w:sz w:val="22"/>
        </w:rPr>
        <w:t>月</w:t>
      </w:r>
      <w:r>
        <w:rPr>
          <w:rFonts w:hint="eastAsia" w:asciiTheme="minorEastAsia" w:hAnsiTheme="minorEastAsia" w:eastAsiaTheme="minorEastAsia"/>
          <w:sz w:val="22"/>
        </w:rPr>
        <w:t>31</w:t>
      </w:r>
      <w:r>
        <w:rPr>
          <w:rFonts w:hint="eastAsia" w:asciiTheme="minorEastAsia" w:hAnsiTheme="minorEastAsia" w:eastAsiaTheme="minorEastAsia"/>
          <w:sz w:val="22"/>
        </w:rPr>
        <w:t>日まで延長となります。</w:t>
      </w:r>
      <w:r>
        <w:rPr>
          <w:rFonts w:hint="eastAsia" w:asciiTheme="minorEastAsia" w:hAnsiTheme="minorEastAsia" w:eastAsiaTheme="minorEastAsia"/>
          <w:sz w:val="22"/>
        </w:rPr>
        <w:br w:type="textWrapping" w:clear="none"/>
      </w:r>
      <w:r>
        <w:rPr>
          <w:rFonts w:hint="eastAsia" w:asciiTheme="minorEastAsia" w:hAnsiTheme="minorEastAsia" w:eastAsiaTheme="minorEastAsia"/>
          <w:sz w:val="22"/>
        </w:rPr>
        <w:t>令和</w:t>
      </w:r>
      <w:r>
        <w:rPr>
          <w:rFonts w:hint="eastAsia" w:asciiTheme="minorEastAsia" w:hAnsiTheme="minorEastAsia" w:eastAsiaTheme="minorEastAsia"/>
          <w:sz w:val="22"/>
        </w:rPr>
        <w:t>9</w:t>
      </w:r>
      <w:r>
        <w:rPr>
          <w:rFonts w:hint="eastAsia" w:asciiTheme="minorEastAsia" w:hAnsiTheme="minorEastAsia" w:eastAsiaTheme="minorEastAsia"/>
          <w:sz w:val="22"/>
        </w:rPr>
        <w:t>年</w:t>
      </w:r>
      <w:r>
        <w:rPr>
          <w:rFonts w:hint="eastAsia" w:asciiTheme="minorEastAsia" w:hAnsiTheme="minorEastAsia" w:eastAsiaTheme="minorEastAsia"/>
          <w:sz w:val="22"/>
        </w:rPr>
        <w:t>3</w:t>
      </w:r>
      <w:r>
        <w:rPr>
          <w:rFonts w:hint="eastAsia" w:asciiTheme="minorEastAsia" w:hAnsiTheme="minorEastAsia" w:eastAsiaTheme="minorEastAsia"/>
          <w:sz w:val="22"/>
        </w:rPr>
        <w:t>月</w:t>
      </w:r>
      <w:r>
        <w:rPr>
          <w:rFonts w:hint="eastAsia" w:asciiTheme="minorEastAsia" w:hAnsiTheme="minorEastAsia" w:eastAsiaTheme="minorEastAsia"/>
          <w:sz w:val="22"/>
        </w:rPr>
        <w:t>31</w:t>
      </w:r>
      <w:r>
        <w:rPr>
          <w:rFonts w:hint="eastAsia" w:asciiTheme="minorEastAsia" w:hAnsiTheme="minorEastAsia" w:eastAsiaTheme="minorEastAsia"/>
          <w:sz w:val="22"/>
        </w:rPr>
        <w:t>日までの間に退職等により管理者が変わる場合は、新たに管理者となる方は主任介護支援専門員である必要があります。</w:t>
      </w:r>
    </w:p>
    <w:p>
      <w:pPr>
        <w:pStyle w:val="0"/>
        <w:snapToGrid w:val="0"/>
        <w:ind w:firstLine="220" w:firstLineChars="100"/>
        <w:outlineLvl w:val="9"/>
        <w:rPr>
          <w:rFonts w:hint="eastAsia" w:asciiTheme="minorEastAsia" w:hAnsiTheme="minorEastAsia" w:eastAsiaTheme="minorEastAsia"/>
          <w:sz w:val="22"/>
        </w:rPr>
      </w:pPr>
      <w:bookmarkStart w:id="0" w:name="_GoBack"/>
      <w:bookmarkEnd w:id="0"/>
    </w:p>
    <w:p>
      <w:pPr>
        <w:pStyle w:val="0"/>
        <w:snapToGrid w:val="0"/>
        <w:outlineLvl w:val="9"/>
        <w:rPr>
          <w:rFonts w:hint="eastAsia" w:asciiTheme="minorEastAsia" w:hAnsiTheme="minorEastAsia" w:eastAsiaTheme="minorEastAsia"/>
          <w:color w:val="000000" w:themeColor="text1"/>
          <w:sz w:val="22"/>
        </w:rPr>
      </w:pPr>
      <w:r>
        <w:rPr>
          <w:rFonts w:hint="eastAsia" w:asciiTheme="minorEastAsia" w:hAnsiTheme="minorEastAsia" w:eastAsiaTheme="minorEastAsia"/>
          <w:b w:val="1"/>
          <w:sz w:val="22"/>
        </w:rPr>
        <w:t>管理者要件の臨時的な取扱いについて</w:t>
      </w:r>
    </w:p>
    <w:p>
      <w:pPr>
        <w:pStyle w:val="0"/>
        <w:snapToGrid w:val="0"/>
        <w:ind w:firstLine="220" w:firstLineChars="100"/>
        <w:outlineLvl w:val="9"/>
        <w:rPr>
          <w:rFonts w:hint="eastAsia" w:asciiTheme="minorEastAsia" w:hAnsiTheme="minorEastAsia" w:eastAsiaTheme="minorEastAsia"/>
          <w:color w:val="000000" w:themeColor="text1"/>
          <w:sz w:val="22"/>
        </w:rPr>
      </w:pPr>
      <w:r>
        <w:rPr>
          <w:rFonts w:hint="eastAsia" w:asciiTheme="minorEastAsia" w:hAnsiTheme="minorEastAsia" w:eastAsiaTheme="minorEastAsia"/>
          <w:sz w:val="22"/>
        </w:rPr>
        <w:t>令和</w:t>
      </w:r>
      <w:r>
        <w:rPr>
          <w:rFonts w:hint="eastAsia" w:asciiTheme="minorEastAsia" w:hAnsiTheme="minorEastAsia" w:eastAsiaTheme="minorEastAsia"/>
          <w:sz w:val="22"/>
        </w:rPr>
        <w:t>3</w:t>
      </w:r>
      <w:r>
        <w:rPr>
          <w:rFonts w:hint="eastAsia" w:asciiTheme="minorEastAsia" w:hAnsiTheme="minorEastAsia" w:eastAsiaTheme="minorEastAsia"/>
          <w:sz w:val="22"/>
        </w:rPr>
        <w:t>年</w:t>
      </w:r>
      <w:r>
        <w:rPr>
          <w:rFonts w:hint="eastAsia" w:asciiTheme="minorEastAsia" w:hAnsiTheme="minorEastAsia" w:eastAsiaTheme="minorEastAsia"/>
          <w:sz w:val="22"/>
        </w:rPr>
        <w:t>4</w:t>
      </w:r>
      <w:r>
        <w:rPr>
          <w:rFonts w:hint="eastAsia" w:asciiTheme="minorEastAsia" w:hAnsiTheme="minorEastAsia" w:eastAsiaTheme="minorEastAsia"/>
          <w:sz w:val="22"/>
        </w:rPr>
        <w:t>月</w:t>
      </w:r>
      <w:r>
        <w:rPr>
          <w:rFonts w:hint="eastAsia" w:asciiTheme="minorEastAsia" w:hAnsiTheme="minorEastAsia" w:eastAsiaTheme="minorEastAsia"/>
          <w:sz w:val="22"/>
        </w:rPr>
        <w:t>1</w:t>
      </w:r>
      <w:r>
        <w:rPr>
          <w:rFonts w:hint="eastAsia" w:asciiTheme="minorEastAsia" w:hAnsiTheme="minorEastAsia" w:eastAsiaTheme="minorEastAsia"/>
          <w:sz w:val="22"/>
        </w:rPr>
        <w:t>日以降、居宅介護支援事業所の管理者となる方は、主任介護支援専門員であることとされていますが、主任介護支援専門員の確保が困難である等やむを得ない理由があり、保険者（市）が認めた場合については、管理者を介護支援専門員とすることが可能となりました。この場合、主任介護支援専門員を管理者とできなくなった理由と、今後の管理者確保のための計画書を保険者に届け出てください。</w:t>
      </w:r>
    </w:p>
    <w:sectPr>
      <w:pgSz w:w="11906" w:h="16838"/>
      <w:pgMar w:top="1985" w:right="1701" w:bottom="1701" w:left="1701"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游明朝">
    <w:panose1 w:val="00000000000000000000"/>
    <w:charset w:val="80"/>
    <w:family w:val="roman"/>
    <w:notTrueType/>
    <w:pitch w:val="variable"/>
    <w:sig w:usb0="00000000" w:usb1="00000000" w:usb2="00000000" w:usb3="00000000" w:csb0="01008200" w:csb1="00000000"/>
  </w:font>
  <w:font w:name="AR P顏眞楷書体H">
    <w:panose1 w:val="00000000000000000000"/>
    <w:charset w:val="80"/>
    <w:family w:val="script"/>
    <w:notTrueType/>
    <w:pitch w:val="variable"/>
    <w:sig w:usb0="00000000" w:usb1="00000000" w:usb2="00000000" w:usb3="00000000" w:csb0="01008200" w:csb1="00000000"/>
  </w:font>
  <w:font w:name="ARマーカー体E">
    <w:panose1 w:val="00000000000000000000"/>
    <w:charset w:val="80"/>
    <w:family w:val="modern"/>
    <w:notTrueType/>
    <w:pitch w:val="fixed"/>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AR Pペン楷書体L">
    <w:panose1 w:val="00000000000000000000"/>
    <w:charset w:val="80"/>
    <w:family w:val="script"/>
    <w:notTrueType/>
    <w:pitch w:val="variable"/>
    <w:sig w:usb0="00000000" w:usb1="00000000" w:usb2="00000000" w:usb3="00000000" w:csb0="01008200" w:csb1="00000000"/>
  </w:font>
  <w:font w:name="AR Pマッチ体B">
    <w:panose1 w:val="00000000000000000000"/>
    <w:charset w:val="80"/>
    <w:family w:val="roman"/>
    <w:notTrueType/>
    <w:pitch w:val="variable"/>
    <w:sig w:usb0="00000000" w:usb1="00000000" w:usb2="00000000" w:usb3="00000000" w:csb0="01008200" w:csb1="00000000"/>
  </w:font>
  <w:font w:name="AR P勘亭流H">
    <w:panose1 w:val="00000000000000000000"/>
    <w:charset w:val="80"/>
    <w:family w:val="script"/>
    <w:notTrueType/>
    <w:pitch w:val="variable"/>
    <w:sig w:usb0="00000000" w:usb1="00000000" w:usb2="00000000" w:usb3="00000000" w:csb0="01008200" w:csb1="00000000"/>
  </w:font>
  <w:font w:name="AR P丸ゴシック体E">
    <w:panose1 w:val="00000000000000000000"/>
    <w:charset w:val="80"/>
    <w:family w:val="modern"/>
    <w:notTrueType/>
    <w:pitch w:val="variable"/>
    <w:sig w:usb0="00000000" w:usb1="00000000" w:usb2="00000000" w:usb3="00000000" w:csb0="01008200" w:csb1="00000000"/>
  </w:font>
  <w:font w:name="AR P丸ゴシック体M">
    <w:panose1 w:val="00000000000000000000"/>
    <w:charset w:val="80"/>
    <w:family w:val="modern"/>
    <w:notTrueType/>
    <w:pitch w:val="variable"/>
    <w:sig w:usb0="00000000" w:usb1="00000000" w:usb2="00000000" w:usb3="00000000" w:csb0="01008200" w:csb1="00000000"/>
  </w:font>
  <w:font w:name="AR P教科書体M">
    <w:panose1 w:val="00000000000000000000"/>
    <w:charset w:val="80"/>
    <w:family w:val="script"/>
    <w:notTrueType/>
    <w:pitch w:val="variable"/>
    <w:sig w:usb0="00000000" w:usb1="00000000" w:usb2="00000000" w:usb3="00000000" w:csb0="01008200" w:csb1="00000000"/>
  </w:font>
  <w:font w:name="AR P明朝体L">
    <w:panose1 w:val="00000000000000000000"/>
    <w:charset w:val="80"/>
    <w:family w:val="roman"/>
    <w:notTrueType/>
    <w:pitch w:val="variable"/>
    <w:sig w:usb0="00000000" w:usb1="00000000" w:usb2="00000000" w:usb3="00000000" w:csb0="01008200" w:csb1="00000000"/>
  </w:font>
  <w:font w:name="AR P明朝体U">
    <w:panose1 w:val="00000000000000000000"/>
    <w:charset w:val="80"/>
    <w:family w:val="roman"/>
    <w:notTrueType/>
    <w:pitch w:val="variable"/>
    <w:sig w:usb0="00000000" w:usb1="00000000" w:usb2="00000000" w:usb3="00000000" w:csb0="01008200" w:csb1="00000000"/>
  </w:font>
  <w:font w:name="ＤＦ特太ゴシック体">
    <w:panose1 w:val="00000000000000000000"/>
    <w:charset w:val="80"/>
    <w:family w:val="modern"/>
    <w:notTrueType/>
    <w:pitch w:val="fixed"/>
    <w:sig w:usb0="00000000" w:usb1="00000000" w:usb2="00000000" w:usb3="00000000" w:csb0="01008200" w:csb1="00000000"/>
  </w:font>
  <w:font w:name="HGS創英角ﾎﾟｯﾌﾟ体">
    <w:panose1 w:val="00000000000000000000"/>
    <w:charset w:val="80"/>
    <w:family w:val="modern"/>
    <w:notTrueType/>
    <w:pitch w:val="variable"/>
    <w:sig w:usb0="00000000" w:usb1="00000000" w:usb2="00000000" w:usb3="00000000" w:csb0="01008200" w:csb1="00000000"/>
  </w:font>
  <w:font w:name="UD デジタル 教科書体 N-R">
    <w:panose1 w:val="00000000000000000000"/>
    <w:charset w:val="80"/>
    <w:family w:val="roman"/>
    <w:notTrueType/>
    <w:pitch w:val="fixed"/>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Malgun Gothic Semilight">
    <w:panose1 w:val="00000000000000000000"/>
    <w:charset w:val="80"/>
    <w:family w:val="modern"/>
    <w:notTrueType/>
    <w:pitch w:val="variable"/>
    <w:sig w:usb0="00000000" w:usb1="00000000" w:usb2="00000000" w:usb3="00000000" w:csb0="01008200" w:csb1="00000000"/>
  </w:font>
  <w:font w:name="Meiryo UI">
    <w:panose1 w:val="00000000000000000000"/>
    <w:charset w:val="80"/>
    <w:family w:val="modern"/>
    <w:notTrueType/>
    <w:pitch w:val="variable"/>
    <w:sig w:usb0="00000000" w:usb1="00000000" w:usb2="00000000" w:usb3="00000000" w:csb0="01008200" w:csb1="00000000"/>
  </w:font>
  <w:font w:name="HG行書体">
    <w:panose1 w:val="00000000000000000000"/>
    <w:charset w:val="80"/>
    <w:family w:val="script"/>
    <w:notTrueType/>
    <w:pitch w:val="fixed"/>
    <w:sig w:usb0="00000000" w:usb1="00000000" w:usb2="00000000" w:usb3="00000000" w:csb0="01008200" w:csb1="00000000"/>
  </w:font>
  <w:font w:name="IPAmj明朝">
    <w:panose1 w:val="00000000000000000000"/>
    <w:charset w:val="80"/>
    <w:family w:val="roma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ＭＳ Ｐ明朝">
    <w:panose1 w:val="00000800000000000000"/>
    <w:charset w:val="80"/>
    <w:family w:val="roman"/>
    <w:notTrueType/>
    <w:pitch w:val="variable"/>
    <w:sig w:usb0="00000000" w:usb1="00000000" w:usb2="00000000" w:usb3="00000000" w:csb0="01008200" w:csb1="00000000"/>
  </w:font>
  <w:font w:name="MS UI Gothic">
    <w:panose1 w:val="00000000000000000000"/>
    <w:charset w:val="80"/>
    <w:family w:val="modern"/>
    <w:notTrueType/>
    <w:pitch w:val="variable"/>
    <w:sig w:usb0="00000000" w:usb1="00000000" w:usb2="00000000" w:usb3="00000000" w:csb0="01008200" w:csb1="00000000"/>
  </w:font>
  <w:font w:name="Times New Roman">
    <w:panose1 w:val="00000800000000000000"/>
    <w:charset w:val="00"/>
    <w:family w:val="roman"/>
    <w:notTrueType/>
    <w:pitch w:val="variable"/>
    <w:sig w:usb0="00000000" w:usb1="00000000" w:usb2="00000000" w:usb3="00000000" w:csb0="FF000000" w:csb1="00000000"/>
  </w:font>
  <w:font w:name="MS UI Gothic">
    <w:panose1 w:val="00000800000000000000"/>
    <w:charset w:val="80"/>
    <w:family w:val="moder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メイリオ">
    <w:panose1 w:val="00000800000000000000"/>
    <w:charset w:val="80"/>
    <w:family w:val="modern"/>
    <w:notTrueType/>
    <w:pitch w:val="variable"/>
    <w:sig w:usb0="00000000" w:usb1="00000000" w:usb2="00000000" w:usb3="00000000" w:csb0="01008200" w:csb1="00000000"/>
  </w:font>
  <w:font w:name="AR Pゴシック体M">
    <w:panose1 w:val="00000000000000000000"/>
    <w:charset w:val="80"/>
    <w:family w:val="modern"/>
    <w:notTrueType/>
    <w:pitch w:val="variable"/>
    <w:sig w:usb0="00000000" w:usb1="00000000" w:usb2="00000000" w:usb3="00000000" w:csb0="01008200" w:csb1="00000000"/>
  </w:font>
  <w:font w:name="AR Pゴシック体M">
    <w:panose1 w:val="00000800000000000000"/>
    <w:charset w:val="80"/>
    <w:family w:val="modern"/>
    <w:notTrueType/>
    <w:pitch w:val="variable"/>
    <w:sig w:usb0="00000000" w:usb1="00000000" w:usb2="00000000" w:usb3="00000000" w:csb0="01008200" w:csb1="00000000"/>
  </w:font>
  <w:font w:name="AR Pゴシック体S">
    <w:panose1 w:val="00000800000000000000"/>
    <w:charset w:val="80"/>
    <w:family w:val="modern"/>
    <w:notTrueType/>
    <w:pitch w:val="variable"/>
    <w:sig w:usb0="00000000" w:usb1="00000000" w:usb2="00000000" w:usb3="00000000" w:csb0="01008200" w:csb1="00000000"/>
  </w:font>
  <w:font w:name="AR Pマッチ体B">
    <w:panose1 w:val="00000800000000000000"/>
    <w:charset w:val="80"/>
    <w:family w:val="roma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paragraph" w:styleId="2">
    <w:name w:val="heading 2"/>
    <w:basedOn w:val="0"/>
    <w:next w:val="0"/>
    <w:link w:val="0"/>
    <w:uiPriority w:val="0"/>
    <w:qFormat/>
    <w:pPr>
      <w:keepNext w:val="1"/>
      <w:pageBreakBefore w:val="0"/>
      <w:widowControl w:val="0"/>
      <w:suppressLineNumbers w:val="0"/>
      <w:suppressAutoHyphens w:val="0"/>
      <w:overflowPunct w:val="1"/>
      <w:topLinePunct w:val="0"/>
      <w:autoSpaceDE w:val="1"/>
      <w:autoSpaceDN w:val="1"/>
      <w:adjustRightInd w:val="1"/>
      <w:snapToGrid w:val="1"/>
      <w:spacing w:before="240" w:beforeLines="0" w:beforeAutospacing="0" w:after="60" w:afterLines="0" w:afterAutospacing="0" w:line="240" w:lineRule="auto"/>
      <w:ind w:leftChars="0" w:rightChars="0" w:firstLineChars="0"/>
      <w:contextualSpacing w:val="0"/>
      <w:mirrorIndents w:val="0"/>
      <w:jc w:val="both"/>
      <w:outlineLvl w:val="1"/>
      <w15:collapsed w:val="0"/>
    </w:pPr>
    <w:rPr>
      <w:rFonts w:ascii="Times New Roman" w:hAnsi="Times New Roman" w:eastAsia="Times New Roman"/>
      <w:b w:val="1"/>
      <w:i w:val="0"/>
      <w:caps w:val="0"/>
      <w:smallCaps w:val="0"/>
      <w:strike w:val="0"/>
      <w:dstrike w:val="0"/>
      <w:outline w:val="0"/>
      <w:shadow w:val="0"/>
      <w:emboss w:val="0"/>
      <w:imprint w:val="0"/>
      <w:snapToGrid w:val="1"/>
      <w:vanish w:val="0"/>
      <w:color w:val="auto"/>
      <w:w w:val="100"/>
      <w:sz w:val="36"/>
      <w:highlight w:val="none"/>
      <w:u w:val="none" w:color="auto"/>
      <w:bdr w:val="none" w:color="auto" w:sz="0" w:space="0"/>
      <w:shd w:val="clear" w:color="auto" w:fill="auto"/>
      <w:vertAlign w:val="baseline"/>
      <w:em w:val="none"/>
    </w:rPr>
  </w:style>
  <w:style w:type="paragraph" w:styleId="3">
    <w:name w:val="heading 3"/>
    <w:basedOn w:val="0"/>
    <w:next w:val="0"/>
    <w:link w:val="0"/>
    <w:uiPriority w:val="0"/>
    <w:qFormat/>
    <w:pPr>
      <w:keepNext w:val="1"/>
      <w:pageBreakBefore w:val="0"/>
      <w:widowControl w:val="0"/>
      <w:suppressLineNumbers w:val="0"/>
      <w:suppressAutoHyphens w:val="0"/>
      <w:overflowPunct w:val="1"/>
      <w:topLinePunct w:val="0"/>
      <w:autoSpaceDE w:val="1"/>
      <w:autoSpaceDN w:val="1"/>
      <w:adjustRightInd w:val="1"/>
      <w:snapToGrid w:val="1"/>
      <w:spacing w:before="240" w:beforeLines="0" w:beforeAutospacing="0" w:after="60" w:afterLines="0" w:afterAutospacing="0" w:line="240" w:lineRule="auto"/>
      <w:ind w:leftChars="0" w:rightChars="0" w:firstLineChars="0"/>
      <w:contextualSpacing w:val="0"/>
      <w:mirrorIndents w:val="0"/>
      <w:jc w:val="both"/>
      <w:outlineLvl w:val="2"/>
      <w15:collapsed w:val="0"/>
    </w:pPr>
    <w:rPr>
      <w:rFonts w:ascii="Times New Roman" w:hAnsi="Times New Roman" w:eastAsia="Times New Roman"/>
      <w:b w:val="1"/>
      <w:i w:val="0"/>
      <w:caps w:val="0"/>
      <w:smallCaps w:val="0"/>
      <w:strike w:val="0"/>
      <w:dstrike w:val="0"/>
      <w:outline w:val="0"/>
      <w:shadow w:val="0"/>
      <w:emboss w:val="0"/>
      <w:imprint w:val="0"/>
      <w:snapToGrid w:val="1"/>
      <w:vanish w:val="0"/>
      <w:color w:val="auto"/>
      <w:w w:val="100"/>
      <w:sz w:val="28"/>
      <w:highlight w:val="none"/>
      <w:u w:val="none" w:color="auto"/>
      <w:bdr w:val="none" w:color="auto" w:sz="0" w:space="0"/>
      <w:shd w:val="clear" w:color="auto" w:fill="auto"/>
      <w:vertAlign w:val="baseline"/>
      <w:em w:val="none"/>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emf" /><Relationship Id="rId6" Type="http://schemas.openxmlformats.org/officeDocument/2006/relationships/image" Target="media/image2.emf" /><Relationship Id="rId7" Type="http://schemas.openxmlformats.org/officeDocument/2006/relationships/image" Target="media/image3.emf" /><Relationship Id="rId8"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799</TotalTime>
  <Pages>10</Pages>
  <Words>53</Words>
  <Characters>6597</Characters>
  <Application>JUST Note</Application>
  <Lines>297</Lines>
  <Paragraphs>161</Paragraphs>
  <Company>八街市</Company>
  <CharactersWithSpaces>6696</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Administrator</dc:creator>
  <cp:lastModifiedBy>YMJ21601R02</cp:lastModifiedBy>
  <cp:lastPrinted>2021-03-24T09:35:19Z</cp:lastPrinted>
  <dcterms:created xsi:type="dcterms:W3CDTF">2021-03-23T01:53:00Z</dcterms:created>
  <dcterms:modified xsi:type="dcterms:W3CDTF">2021-03-25T12:19:14Z</dcterms:modified>
  <cp:revision>39</cp:revision>
</cp:coreProperties>
</file>