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embeddings/Microsoft_Excel_Worksheet.xlsx" ContentType="application/vnd.openxmlformats-officedocument.spreadsheetml.sheet"/>
  <Override PartName="/word/theme/themeOverride1.xml" ContentType="application/vnd.openxmlformats-officedocument.themeOverride+xml"/>
  <Override PartName="/word/charts/chart2.xml" ContentType="application/vnd.openxmlformats-officedocument.drawingml.chart+xml"/>
  <Override PartName="/word/embeddings/Microsoft_Excel_Worksheet1.xlsx" ContentType="application/vnd.openxmlformats-officedocument.spreadsheetml.sheet"/>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olors1.xml" ContentType="application/vnd.ms-office.chartcolorstyle+xml"/>
  <Override PartName="/word/charts/style1.xml" ContentType="application/vnd.ms-office.chartstyle+xml"/>
  <Override PartName="/word/embeddings/Microsoft_Excel_Worksheet2.xlsx" ContentType="application/vnd.openxmlformats-officedocument.spreadsheetml.sheet"/>
  <Override PartName="/word/charts/chart4.xml" ContentType="application/vnd.openxmlformats-officedocument.drawingml.chart+xml"/>
  <Override PartName="/word/theme/themeOverride4.xml" ContentType="application/vnd.openxmlformats-officedocument.themeOverride+xml"/>
  <Override PartName="/word/charts/colors2.xml" ContentType="application/vnd.ms-office.chartcolorstyle+xml"/>
  <Override PartName="/word/charts/style2.xml" ContentType="application/vnd.ms-office.chartstyle+xml"/>
  <Override PartName="/word/embeddings/Microsoft_Excel_Worksheet3.xlsx" ContentType="application/vnd.openxmlformats-officedocument.spreadsheetml.sheet"/>
  <Override PartName="/word/charts/chart5.xml" ContentType="application/vnd.openxmlformats-officedocument.drawingml.chart+xml"/>
  <Override PartName="/word/theme/themeOverride5.xml" ContentType="application/vnd.openxmlformats-officedocument.themeOverride+xml"/>
  <Override PartName="/word/charts/colors3.xml" ContentType="application/vnd.ms-office.chartcolorstyle+xml"/>
  <Override PartName="/word/charts/style3.xml" ContentType="application/vnd.ms-office.chartstyle+xml"/>
  <Override PartName="/word/embeddings/Microsoft_Excel_Worksheet4.xlsx" ContentType="application/vnd.openxmlformats-officedocument.spreadsheetml.sheet"/>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6.xml" ContentType="application/vnd.openxmlformats-officedocument.drawingml.chart+xml"/>
  <Override PartName="/word/theme/themeOverride6.xml" ContentType="application/vnd.openxmlformats-officedocument.themeOverride+xml"/>
  <Override PartName="/word/charts/colors4.xml" ContentType="application/vnd.ms-office.chartcolorstyle+xml"/>
  <Override PartName="/word/charts/style4.xml" ContentType="application/vnd.ms-office.chartstyle+xml"/>
  <Override PartName="/word/embeddings/Microsoft_Excel_Worksheet5.xlsx" ContentType="application/vnd.openxmlformats-officedocument.spreadsheetml.sheet"/>
  <Override PartName="/word/charts/chart7.xml" ContentType="application/vnd.openxmlformats-officedocument.drawingml.chart+xml"/>
  <Override PartName="/word/embeddings/Microsoft_Excel_Worksheet6.xlsx" ContentType="application/vnd.openxmlformats-officedocument.spreadsheetml.sheet"/>
  <Override PartName="/word/theme/themeOverride7.xml" ContentType="application/vnd.openxmlformats-officedocument.themeOverride+xml"/>
  <Override PartName="/word/charts/chart8.xml" ContentType="application/vnd.openxmlformats-officedocument.drawingml.chart+xml"/>
  <Override PartName="/word/embeddings/Microsoft_Excel_Worksheet7.xlsx" ContentType="application/vnd.openxmlformats-officedocument.spreadsheetml.sheet"/>
  <Override PartName="/word/theme/themeOverride8.xml" ContentType="application/vnd.openxmlformats-officedocument.themeOverride+xml"/>
  <Override PartName="/word/header8.xml" ContentType="application/vnd.openxmlformats-officedocument.wordprocessingml.header+xml"/>
  <Override PartName="/word/header9.xml" ContentType="application/vnd.openxmlformats-officedocument.wordprocessingml.header+xml"/>
  <Override PartName="/word/charts/chart9.xml" ContentType="application/vnd.openxmlformats-officedocument.drawingml.chart+xml"/>
  <Override PartName="/word/embeddings/Microsoft_Excel_Worksheet8.xlsx" ContentType="application/vnd.openxmlformats-officedocument.spreadsheetml.sheet"/>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olors5.xml" ContentType="application/vnd.ms-office.chartcolorstyle+xml"/>
  <Override PartName="/word/charts/style5.xml" ContentType="application/vnd.ms-office.chartstyle+xml"/>
  <Override PartName="/word/embeddings/Microsoft_Excel_Worksheet9.xlsx" ContentType="application/vnd.openxmlformats-officedocument.spreadsheetml.sheet"/>
  <Override PartName="/word/charts/chart11.xml" ContentType="application/vnd.openxmlformats-officedocument.drawingml.chart+xml"/>
  <Override PartName="/word/embeddings/Microsoft_Excel_Worksheet10.xlsx" ContentType="application/vnd.openxmlformats-officedocument.spreadsheetml.sheet"/>
  <Override PartName="/word/theme/themeOverride11.xml" ContentType="application/vnd.openxmlformats-officedocument.themeOverride+xml"/>
  <Override PartName="/word/charts/chart12.xml" ContentType="application/vnd.openxmlformats-officedocument.drawingml.chart+xml"/>
  <Override PartName="/word/embeddings/Microsoft_Excel_Worksheet11.xlsx" ContentType="application/vnd.openxmlformats-officedocument.spreadsheetml.sheet"/>
  <Override PartName="/word/theme/themeOverride12.xml" ContentType="application/vnd.openxmlformats-officedocument.themeOverride+xml"/>
  <Override PartName="/word/charts/chart13.xml" ContentType="application/vnd.openxmlformats-officedocument.drawingml.chart+xml"/>
  <Override PartName="/word/embeddings/Microsoft_Excel_Worksheet12.xlsx" ContentType="application/vnd.openxmlformats-officedocument.spreadsheetml.sheet"/>
  <Override PartName="/word/theme/themeOverride13.xml" ContentType="application/vnd.openxmlformats-officedocument.themeOverride+xml"/>
  <Override PartName="/word/charts/chart14.xml" ContentType="application/vnd.openxmlformats-officedocument.drawingml.chart+xml"/>
  <Override PartName="/word/embeddings/Microsoft_Excel_Worksheet13.xlsx" ContentType="application/vnd.openxmlformats-officedocument.spreadsheetml.sheet"/>
  <Override PartName="/word/theme/themeOverride14.xml" ContentType="application/vnd.openxmlformats-officedocument.themeOverride+xml"/>
  <Override PartName="/word/charts/chart15.xml" ContentType="application/vnd.openxmlformats-officedocument.drawingml.chart+xml"/>
  <Override PartName="/word/embeddings/Microsoft_Excel_Worksheet14.xlsx" ContentType="application/vnd.openxmlformats-officedocument.spreadsheetml.sheet"/>
  <Override PartName="/word/theme/themeOverride15.xml" ContentType="application/vnd.openxmlformats-officedocument.themeOverride+xml"/>
  <Override PartName="/word/charts/chart16.xml" ContentType="application/vnd.openxmlformats-officedocument.drawingml.chart+xml"/>
  <Override PartName="/word/embeddings/Microsoft_Excel_Worksheet15.xlsx" ContentType="application/vnd.openxmlformats-officedocument.spreadsheetml.sheet"/>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olors6.xml" ContentType="application/vnd.ms-office.chartcolorstyle+xml"/>
  <Override PartName="/word/charts/style6.xml" ContentType="application/vnd.ms-office.chartstyle+xml"/>
  <Override PartName="/word/embeddings/Microsoft_Excel_Worksheet16.xlsx" ContentType="application/vnd.openxmlformats-officedocument.spreadsheetml.sheet"/>
  <Override PartName="/word/charts/chart18.xml" ContentType="application/vnd.openxmlformats-officedocument.drawingml.chart+xml"/>
  <Override PartName="/word/embeddings/Microsoft_Excel_Worksheet17.xlsx" ContentType="application/vnd.openxmlformats-officedocument.spreadsheetml.sheet"/>
  <Override PartName="/word/theme/themeOverride18.xml" ContentType="application/vnd.openxmlformats-officedocument.themeOverride+xml"/>
  <Override PartName="/word/charts/chart19.xml" ContentType="application/vnd.openxmlformats-officedocument.drawingml.chart+xml"/>
  <Override PartName="/word/embeddings/Microsoft_Excel_Worksheet18.xlsx" ContentType="application/vnd.openxmlformats-officedocument.spreadsheetml.sheet"/>
  <Override PartName="/word/theme/themeOverride19.xml" ContentType="application/vnd.openxmlformats-officedocument.themeOverride+xml"/>
  <Override PartName="/word/charts/chart20.xml" ContentType="application/vnd.openxmlformats-officedocument.drawingml.chart+xml"/>
  <Override PartName="/word/embeddings/Microsoft_Excel_Worksheet19.xlsx" ContentType="application/vnd.openxmlformats-officedocument.spreadsheetml.sheet"/>
  <Override PartName="/word/theme/themeOverride20.xml" ContentType="application/vnd.openxmlformats-officedocument.themeOverride+xml"/>
  <Override PartName="/word/charts/chart21.xml" ContentType="application/vnd.openxmlformats-officedocument.drawingml.chart+xml"/>
  <Override PartName="/word/embeddings/Microsoft_Excel_Worksheet20.xlsx" ContentType="application/vnd.openxmlformats-officedocument.spreadsheetml.sheet"/>
  <Override PartName="/word/theme/themeOverride21.xml" ContentType="application/vnd.openxmlformats-officedocument.themeOverride+xml"/>
  <Override PartName="/word/charts/chart22.xml" ContentType="application/vnd.openxmlformats-officedocument.drawingml.chart+xml"/>
  <Override PartName="/word/embeddings/Microsoft_Excel_Worksheet21.xlsx" ContentType="application/vnd.openxmlformats-officedocument.spreadsheetml.sheet"/>
  <Override PartName="/word/theme/themeOverride22.xml" ContentType="application/vnd.openxmlformats-officedocument.themeOverride+xml"/>
  <Override PartName="/word/charts/chart23.xml" ContentType="application/vnd.openxmlformats-officedocument.drawingml.chart+xml"/>
  <Override PartName="/word/embeddings/Microsoft_Excel_Worksheet22.xlsx" ContentType="application/vnd.openxmlformats-officedocument.spreadsheetml.sheet"/>
  <Override PartName="/word/theme/themeOverride23.xml" ContentType="application/vnd.openxmlformats-officedocument.themeOverride+xml"/>
  <Override PartName="/word/charts/chart24.xml" ContentType="application/vnd.openxmlformats-officedocument.drawingml.chart+xml"/>
  <Override PartName="/word/embeddings/Microsoft_Excel_Worksheet23.xlsx" ContentType="application/vnd.openxmlformats-officedocument.spreadsheetml.sheet"/>
  <Override PartName="/word/theme/themeOverride24.xml" ContentType="application/vnd.openxmlformats-officedocument.themeOverride+xml"/>
  <Override PartName="/word/charts/chart25.xml" ContentType="application/vnd.openxmlformats-officedocument.drawingml.chart+xml"/>
  <Override PartName="/word/embeddings/Microsoft_Excel_Worksheet24.xlsx" ContentType="application/vnd.openxmlformats-officedocument.spreadsheetml.sheet"/>
  <Override PartName="/word/theme/themeOverride25.xml" ContentType="application/vnd.openxmlformats-officedocument.themeOverride+xml"/>
  <Override PartName="/word/charts/chart26.xml" ContentType="application/vnd.openxmlformats-officedocument.drawingml.chart+xml"/>
  <Override PartName="/word/embeddings/Microsoft_Excel_Worksheet25.xlsx" ContentType="application/vnd.openxmlformats-officedocument.spreadsheetml.sheet"/>
  <Override PartName="/word/theme/themeOverride26.xml" ContentType="application/vnd.openxmlformats-officedocument.themeOverride+xml"/>
  <Override PartName="/word/charts/chart27.xml" ContentType="application/vnd.openxmlformats-officedocument.drawingml.chart+xml"/>
  <Override PartName="/word/embeddings/Microsoft_Excel_Worksheet26.xlsx" ContentType="application/vnd.openxmlformats-officedocument.spreadsheetml.sheet"/>
  <Override PartName="/word/theme/themeOverride27.xml" ContentType="application/vnd.openxmlformats-officedocument.themeOverride+xml"/>
  <Override PartName="/word/charts/chart28.xml" ContentType="application/vnd.openxmlformats-officedocument.drawingml.chart+xml"/>
  <Override PartName="/word/embeddings/Microsoft_Excel_Worksheet27.xlsx" ContentType="application/vnd.openxmlformats-officedocument.spreadsheetml.sheet"/>
  <Override PartName="/word/theme/themeOverride28.xml" ContentType="application/vnd.openxmlformats-officedocument.themeOverride+xml"/>
  <Override PartName="/word/charts/chart29.xml" ContentType="application/vnd.openxmlformats-officedocument.drawingml.chart+xml"/>
  <Override PartName="/word/embeddings/Microsoft_Excel_Worksheet28.xlsx" ContentType="application/vnd.openxmlformats-officedocument.spreadsheetml.sheet"/>
  <Override PartName="/word/theme/themeOverride29.xml" ContentType="application/vnd.openxmlformats-officedocument.themeOverride+xml"/>
  <Override PartName="/word/charts/chart30.xml" ContentType="application/vnd.openxmlformats-officedocument.drawingml.chart+xml"/>
  <Override PartName="/word/embeddings/Microsoft_Excel_Worksheet29.xlsx" ContentType="application/vnd.openxmlformats-officedocument.spreadsheetml.sheet"/>
  <Override PartName="/word/theme/themeOverride30.xml" ContentType="application/vnd.openxmlformats-officedocument.themeOverride+xml"/>
  <Override PartName="/word/charts/chart31.xml" ContentType="application/vnd.openxmlformats-officedocument.drawingml.chart+xml"/>
  <Override PartName="/word/embeddings/Microsoft_Excel_Worksheet30.xlsx" ContentType="application/vnd.openxmlformats-officedocument.spreadsheetml.sheet"/>
  <Override PartName="/word/theme/themeOverride31.xml" ContentType="application/vnd.openxmlformats-officedocument.themeOverride+xml"/>
  <Override PartName="/word/charts/chart32.xml" ContentType="application/vnd.openxmlformats-officedocument.drawingml.chart+xml"/>
  <Override PartName="/word/embeddings/Microsoft_Excel_Worksheet31.xlsx" ContentType="application/vnd.openxmlformats-officedocument.spreadsheetml.sheet"/>
  <Override PartName="/word/theme/themeOverride32.xml" ContentType="application/vnd.openxmlformats-officedocument.themeOverride+xml"/>
  <Override PartName="/word/charts/chart33.xml" ContentType="application/vnd.openxmlformats-officedocument.drawingml.chart+xml"/>
  <Override PartName="/word/embeddings/Microsoft_Excel_Worksheet32.xlsx" ContentType="application/vnd.openxmlformats-officedocument.spreadsheetml.sheet"/>
  <Override PartName="/word/theme/themeOverride33.xml" ContentType="application/vnd.openxmlformats-officedocument.themeOverride+xml"/>
  <Override PartName="/word/charts/chart34.xml" ContentType="application/vnd.openxmlformats-officedocument.drawingml.chart+xml"/>
  <Override PartName="/word/embeddings/Microsoft_Excel_Worksheet33.xlsx" ContentType="application/vnd.openxmlformats-officedocument.spreadsheetml.sheet"/>
  <Override PartName="/word/theme/themeOverride34.xml" ContentType="application/vnd.openxmlformats-officedocument.themeOverride+xml"/>
  <Override PartName="/word/charts/chart35.xml" ContentType="application/vnd.openxmlformats-officedocument.drawingml.chart+xml"/>
  <Override PartName="/word/embeddings/Microsoft_Excel_Worksheet34.xlsx" ContentType="application/vnd.openxmlformats-officedocument.spreadsheetml.sheet"/>
  <Override PartName="/word/theme/themeOverride35.xml" ContentType="application/vnd.openxmlformats-officedocument.themeOverride+xml"/>
  <Override PartName="/word/charts/chart36.xml" ContentType="application/vnd.openxmlformats-officedocument.drawingml.chart+xml"/>
  <Override PartName="/word/embeddings/Microsoft_Excel_Worksheet35.xlsx" ContentType="application/vnd.openxmlformats-officedocument.spreadsheetml.sheet"/>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olors7.xml" ContentType="application/vnd.ms-office.chartcolorstyle+xml"/>
  <Override PartName="/word/charts/style7.xml" ContentType="application/vnd.ms-office.chartstyle+xml"/>
  <Override PartName="/word/embeddings/Microsoft_Excel_Worksheet36.xlsx" ContentType="application/vnd.openxmlformats-officedocument.spreadsheetml.sheet"/>
  <Override PartName="/word/charts/chart38.xml" ContentType="application/vnd.openxmlformats-officedocument.drawingml.chart+xml"/>
  <Override PartName="/word/theme/themeOverride38.xml" ContentType="application/vnd.openxmlformats-officedocument.themeOverride+xml"/>
  <Override PartName="/word/charts/colors8.xml" ContentType="application/vnd.ms-office.chartcolorstyle+xml"/>
  <Override PartName="/word/charts/style8.xml" ContentType="application/vnd.ms-office.chartstyle+xml"/>
  <Override PartName="/word/embeddings/Microsoft_Excel_Worksheet37.xlsx" ContentType="application/vnd.openxmlformats-officedocument.spreadsheetml.sheet"/>
  <Override PartName="/word/charts/chart39.xml" ContentType="application/vnd.openxmlformats-officedocument.drawingml.chart+xml"/>
  <Override PartName="/word/embeddings/Microsoft_Excel_Worksheet38.xlsx" ContentType="application/vnd.openxmlformats-officedocument.spreadsheetml.sheet"/>
  <Override PartName="/word/theme/themeOverride39.xml" ContentType="application/vnd.openxmlformats-officedocument.themeOverride+xml"/>
  <Override PartName="/word/charts/chart40.xml" ContentType="application/vnd.openxmlformats-officedocument.drawingml.chart+xml"/>
  <Override PartName="/word/embeddings/Microsoft_Excel_Worksheet39.xlsx" ContentType="application/vnd.openxmlformats-officedocument.spreadsheetml.sheet"/>
  <Override PartName="/word/theme/themeOverride40.xml" ContentType="application/vnd.openxmlformats-officedocument.themeOverride+xml"/>
  <Override PartName="/word/charts/chart41.xml" ContentType="application/vnd.openxmlformats-officedocument.drawingml.chart+xml"/>
  <Override PartName="/word/embeddings/Microsoft_Excel_Worksheet40.xlsx" ContentType="application/vnd.openxmlformats-officedocument.spreadsheetml.sheet"/>
  <Override PartName="/word/theme/themeOverride41.xml" ContentType="application/vnd.openxmlformats-officedocument.themeOverrid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rPr>
          <w:rFonts w:hint="default"/>
          <w:sz w:val="24"/>
          <w:shd w:val="clear" w:color="auto" w:fill="CCD6FF"/>
        </w:rPr>
      </w:pPr>
      <w:bookmarkStart w:id="0" w:name="_GoBack"/>
      <w:bookmarkEnd w:id="0"/>
    </w:p>
    <w:p>
      <w:pPr>
        <w:pStyle w:val="0"/>
        <w:rPr>
          <w:rFonts w:hint="default"/>
          <w:sz w:val="24"/>
          <w:shd w:val="clear" w:color="auto" w:fill="CCD6FF"/>
        </w:rPr>
      </w:pPr>
    </w:p>
    <w:p>
      <w:pPr>
        <w:pStyle w:val="0"/>
        <w:rPr>
          <w:rFonts w:hint="default"/>
          <w:sz w:val="24"/>
          <w:shd w:val="clear" w:color="auto" w:fill="CCD6FF"/>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jc w:val="center"/>
        <w:rPr>
          <w:rFonts w:hint="default"/>
          <w:sz w:val="40"/>
        </w:rPr>
      </w:pPr>
      <w:r>
        <w:rPr>
          <w:rFonts w:hint="default"/>
          <w:sz w:val="40"/>
        </w:rPr>
        <w:t>八街市国民健康保険</w:t>
      </w:r>
    </w:p>
    <w:p>
      <w:pPr>
        <w:pStyle w:val="0"/>
        <w:jc w:val="center"/>
        <w:rPr>
          <w:rFonts w:hint="default"/>
          <w:sz w:val="32"/>
        </w:rPr>
      </w:pPr>
      <w:r>
        <w:rPr>
          <w:rFonts w:hint="default"/>
          <w:sz w:val="32"/>
        </w:rPr>
        <w:t>第</w:t>
      </w:r>
      <w:r>
        <w:rPr>
          <w:rFonts w:hint="default"/>
          <w:sz w:val="32"/>
        </w:rPr>
        <w:t>3</w:t>
      </w:r>
      <w:r>
        <w:rPr>
          <w:rFonts w:hint="default"/>
          <w:sz w:val="32"/>
        </w:rPr>
        <w:t>期</w:t>
      </w:r>
      <w:r>
        <w:rPr>
          <w:rFonts w:hint="default"/>
          <w:sz w:val="32"/>
        </w:rPr>
        <w:t xml:space="preserve"> </w:t>
      </w:r>
      <w:r>
        <w:rPr>
          <w:rFonts w:hint="default"/>
          <w:sz w:val="32"/>
        </w:rPr>
        <w:t>データヘルス計画</w:t>
      </w:r>
    </w:p>
    <w:p>
      <w:pPr>
        <w:pStyle w:val="0"/>
        <w:jc w:val="center"/>
        <w:rPr>
          <w:rFonts w:hint="default"/>
          <w:sz w:val="32"/>
        </w:rPr>
      </w:pPr>
      <w:r>
        <w:rPr>
          <w:rFonts w:hint="default"/>
          <w:sz w:val="32"/>
        </w:rPr>
        <w:t>第</w:t>
      </w:r>
      <w:r>
        <w:rPr>
          <w:rFonts w:hint="default"/>
          <w:sz w:val="32"/>
        </w:rPr>
        <w:t>4</w:t>
      </w:r>
      <w:r>
        <w:rPr>
          <w:rFonts w:hint="default"/>
          <w:sz w:val="32"/>
        </w:rPr>
        <w:t>期</w:t>
      </w:r>
      <w:r>
        <w:rPr>
          <w:rFonts w:hint="default"/>
          <w:sz w:val="32"/>
        </w:rPr>
        <w:t xml:space="preserve"> </w:t>
      </w:r>
      <w:r>
        <w:rPr>
          <w:rFonts w:hint="default"/>
          <w:sz w:val="32"/>
        </w:rPr>
        <w:t>特定健康診査等実施計画</w:t>
      </w:r>
    </w:p>
    <w:p>
      <w:pPr>
        <w:pStyle w:val="0"/>
        <w:rPr>
          <w:rFonts w:hint="default"/>
          <w:sz w:val="24"/>
        </w:rPr>
      </w:pPr>
    </w:p>
    <w:p>
      <w:pPr>
        <w:pStyle w:val="0"/>
        <w:jc w:val="center"/>
        <w:rPr>
          <w:rFonts w:hint="default"/>
          <w:sz w:val="24"/>
        </w:rPr>
      </w:pPr>
      <w:r>
        <w:rPr>
          <w:rFonts w:hint="default"/>
          <w:sz w:val="24"/>
        </w:rPr>
        <w:t>令和</w:t>
      </w:r>
      <w:r>
        <w:rPr>
          <w:rFonts w:hint="default"/>
          <w:sz w:val="24"/>
        </w:rPr>
        <w:t>6</w:t>
      </w:r>
      <w:r>
        <w:rPr>
          <w:rFonts w:hint="eastAsia"/>
          <w:sz w:val="24"/>
        </w:rPr>
        <w:t>年度</w:t>
      </w:r>
      <w:r>
        <w:rPr>
          <w:rFonts w:hint="default"/>
          <w:sz w:val="24"/>
        </w:rPr>
        <w:t>（</w:t>
      </w:r>
      <w:r>
        <w:rPr>
          <w:rFonts w:hint="default"/>
          <w:sz w:val="24"/>
        </w:rPr>
        <w:t>2024</w:t>
      </w:r>
      <w:r>
        <w:rPr>
          <w:rFonts w:hint="eastAsia"/>
          <w:sz w:val="24"/>
        </w:rPr>
        <w:t>年</w:t>
      </w:r>
      <w:r>
        <w:rPr>
          <w:rFonts w:hint="default"/>
          <w:sz w:val="24"/>
        </w:rPr>
        <w:t>）〜令和</w:t>
      </w:r>
      <w:r>
        <w:rPr>
          <w:rFonts w:hint="default"/>
          <w:sz w:val="24"/>
        </w:rPr>
        <w:t>11</w:t>
      </w:r>
      <w:r>
        <w:rPr>
          <w:rFonts w:hint="eastAsia"/>
          <w:sz w:val="24"/>
        </w:rPr>
        <w:t>年度</w:t>
      </w:r>
      <w:r>
        <w:rPr>
          <w:rFonts w:hint="default"/>
          <w:sz w:val="24"/>
        </w:rPr>
        <w:t>（</w:t>
      </w:r>
      <w:r>
        <w:rPr>
          <w:rFonts w:hint="default"/>
          <w:sz w:val="24"/>
        </w:rPr>
        <w:t>2029</w:t>
      </w:r>
      <w:r>
        <w:rPr>
          <w:rFonts w:hint="eastAsia"/>
          <w:sz w:val="24"/>
        </w:rPr>
        <w:t>年</w:t>
      </w:r>
      <w:r>
        <w:rPr>
          <w:rFonts w:hint="default"/>
          <w:sz w:val="24"/>
        </w:rPr>
        <w:t>）</w:t>
      </w:r>
    </w:p>
    <w:p>
      <w:pPr>
        <w:pStyle w:val="0"/>
        <w:rPr>
          <w:rFonts w:hint="default"/>
          <w:sz w:val="22"/>
        </w:rPr>
      </w:pPr>
    </w:p>
    <w:p>
      <w:pPr>
        <w:pStyle w:val="0"/>
        <w:jc w:val="center"/>
        <w:rPr>
          <w:rFonts w:hint="default"/>
          <w:sz w:val="22"/>
        </w:rPr>
      </w:pPr>
      <w:r>
        <w:rPr>
          <w:rFonts w:hint="eastAsia"/>
        </w:rPr>
        <w:drawing>
          <wp:inline distT="0" distB="0" distL="203200" distR="203200">
            <wp:extent cx="2228850" cy="2240915"/>
            <wp:effectExtent l="0" t="0" r="0" b="0"/>
            <wp:docPr id="1026" name="オブジェクト 0" descr="ボックス が含まれている画像&#10;&#10;自動的に生成された説明"/>
            <a:graphic xmlns:a="http://schemas.openxmlformats.org/drawingml/2006/main">
              <a:graphicData uri="http://schemas.openxmlformats.org/drawingml/2006/picture">
                <pic:pic xmlns:pic="http://schemas.openxmlformats.org/drawingml/2006/picture">
                  <pic:nvPicPr>
                    <pic:cNvPr id="1026" name="オブジェクト 0" descr="ボックス が含まれている画像&#10;&#10;自動的に生成された説明"/>
                    <pic:cNvPicPr>
                      <a:picLocks noChangeAspect="1"/>
                    </pic:cNvPicPr>
                  </pic:nvPicPr>
                  <pic:blipFill>
                    <a:blip r:embed="rId10"/>
                    <a:stretch>
                      <a:fillRect/>
                    </a:stretch>
                  </pic:blipFill>
                  <pic:spPr>
                    <a:xfrm>
                      <a:off x="0" y="0"/>
                      <a:ext cx="2228850" cy="2240915"/>
                    </a:xfrm>
                    <a:prstGeom prst="rect">
                      <a:avLst/>
                    </a:prstGeom>
                  </pic:spPr>
                </pic:pic>
              </a:graphicData>
            </a:graphic>
          </wp:inline>
        </w:drawing>
      </w: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rPr>
          <w:rFonts w:hint="default"/>
          <w:sz w:val="22"/>
        </w:rPr>
      </w:pPr>
    </w:p>
    <w:p>
      <w:pPr>
        <w:pStyle w:val="0"/>
        <w:jc w:val="center"/>
        <w:rPr>
          <w:rFonts w:hint="default"/>
          <w:sz w:val="32"/>
        </w:rPr>
      </w:pPr>
      <w:r>
        <w:rPr>
          <w:rFonts w:hint="default"/>
          <w:sz w:val="32"/>
        </w:rPr>
        <w:t>令和</w:t>
      </w:r>
      <w:r>
        <w:rPr>
          <w:rFonts w:hint="default"/>
          <w:sz w:val="32"/>
        </w:rPr>
        <w:t>6</w:t>
      </w:r>
      <w:r>
        <w:rPr>
          <w:rFonts w:hint="default"/>
          <w:sz w:val="32"/>
        </w:rPr>
        <w:t>年</w:t>
      </w:r>
      <w:r>
        <w:rPr>
          <w:rFonts w:hint="default"/>
          <w:sz w:val="32"/>
        </w:rPr>
        <w:t>3</w:t>
      </w:r>
      <w:r>
        <w:rPr>
          <w:rFonts w:hint="default"/>
          <w:sz w:val="32"/>
        </w:rPr>
        <w:t>月</w:t>
      </w:r>
    </w:p>
    <w:p>
      <w:pPr>
        <w:pStyle w:val="0"/>
        <w:jc w:val="center"/>
        <w:rPr>
          <w:rFonts w:hint="default"/>
          <w:sz w:val="32"/>
        </w:rPr>
      </w:pPr>
      <w:r>
        <w:rPr>
          <w:rFonts w:hint="default"/>
          <w:sz w:val="32"/>
        </w:rPr>
        <w:t>千葉県八街市</w:t>
      </w:r>
    </w:p>
    <w:p>
      <w:pPr>
        <w:pStyle w:val="0"/>
        <w:rPr>
          <w:rFonts w:hint="default"/>
          <w:sz w:val="24"/>
        </w:rPr>
      </w:pPr>
      <w:r>
        <w:rPr>
          <w:rFonts w:hint="default"/>
          <w:sz w:val="24"/>
        </w:rPr>
        <w:br w:type="page"/>
      </w:r>
    </w:p>
    <w:p>
      <w:pPr>
        <w:pStyle w:val="0"/>
        <w:jc w:val="center"/>
        <w:rPr>
          <w:rFonts w:hint="default"/>
          <w:caps w:val="1"/>
          <w:sz w:val="28"/>
        </w:rPr>
      </w:pPr>
      <w:r>
        <w:rPr>
          <w:rFonts w:hint="eastAsia"/>
          <w:sz w:val="28"/>
        </w:rPr>
        <w:t>目次</w:t>
      </w:r>
    </w:p>
    <w:sdt>
      <w:sdtPr>
        <w:rPr>
          <w:rFonts w:hint="default"/>
        </w:rPr>
        <w:id w:val="1842747583"/>
        <w:docPartObj>
          <w:docPartGallery w:val="Table of Contents"/>
          <w:docPartUnique/>
        </w:docPartObj>
      </w:sdtPr>
      <w:sdtEndPr>
        <w:rPr>
          <w:rFonts w:hint="default"/>
        </w:rPr>
      </w:sdtEndPr>
      <w:sdtContent>
        <w:p>
          <w:pPr>
            <w:pStyle w:val="26"/>
            <w:spacing w:before="120" w:beforeLines="0" w:beforeAutospacing="0"/>
            <w:rPr>
              <w:rFonts w:hint="default" w:asciiTheme="minorHAnsi" w:hAnsiTheme="minorHAnsi" w:eastAsiaTheme="minorEastAsia"/>
              <w:kern w:val="2"/>
              <w:sz w:val="22"/>
            </w:rPr>
          </w:pPr>
          <w:r>
            <w:rPr>
              <w:rFonts w:hint="default"/>
            </w:rPr>
            <w:fldChar w:fldCharType="begin"/>
          </w:r>
          <w:r>
            <w:rPr>
              <w:rFonts w:hint="default"/>
            </w:rPr>
            <w:instrText xml:space="preserve"> TOC \o "1-3" \h \z \u </w:instrText>
          </w:r>
          <w:r>
            <w:rPr>
              <w:rFonts w:hint="default"/>
            </w:rPr>
            <w:fldChar w:fldCharType="separate"/>
          </w:r>
          <w:r>
            <w:rPr>
              <w:rFonts w:hint="eastAsia"/>
            </w:rPr>
            <w:fldChar w:fldCharType="begin"/>
          </w:r>
          <w:r>
            <w:rPr>
              <w:rFonts w:hint="eastAsia"/>
            </w:rPr>
            <w:instrText xml:space="preserve"> HYPERLINK  \l "_Toc162548667"</w:instrText>
          </w:r>
          <w:r>
            <w:rPr>
              <w:rFonts w:hint="eastAsia"/>
            </w:rPr>
            <w:fldChar w:fldCharType="separate"/>
          </w:r>
          <w:r>
            <w:rPr>
              <w:rFonts w:hint="default"/>
            </w:rPr>
            <w:t>第</w:t>
          </w:r>
          <w:r>
            <w:rPr>
              <w:rFonts w:hint="default"/>
            </w:rPr>
            <w:t>1</w:t>
          </w:r>
          <w:r>
            <w:rPr>
              <w:rFonts w:hint="default"/>
            </w:rPr>
            <w:t>章</w:t>
          </w:r>
          <w:r>
            <w:rPr>
              <w:rFonts w:hint="default"/>
            </w:rPr>
            <w:t xml:space="preserve"> </w:t>
          </w:r>
          <w:r>
            <w:rPr>
              <w:rFonts w:hint="default"/>
            </w:rPr>
            <w:t>基本的事項</w:t>
          </w:r>
          <w:r>
            <w:rPr>
              <w:rFonts w:hint="default"/>
            </w:rPr>
            <w:tab/>
          </w:r>
          <w:r>
            <w:rPr>
              <w:rFonts w:hint="eastAsia"/>
            </w:rPr>
            <w:fldChar w:fldCharType="end"/>
          </w:r>
          <w:r>
            <w:rPr>
              <w:rFonts w:hint="eastAsia"/>
            </w:rPr>
            <w:fldChar w:fldCharType="begin"/>
          </w:r>
          <w:r>
            <w:rPr>
              <w:rFonts w:hint="default"/>
            </w:rPr>
            <w:instrText xml:space="preserve"> PAGEREF _Toc162548667 \h </w:instrText>
          </w:r>
          <w:r>
            <w:rPr>
              <w:rFonts w:hint="eastAsia"/>
            </w:rPr>
            <w:fldChar w:fldCharType="separate"/>
          </w:r>
          <w:r>
            <w:rPr>
              <w:rFonts w:hint="eastAsia"/>
            </w:rPr>
            <w:fldChar w:fldCharType="begin"/>
          </w:r>
          <w:r>
            <w:rPr>
              <w:rFonts w:hint="eastAsia"/>
            </w:rPr>
            <w:instrText xml:space="preserve"> HYPERLINK  \l "_Toc162548667"</w:instrText>
          </w:r>
          <w:r>
            <w:rPr>
              <w:rFonts w:hint="eastAsia"/>
            </w:rPr>
            <w:fldChar w:fldCharType="separate"/>
          </w:r>
          <w:r>
            <w:rPr>
              <w:rFonts w:hint="default"/>
            </w:rPr>
            <w:t>5</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"_Toc162548668"</w:instrText>
          </w:r>
          <w:r>
            <w:rPr>
              <w:rFonts w:hint="eastAsia"/>
            </w:rPr>
            <w:fldChar w:fldCharType="separate"/>
          </w:r>
          <w:r>
            <w:rPr>
              <w:rFonts w:hint="default"/>
            </w:rPr>
            <w:t xml:space="preserve">1 </w:t>
          </w:r>
          <w:r>
            <w:rPr>
              <w:rFonts w:hint="default"/>
            </w:rPr>
            <w:t>計画の趣旨</w:t>
          </w:r>
          <w:r>
            <w:rPr>
              <w:rFonts w:hint="default"/>
            </w:rPr>
            <w:tab/>
          </w:r>
          <w:r>
            <w:rPr>
              <w:rFonts w:hint="eastAsia"/>
            </w:rPr>
            <w:fldChar w:fldCharType="end"/>
          </w:r>
          <w:r>
            <w:rPr>
              <w:rFonts w:hint="eastAsia"/>
            </w:rPr>
            <w:fldChar w:fldCharType="begin"/>
          </w:r>
          <w:r>
            <w:rPr>
              <w:rFonts w:hint="default"/>
            </w:rPr>
            <w:instrText xml:space="preserve"> PAGEREF _Toc162548668 \h </w:instrText>
          </w:r>
          <w:r>
            <w:rPr>
              <w:rFonts w:hint="eastAsia"/>
            </w:rPr>
            <w:fldChar w:fldCharType="separate"/>
          </w:r>
          <w:r>
            <w:rPr>
              <w:rFonts w:hint="eastAsia"/>
            </w:rPr>
            <w:fldChar w:fldCharType="begin"/>
          </w:r>
          <w:r>
            <w:rPr>
              <w:rFonts w:hint="eastAsia"/>
            </w:rPr>
            <w:instrText xml:space="preserve"> HYPERLINK  \l "_Toc162548668"</w:instrText>
          </w:r>
          <w:r>
            <w:rPr>
              <w:rFonts w:hint="eastAsia"/>
            </w:rPr>
            <w:fldChar w:fldCharType="separate"/>
          </w:r>
          <w:r>
            <w:rPr>
              <w:rFonts w:hint="default"/>
            </w:rPr>
            <w:t>5</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"_Toc162548669"</w:instrText>
          </w:r>
          <w:r>
            <w:rPr>
              <w:rFonts w:hint="eastAsia"/>
            </w:rPr>
            <w:fldChar w:fldCharType="separate"/>
          </w:r>
          <w:r>
            <w:rPr>
              <w:rFonts w:hint="default"/>
            </w:rPr>
            <w:t xml:space="preserve">2 </w:t>
          </w:r>
          <w:r>
            <w:rPr>
              <w:rFonts w:hint="default"/>
            </w:rPr>
            <w:t>計画の位置づけ</w:t>
          </w:r>
          <w:r>
            <w:rPr>
              <w:rFonts w:hint="default"/>
            </w:rPr>
            <w:tab/>
          </w:r>
          <w:r>
            <w:rPr>
              <w:rFonts w:hint="eastAsia"/>
            </w:rPr>
            <w:fldChar w:fldCharType="end"/>
          </w:r>
          <w:r>
            <w:rPr>
              <w:rFonts w:hint="eastAsia"/>
            </w:rPr>
            <w:fldChar w:fldCharType="begin"/>
          </w:r>
          <w:r>
            <w:rPr>
              <w:rFonts w:hint="default"/>
            </w:rPr>
            <w:instrText xml:space="preserve"> PAGEREF _Toc162548669 \h </w:instrText>
          </w:r>
          <w:r>
            <w:rPr>
              <w:rFonts w:hint="eastAsia"/>
            </w:rPr>
            <w:fldChar w:fldCharType="separate"/>
          </w:r>
          <w:r>
            <w:rPr>
              <w:rFonts w:hint="eastAsia"/>
            </w:rPr>
            <w:fldChar w:fldCharType="begin"/>
          </w:r>
          <w:r>
            <w:rPr>
              <w:rFonts w:hint="eastAsia"/>
            </w:rPr>
            <w:instrText xml:space="preserve"> HYPERLINK  \l "_Toc162548669"</w:instrText>
          </w:r>
          <w:r>
            <w:rPr>
              <w:rFonts w:hint="eastAsia"/>
            </w:rPr>
            <w:fldChar w:fldCharType="separate"/>
          </w:r>
          <w:r>
            <w:rPr>
              <w:rFonts w:hint="default"/>
            </w:rPr>
            <w:t>6</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"_Toc162548670"</w:instrText>
          </w:r>
          <w:r>
            <w:rPr>
              <w:rFonts w:hint="eastAsia"/>
            </w:rPr>
            <w:fldChar w:fldCharType="separate"/>
          </w:r>
          <w:r>
            <w:rPr>
              <w:rFonts w:hint="default"/>
            </w:rPr>
            <w:t xml:space="preserve">3 </w:t>
          </w:r>
          <w:r>
            <w:rPr>
              <w:rFonts w:hint="default"/>
            </w:rPr>
            <w:t>標準化の推進</w:t>
          </w:r>
          <w:r>
            <w:rPr>
              <w:rFonts w:hint="default"/>
            </w:rPr>
            <w:tab/>
          </w:r>
          <w:r>
            <w:rPr>
              <w:rFonts w:hint="eastAsia"/>
            </w:rPr>
            <w:fldChar w:fldCharType="end"/>
          </w:r>
          <w:r>
            <w:rPr>
              <w:rFonts w:hint="eastAsia"/>
            </w:rPr>
            <w:fldChar w:fldCharType="begin"/>
          </w:r>
          <w:r>
            <w:rPr>
              <w:rFonts w:hint="default"/>
            </w:rPr>
            <w:instrText xml:space="preserve"> PAGEREF _Toc162548670 \h </w:instrText>
          </w:r>
          <w:r>
            <w:rPr>
              <w:rFonts w:hint="eastAsia"/>
            </w:rPr>
            <w:fldChar w:fldCharType="separate"/>
          </w:r>
          <w:r>
            <w:rPr>
              <w:rFonts w:hint="eastAsia"/>
            </w:rPr>
            <w:fldChar w:fldCharType="begin"/>
          </w:r>
          <w:r>
            <w:rPr>
              <w:rFonts w:hint="eastAsia"/>
            </w:rPr>
            <w:instrText xml:space="preserve"> HYPERLINK  \l "_Toc162548670"</w:instrText>
          </w:r>
          <w:r>
            <w:rPr>
              <w:rFonts w:hint="eastAsia"/>
            </w:rPr>
            <w:fldChar w:fldCharType="separate"/>
          </w:r>
          <w:r>
            <w:rPr>
              <w:rFonts w:hint="default"/>
            </w:rPr>
            <w:t>6</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"_Toc162548671"</w:instrText>
          </w:r>
          <w:r>
            <w:rPr>
              <w:rFonts w:hint="eastAsia"/>
            </w:rPr>
            <w:fldChar w:fldCharType="separate"/>
          </w:r>
          <w:r>
            <w:rPr>
              <w:rFonts w:hint="default"/>
            </w:rPr>
            <w:t xml:space="preserve">4 </w:t>
          </w:r>
          <w:r>
            <w:rPr>
              <w:rFonts w:hint="default"/>
            </w:rPr>
            <w:t>計画期間</w:t>
          </w:r>
          <w:r>
            <w:rPr>
              <w:rFonts w:hint="default"/>
            </w:rPr>
            <w:tab/>
          </w:r>
          <w:r>
            <w:rPr>
              <w:rFonts w:hint="eastAsia"/>
            </w:rPr>
            <w:fldChar w:fldCharType="end"/>
          </w:r>
          <w:r>
            <w:rPr>
              <w:rFonts w:hint="eastAsia"/>
            </w:rPr>
            <w:fldChar w:fldCharType="begin"/>
          </w:r>
          <w:r>
            <w:rPr>
              <w:rFonts w:hint="default"/>
            </w:rPr>
            <w:instrText xml:space="preserve"> PAGEREF _Toc162548671 \h </w:instrText>
          </w:r>
          <w:r>
            <w:rPr>
              <w:rFonts w:hint="eastAsia"/>
            </w:rPr>
            <w:fldChar w:fldCharType="separate"/>
          </w:r>
          <w:r>
            <w:rPr>
              <w:rFonts w:hint="eastAsia"/>
            </w:rPr>
            <w:fldChar w:fldCharType="begin"/>
          </w:r>
          <w:r>
            <w:rPr>
              <w:rFonts w:hint="eastAsia"/>
            </w:rPr>
            <w:instrText xml:space="preserve"> HYPERLINK  \l "_Toc162548671"</w:instrText>
          </w:r>
          <w:r>
            <w:rPr>
              <w:rFonts w:hint="eastAsia"/>
            </w:rPr>
            <w:fldChar w:fldCharType="separate"/>
          </w:r>
          <w:r>
            <w:rPr>
              <w:rFonts w:hint="default"/>
            </w:rPr>
            <w:t>6</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"_Toc162548672"</w:instrText>
          </w:r>
          <w:r>
            <w:rPr>
              <w:rFonts w:hint="eastAsia"/>
            </w:rPr>
            <w:fldChar w:fldCharType="separate"/>
          </w:r>
          <w:r>
            <w:rPr>
              <w:rFonts w:hint="default"/>
            </w:rPr>
            <w:t xml:space="preserve">5 </w:t>
          </w:r>
          <w:r>
            <w:rPr>
              <w:rFonts w:hint="default"/>
            </w:rPr>
            <w:t>実施体制・関係者連携</w:t>
          </w:r>
          <w:r>
            <w:rPr>
              <w:rFonts w:hint="default"/>
            </w:rPr>
            <w:tab/>
          </w:r>
          <w:r>
            <w:rPr>
              <w:rFonts w:hint="eastAsia"/>
            </w:rPr>
            <w:fldChar w:fldCharType="end"/>
          </w:r>
          <w:r>
            <w:rPr>
              <w:rFonts w:hint="eastAsia"/>
            </w:rPr>
            <w:fldChar w:fldCharType="begin"/>
          </w:r>
          <w:r>
            <w:rPr>
              <w:rFonts w:hint="default"/>
            </w:rPr>
            <w:instrText xml:space="preserve"> PAGEREF _Toc162548672 \h </w:instrText>
          </w:r>
          <w:r>
            <w:rPr>
              <w:rFonts w:hint="eastAsia"/>
            </w:rPr>
            <w:fldChar w:fldCharType="separate"/>
          </w:r>
          <w:r>
            <w:rPr>
              <w:rFonts w:hint="eastAsia"/>
            </w:rPr>
            <w:fldChar w:fldCharType="begin"/>
          </w:r>
          <w:r>
            <w:rPr>
              <w:rFonts w:hint="eastAsia"/>
            </w:rPr>
            <w:instrText xml:space="preserve"> HYPERLINK  \l "_Toc162548672"</w:instrText>
          </w:r>
          <w:r>
            <w:rPr>
              <w:rFonts w:hint="eastAsia"/>
            </w:rPr>
            <w:fldChar w:fldCharType="separate"/>
          </w:r>
          <w:r>
            <w:rPr>
              <w:rFonts w:hint="default"/>
            </w:rPr>
            <w:t>7</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"_Toc162548673"</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関係部局との連携</w:t>
          </w:r>
          <w:r>
            <w:rPr>
              <w:rFonts w:hint="default"/>
            </w:rPr>
            <w:tab/>
          </w:r>
          <w:r>
            <w:rPr>
              <w:rFonts w:hint="eastAsia"/>
            </w:rPr>
            <w:fldChar w:fldCharType="end"/>
          </w:r>
          <w:r>
            <w:rPr>
              <w:rFonts w:hint="eastAsia"/>
            </w:rPr>
            <w:fldChar w:fldCharType="begin"/>
          </w:r>
          <w:r>
            <w:rPr>
              <w:rFonts w:hint="default"/>
            </w:rPr>
            <w:instrText xml:space="preserve"> PAGEREF _Toc162548673 \h </w:instrText>
          </w:r>
          <w:r>
            <w:rPr>
              <w:rFonts w:hint="eastAsia"/>
            </w:rPr>
            <w:fldChar w:fldCharType="separate"/>
          </w:r>
          <w:r>
            <w:rPr>
              <w:rFonts w:hint="eastAsia"/>
            </w:rPr>
            <w:fldChar w:fldCharType="begin"/>
          </w:r>
          <w:r>
            <w:rPr>
              <w:rFonts w:hint="eastAsia"/>
            </w:rPr>
            <w:instrText xml:space="preserve"> HYPERLINK  \l "_Toc162548673"</w:instrText>
          </w:r>
          <w:r>
            <w:rPr>
              <w:rFonts w:hint="eastAsia"/>
            </w:rPr>
            <w:fldChar w:fldCharType="separate"/>
          </w:r>
          <w:r>
            <w:rPr>
              <w:rFonts w:hint="default"/>
            </w:rPr>
            <w:t>7</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"_Toc162548674"</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関係機関との連携</w:t>
          </w:r>
          <w:r>
            <w:rPr>
              <w:rFonts w:hint="default"/>
            </w:rPr>
            <w:tab/>
          </w:r>
          <w:r>
            <w:rPr>
              <w:rFonts w:hint="eastAsia"/>
            </w:rPr>
            <w:fldChar w:fldCharType="end"/>
          </w:r>
          <w:r>
            <w:rPr>
              <w:rFonts w:hint="eastAsia"/>
            </w:rPr>
            <w:fldChar w:fldCharType="begin"/>
          </w:r>
          <w:r>
            <w:rPr>
              <w:rFonts w:hint="default"/>
            </w:rPr>
            <w:instrText xml:space="preserve"> PAGEREF _Toc162548674 \h </w:instrText>
          </w:r>
          <w:r>
            <w:rPr>
              <w:rFonts w:hint="eastAsia"/>
            </w:rPr>
            <w:fldChar w:fldCharType="separate"/>
          </w:r>
          <w:r>
            <w:rPr>
              <w:rFonts w:hint="eastAsia"/>
            </w:rPr>
            <w:fldChar w:fldCharType="begin"/>
          </w:r>
          <w:r>
            <w:rPr>
              <w:rFonts w:hint="eastAsia"/>
            </w:rPr>
            <w:instrText xml:space="preserve"> HYPERLINK  \l "_Toc162548674"</w:instrText>
          </w:r>
          <w:r>
            <w:rPr>
              <w:rFonts w:hint="eastAsia"/>
            </w:rPr>
            <w:fldChar w:fldCharType="separate"/>
          </w:r>
          <w:r>
            <w:rPr>
              <w:rFonts w:hint="default"/>
            </w:rPr>
            <w:t>7</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"_Toc162548675"</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被保険者の役割</w:t>
          </w:r>
          <w:r>
            <w:rPr>
              <w:rFonts w:hint="default"/>
            </w:rPr>
            <w:tab/>
          </w:r>
          <w:r>
            <w:rPr>
              <w:rFonts w:hint="eastAsia"/>
            </w:rPr>
            <w:fldChar w:fldCharType="end"/>
          </w:r>
          <w:r>
            <w:rPr>
              <w:rFonts w:hint="eastAsia"/>
            </w:rPr>
            <w:fldChar w:fldCharType="begin"/>
          </w:r>
          <w:r>
            <w:rPr>
              <w:rFonts w:hint="default"/>
            </w:rPr>
            <w:instrText xml:space="preserve"> PAGEREF _Toc162548675 \h </w:instrText>
          </w:r>
          <w:r>
            <w:rPr>
              <w:rFonts w:hint="eastAsia"/>
            </w:rPr>
            <w:fldChar w:fldCharType="separate"/>
          </w:r>
          <w:r>
            <w:rPr>
              <w:rFonts w:hint="eastAsia"/>
            </w:rPr>
            <w:fldChar w:fldCharType="begin"/>
          </w:r>
          <w:r>
            <w:rPr>
              <w:rFonts w:hint="eastAsia"/>
            </w:rPr>
            <w:instrText xml:space="preserve"> HYPERLINK  \l "_Toc162548675"</w:instrText>
          </w:r>
          <w:r>
            <w:rPr>
              <w:rFonts w:hint="eastAsia"/>
            </w:rPr>
            <w:fldChar w:fldCharType="separate"/>
          </w:r>
          <w:r>
            <w:rPr>
              <w:rFonts w:hint="default"/>
            </w:rPr>
            <w:t>7</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"_Toc162548676"</w:instrText>
          </w:r>
          <w:r>
            <w:rPr>
              <w:rFonts w:hint="eastAsia"/>
            </w:rPr>
            <w:fldChar w:fldCharType="separate"/>
          </w:r>
          <w:r>
            <w:rPr>
              <w:rFonts w:hint="default"/>
            </w:rPr>
            <w:t>第</w:t>
          </w:r>
          <w:r>
            <w:rPr>
              <w:rFonts w:hint="default"/>
            </w:rPr>
            <w:t>2</w:t>
          </w:r>
          <w:r>
            <w:rPr>
              <w:rFonts w:hint="default"/>
            </w:rPr>
            <w:t>章</w:t>
          </w:r>
          <w:r>
            <w:rPr>
              <w:rFonts w:hint="default"/>
            </w:rPr>
            <w:t xml:space="preserve"> </w:t>
          </w:r>
          <w:r>
            <w:rPr>
              <w:rFonts w:hint="default"/>
            </w:rPr>
            <w:t>現状の整理</w:t>
          </w:r>
          <w:r>
            <w:rPr>
              <w:rFonts w:hint="default"/>
            </w:rPr>
            <w:tab/>
          </w:r>
          <w:r>
            <w:rPr>
              <w:rFonts w:hint="eastAsia"/>
            </w:rPr>
            <w:fldChar w:fldCharType="end"/>
          </w:r>
          <w:r>
            <w:rPr>
              <w:rFonts w:hint="eastAsia"/>
            </w:rPr>
            <w:fldChar w:fldCharType="begin"/>
          </w:r>
          <w:r>
            <w:rPr>
              <w:rFonts w:hint="default"/>
            </w:rPr>
            <w:instrText xml:space="preserve"> PAGEREF _Toc162548676 \h </w:instrText>
          </w:r>
          <w:r>
            <w:rPr>
              <w:rFonts w:hint="eastAsia"/>
            </w:rPr>
            <w:fldChar w:fldCharType="separate"/>
          </w:r>
          <w:r>
            <w:rPr>
              <w:rFonts w:hint="eastAsia"/>
            </w:rPr>
            <w:fldChar w:fldCharType="begin"/>
          </w:r>
          <w:r>
            <w:rPr>
              <w:rFonts w:hint="eastAsia"/>
            </w:rPr>
            <w:instrText xml:space="preserve"> HYPERLINK  \l "_Toc162548676"</w:instrText>
          </w:r>
          <w:r>
            <w:rPr>
              <w:rFonts w:hint="eastAsia"/>
            </w:rPr>
            <w:fldChar w:fldCharType="separate"/>
          </w:r>
          <w:r>
            <w:rPr>
              <w:rFonts w:hint="default"/>
            </w:rPr>
            <w:t>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"_Toc162548677"</w:instrText>
          </w:r>
          <w:r>
            <w:rPr>
              <w:rFonts w:hint="eastAsia"/>
            </w:rPr>
            <w:fldChar w:fldCharType="separate"/>
          </w:r>
          <w:r>
            <w:rPr>
              <w:rFonts w:hint="default"/>
            </w:rPr>
            <w:t xml:space="preserve">1 </w:t>
          </w:r>
          <w:r>
            <w:rPr>
              <w:rFonts w:hint="default"/>
            </w:rPr>
            <w:t>八街市の特性</w:t>
          </w:r>
          <w:r>
            <w:rPr>
              <w:rFonts w:hint="default"/>
            </w:rPr>
            <w:tab/>
          </w:r>
          <w:r>
            <w:rPr>
              <w:rFonts w:hint="eastAsia"/>
            </w:rPr>
            <w:fldChar w:fldCharType="end"/>
          </w:r>
          <w:r>
            <w:rPr>
              <w:rFonts w:hint="eastAsia"/>
            </w:rPr>
            <w:fldChar w:fldCharType="begin"/>
          </w:r>
          <w:r>
            <w:rPr>
              <w:rFonts w:hint="default"/>
            </w:rPr>
            <w:instrText xml:space="preserve"> PAGEREF _Toc162548677 \h </w:instrText>
          </w:r>
          <w:r>
            <w:rPr>
              <w:rFonts w:hint="eastAsia"/>
            </w:rPr>
            <w:fldChar w:fldCharType="separate"/>
          </w:r>
          <w:r>
            <w:rPr>
              <w:rFonts w:hint="eastAsia"/>
            </w:rPr>
            <w:fldChar w:fldCharType="begin"/>
          </w:r>
          <w:r>
            <w:rPr>
              <w:rFonts w:hint="eastAsia"/>
            </w:rPr>
            <w:instrText xml:space="preserve"> HYPERLINK  \l "_Toc162548677"</w:instrText>
          </w:r>
          <w:r>
            <w:rPr>
              <w:rFonts w:hint="eastAsia"/>
            </w:rPr>
            <w:fldChar w:fldCharType="separate"/>
          </w:r>
          <w:r>
            <w:rPr>
              <w:rFonts w:hint="default"/>
            </w:rPr>
            <w:t>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"_Toc162548678"</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産業構成</w:t>
          </w:r>
          <w:r>
            <w:rPr>
              <w:rFonts w:hint="default"/>
            </w:rPr>
            <w:tab/>
          </w:r>
          <w:r>
            <w:rPr>
              <w:rFonts w:hint="eastAsia"/>
            </w:rPr>
            <w:fldChar w:fldCharType="end"/>
          </w:r>
          <w:r>
            <w:rPr>
              <w:rFonts w:hint="eastAsia"/>
            </w:rPr>
            <w:fldChar w:fldCharType="begin"/>
          </w:r>
          <w:r>
            <w:rPr>
              <w:rFonts w:hint="default"/>
            </w:rPr>
            <w:instrText xml:space="preserve"> PAGEREF _Toc162548678 \h </w:instrText>
          </w:r>
          <w:r>
            <w:rPr>
              <w:rFonts w:hint="eastAsia"/>
            </w:rPr>
            <w:fldChar w:fldCharType="separate"/>
          </w:r>
          <w:r>
            <w:rPr>
              <w:rFonts w:hint="eastAsia"/>
            </w:rPr>
            <w:fldChar w:fldCharType="begin"/>
          </w:r>
          <w:r>
            <w:rPr>
              <w:rFonts w:hint="eastAsia"/>
            </w:rPr>
            <w:instrText xml:space="preserve"> HYPERLINK  \l "_Toc162548678"</w:instrText>
          </w:r>
          <w:r>
            <w:rPr>
              <w:rFonts w:hint="eastAsia"/>
            </w:rPr>
            <w:fldChar w:fldCharType="separate"/>
          </w:r>
          <w:r>
            <w:rPr>
              <w:rFonts w:hint="default"/>
            </w:rPr>
            <w:t>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"_Toc162548679"</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医療サービス（病院数・診療所数・病床数・医師数）</w:t>
          </w:r>
          <w:r>
            <w:rPr>
              <w:rFonts w:hint="default"/>
            </w:rPr>
            <w:tab/>
          </w:r>
          <w:r>
            <w:rPr>
              <w:rFonts w:hint="eastAsia"/>
            </w:rPr>
            <w:fldChar w:fldCharType="end"/>
          </w:r>
          <w:r>
            <w:rPr>
              <w:rFonts w:hint="eastAsia"/>
            </w:rPr>
            <w:fldChar w:fldCharType="begin"/>
          </w:r>
          <w:r>
            <w:rPr>
              <w:rFonts w:hint="default"/>
            </w:rPr>
            <w:instrText xml:space="preserve"> PAGEREF _Toc162548679 \h </w:instrText>
          </w:r>
          <w:r>
            <w:rPr>
              <w:rFonts w:hint="eastAsia"/>
            </w:rPr>
            <w:fldChar w:fldCharType="separate"/>
          </w:r>
          <w:r>
            <w:rPr>
              <w:rFonts w:hint="eastAsia"/>
            </w:rPr>
            <w:fldChar w:fldCharType="begin"/>
          </w:r>
          <w:r>
            <w:rPr>
              <w:rFonts w:hint="eastAsia"/>
            </w:rPr>
            <w:instrText xml:space="preserve"> HYPERLINK  \l "_Toc162548679"</w:instrText>
          </w:r>
          <w:r>
            <w:rPr>
              <w:rFonts w:hint="eastAsia"/>
            </w:rPr>
            <w:fldChar w:fldCharType="separate"/>
          </w:r>
          <w:r>
            <w:rPr>
              <w:rFonts w:hint="default"/>
            </w:rPr>
            <w:t>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"_Toc162548680"</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人口動態</w:t>
          </w:r>
          <w:r>
            <w:rPr>
              <w:rFonts w:hint="default"/>
            </w:rPr>
            <w:tab/>
          </w:r>
          <w:r>
            <w:rPr>
              <w:rFonts w:hint="eastAsia"/>
            </w:rPr>
            <w:fldChar w:fldCharType="end"/>
          </w:r>
          <w:r>
            <w:rPr>
              <w:rFonts w:hint="eastAsia"/>
            </w:rPr>
            <w:fldChar w:fldCharType="begin"/>
          </w:r>
          <w:r>
            <w:rPr>
              <w:rFonts w:hint="default"/>
            </w:rPr>
            <w:instrText xml:space="preserve"> PAGEREF _Toc162548680 \h </w:instrText>
          </w:r>
          <w:r>
            <w:rPr>
              <w:rFonts w:hint="eastAsia"/>
            </w:rPr>
            <w:fldChar w:fldCharType="separate"/>
          </w:r>
          <w:r>
            <w:rPr>
              <w:rFonts w:hint="eastAsia"/>
            </w:rPr>
            <w:fldChar w:fldCharType="begin"/>
          </w:r>
          <w:r>
            <w:rPr>
              <w:rFonts w:hint="eastAsia"/>
            </w:rPr>
            <w:instrText xml:space="preserve"> HYPERLINK  \l "_Toc162548680"</w:instrText>
          </w:r>
          <w:r>
            <w:rPr>
              <w:rFonts w:hint="eastAsia"/>
            </w:rPr>
            <w:fldChar w:fldCharType="separate"/>
          </w:r>
          <w:r>
            <w:rPr>
              <w:rFonts w:hint="default"/>
            </w:rPr>
            <w:t>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"_Toc162548681"</w:instrText>
          </w:r>
          <w:r>
            <w:rPr>
              <w:rFonts w:hint="eastAsia"/>
            </w:rPr>
            <w:fldChar w:fldCharType="separate"/>
          </w:r>
          <w:r>
            <w:rPr>
              <w:rFonts w:hint="default"/>
            </w:rPr>
            <w:t>（</w:t>
          </w:r>
          <w:r>
            <w:rPr>
              <w:rFonts w:hint="default"/>
            </w:rPr>
            <w:t>4</w:t>
          </w:r>
          <w:r>
            <w:rPr>
              <w:rFonts w:hint="default"/>
            </w:rPr>
            <w:t>）</w:t>
          </w:r>
          <w:r>
            <w:rPr>
              <w:rFonts w:hint="default"/>
            </w:rPr>
            <w:t xml:space="preserve"> </w:t>
          </w:r>
          <w:r>
            <w:rPr>
              <w:rFonts w:hint="default"/>
            </w:rPr>
            <w:t>被保険者構成</w:t>
          </w:r>
          <w:r>
            <w:rPr>
              <w:rFonts w:hint="default"/>
            </w:rPr>
            <w:tab/>
          </w:r>
          <w:r>
            <w:rPr>
              <w:rFonts w:hint="eastAsia"/>
            </w:rPr>
            <w:fldChar w:fldCharType="end"/>
          </w:r>
          <w:r>
            <w:rPr>
              <w:rFonts w:hint="eastAsia"/>
            </w:rPr>
            <w:fldChar w:fldCharType="begin"/>
          </w:r>
          <w:r>
            <w:rPr>
              <w:rFonts w:hint="default"/>
            </w:rPr>
            <w:instrText xml:space="preserve"> PAGEREF _Toc162548681 \h </w:instrText>
          </w:r>
          <w:r>
            <w:rPr>
              <w:rFonts w:hint="eastAsia"/>
            </w:rPr>
            <w:fldChar w:fldCharType="separate"/>
          </w:r>
          <w:r>
            <w:rPr>
              <w:rFonts w:hint="eastAsia"/>
            </w:rPr>
            <w:fldChar w:fldCharType="begin"/>
          </w:r>
          <w:r>
            <w:rPr>
              <w:rFonts w:hint="eastAsia"/>
            </w:rPr>
            <w:instrText xml:space="preserve"> HYPERLINK  \l "_Toc162548681"</w:instrText>
          </w:r>
          <w:r>
            <w:rPr>
              <w:rFonts w:hint="eastAsia"/>
            </w:rPr>
            <w:fldChar w:fldCharType="separate"/>
          </w:r>
          <w:r>
            <w:rPr>
              <w:rFonts w:hint="default"/>
            </w:rPr>
            <w:t>10</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"_Toc162548682"</w:instrText>
          </w:r>
          <w:r>
            <w:rPr>
              <w:rFonts w:hint="eastAsia"/>
            </w:rPr>
            <w:fldChar w:fldCharType="separate"/>
          </w:r>
          <w:r>
            <w:rPr>
              <w:rFonts w:hint="default"/>
            </w:rPr>
            <w:t>（</w:t>
          </w:r>
          <w:r>
            <w:rPr>
              <w:rFonts w:hint="default"/>
            </w:rPr>
            <w:t>5</w:t>
          </w:r>
          <w:r>
            <w:rPr>
              <w:rFonts w:hint="default"/>
            </w:rPr>
            <w:t>）</w:t>
          </w:r>
          <w:r>
            <w:rPr>
              <w:rFonts w:hint="default"/>
            </w:rPr>
            <w:t xml:space="preserve"> </w:t>
          </w:r>
          <w:r>
            <w:rPr>
              <w:rFonts w:hint="default"/>
            </w:rPr>
            <w:t>平均余命・平均自立期間</w:t>
          </w:r>
          <w:r>
            <w:rPr>
              <w:rFonts w:hint="default"/>
            </w:rPr>
            <w:tab/>
          </w:r>
          <w:r>
            <w:rPr>
              <w:rFonts w:hint="eastAsia"/>
            </w:rPr>
            <w:fldChar w:fldCharType="end"/>
          </w:r>
          <w:r>
            <w:rPr>
              <w:rFonts w:hint="eastAsia"/>
            </w:rPr>
            <w:fldChar w:fldCharType="begin"/>
          </w:r>
          <w:r>
            <w:rPr>
              <w:rFonts w:hint="default"/>
            </w:rPr>
            <w:instrText xml:space="preserve"> PAGEREF _Toc162548682 \h </w:instrText>
          </w:r>
          <w:r>
            <w:rPr>
              <w:rFonts w:hint="eastAsia"/>
            </w:rPr>
            <w:fldChar w:fldCharType="separate"/>
          </w:r>
          <w:r>
            <w:rPr>
              <w:rFonts w:hint="eastAsia"/>
            </w:rPr>
            <w:fldChar w:fldCharType="begin"/>
          </w:r>
          <w:r>
            <w:rPr>
              <w:rFonts w:hint="eastAsia"/>
            </w:rPr>
            <w:instrText xml:space="preserve"> HYPERLINK  \l "_Toc162548682"</w:instrText>
          </w:r>
          <w:r>
            <w:rPr>
              <w:rFonts w:hint="eastAsia"/>
            </w:rPr>
            <w:fldChar w:fldCharType="separate"/>
          </w:r>
          <w:r>
            <w:rPr>
              <w:rFonts w:hint="default"/>
            </w:rPr>
            <w:t>11</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"_Toc162548683"</w:instrText>
          </w:r>
          <w:r>
            <w:rPr>
              <w:rFonts w:hint="eastAsia"/>
            </w:rPr>
            <w:fldChar w:fldCharType="separate"/>
          </w:r>
          <w:r>
            <w:rPr>
              <w:rFonts w:hint="default"/>
            </w:rPr>
            <w:t>（</w:t>
          </w:r>
          <w:r>
            <w:rPr>
              <w:rFonts w:hint="default"/>
            </w:rPr>
            <w:t>6</w:t>
          </w:r>
          <w:r>
            <w:rPr>
              <w:rFonts w:hint="default"/>
            </w:rPr>
            <w:t>）</w:t>
          </w:r>
          <w:r>
            <w:rPr>
              <w:rFonts w:hint="default"/>
            </w:rPr>
            <w:t xml:space="preserve"> </w:t>
          </w:r>
          <w:r>
            <w:rPr>
              <w:rFonts w:hint="default"/>
            </w:rPr>
            <w:t>介護の状況</w:t>
          </w:r>
          <w:r>
            <w:rPr>
              <w:rFonts w:hint="default"/>
            </w:rPr>
            <w:tab/>
          </w:r>
          <w:r>
            <w:rPr>
              <w:rFonts w:hint="eastAsia"/>
            </w:rPr>
            <w:fldChar w:fldCharType="end"/>
          </w:r>
          <w:r>
            <w:rPr>
              <w:rFonts w:hint="eastAsia"/>
            </w:rPr>
            <w:fldChar w:fldCharType="begin"/>
          </w:r>
          <w:r>
            <w:rPr>
              <w:rFonts w:hint="default"/>
            </w:rPr>
            <w:instrText xml:space="preserve"> PAGEREF _Toc162548683 \h </w:instrText>
          </w:r>
          <w:r>
            <w:rPr>
              <w:rFonts w:hint="eastAsia"/>
            </w:rPr>
            <w:fldChar w:fldCharType="separate"/>
          </w:r>
          <w:r>
            <w:rPr>
              <w:rFonts w:hint="eastAsia"/>
            </w:rPr>
            <w:fldChar w:fldCharType="begin"/>
          </w:r>
          <w:r>
            <w:rPr>
              <w:rFonts w:hint="eastAsia"/>
            </w:rPr>
            <w:instrText xml:space="preserve"> HYPERLINK  \l "_Toc162548683"</w:instrText>
          </w:r>
          <w:r>
            <w:rPr>
              <w:rFonts w:hint="eastAsia"/>
            </w:rPr>
            <w:fldChar w:fldCharType="separate"/>
          </w:r>
          <w:r>
            <w:rPr>
              <w:rFonts w:hint="default"/>
            </w:rPr>
            <w:t>12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"_Toc162548684"</w:instrText>
          </w:r>
          <w:r>
            <w:rPr>
              <w:rFonts w:hint="eastAsia"/>
            </w:rPr>
            <w:fldChar w:fldCharType="separate"/>
          </w:r>
          <w:r>
            <w:rPr>
              <w:rFonts w:hint="default"/>
            </w:rPr>
            <w:t>（</w:t>
          </w:r>
          <w:r>
            <w:rPr>
              <w:rFonts w:hint="default"/>
            </w:rPr>
            <w:t>7</w:t>
          </w:r>
          <w:r>
            <w:rPr>
              <w:rFonts w:hint="default"/>
            </w:rPr>
            <w:t>）</w:t>
          </w:r>
          <w:r>
            <w:rPr>
              <w:rFonts w:hint="default"/>
            </w:rPr>
            <w:t xml:space="preserve"> </w:t>
          </w:r>
          <w:r>
            <w:rPr>
              <w:rFonts w:hint="default"/>
            </w:rPr>
            <w:t>死亡の状況</w:t>
          </w:r>
          <w:r>
            <w:rPr>
              <w:rFonts w:hint="default"/>
            </w:rPr>
            <w:tab/>
          </w:r>
          <w:r>
            <w:rPr>
              <w:rFonts w:hint="eastAsia"/>
            </w:rPr>
            <w:fldChar w:fldCharType="end"/>
          </w:r>
          <w:r>
            <w:rPr>
              <w:rFonts w:hint="eastAsia"/>
            </w:rPr>
            <w:fldChar w:fldCharType="begin"/>
          </w:r>
          <w:r>
            <w:rPr>
              <w:rFonts w:hint="default"/>
            </w:rPr>
            <w:instrText xml:space="preserve"> PAGEREF _Toc162548684 \h </w:instrText>
          </w:r>
          <w:r>
            <w:rPr>
              <w:rFonts w:hint="eastAsia"/>
            </w:rPr>
            <w:fldChar w:fldCharType="separate"/>
          </w:r>
          <w:r>
            <w:rPr>
              <w:rFonts w:hint="eastAsia"/>
            </w:rPr>
            <w:fldChar w:fldCharType="begin"/>
          </w:r>
          <w:r>
            <w:rPr>
              <w:rFonts w:hint="eastAsia"/>
            </w:rPr>
            <w:instrText xml:space="preserve"> HYPERLINK  \l "_Toc162548684"</w:instrText>
          </w:r>
          <w:r>
            <w:rPr>
              <w:rFonts w:hint="eastAsia"/>
            </w:rPr>
            <w:fldChar w:fldCharType="separate"/>
          </w:r>
          <w:r>
            <w:rPr>
              <w:rFonts w:hint="default"/>
            </w:rPr>
            <w:t>14</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"_Toc162548685"</w:instrText>
          </w:r>
          <w:r>
            <w:rPr>
              <w:rFonts w:hint="eastAsia"/>
            </w:rPr>
            <w:fldChar w:fldCharType="separate"/>
          </w:r>
          <w:r>
            <w:rPr>
              <w:rFonts w:hint="default"/>
            </w:rPr>
            <w:t>第</w:t>
          </w:r>
          <w:r>
            <w:rPr>
              <w:rFonts w:hint="default"/>
            </w:rPr>
            <w:t>3</w:t>
          </w:r>
          <w:r>
            <w:rPr>
              <w:rFonts w:hint="default"/>
            </w:rPr>
            <w:t>章</w:t>
          </w:r>
          <w:r>
            <w:rPr>
              <w:rFonts w:hint="default"/>
            </w:rPr>
            <w:t xml:space="preserve"> </w:t>
          </w:r>
          <w:r>
            <w:rPr>
              <w:rFonts w:hint="default"/>
            </w:rPr>
            <w:t>健康・医療・介護情報等の分析と分析結果に基づく健康課題の抽出</w:t>
          </w:r>
          <w:r>
            <w:rPr>
              <w:rFonts w:hint="default"/>
            </w:rPr>
            <w:tab/>
          </w:r>
          <w:r>
            <w:rPr>
              <w:rFonts w:hint="eastAsia"/>
            </w:rPr>
            <w:fldChar w:fldCharType="end"/>
          </w:r>
          <w:r>
            <w:rPr>
              <w:rFonts w:hint="eastAsia"/>
            </w:rPr>
            <w:fldChar w:fldCharType="begin"/>
          </w:r>
          <w:r>
            <w:rPr>
              <w:rFonts w:hint="default"/>
            </w:rPr>
            <w:instrText xml:space="preserve"> PAGEREF _Toc162548685 \h </w:instrText>
          </w:r>
          <w:r>
            <w:rPr>
              <w:rFonts w:hint="eastAsia"/>
            </w:rPr>
            <w:fldChar w:fldCharType="separate"/>
          </w:r>
          <w:r>
            <w:rPr>
              <w:rFonts w:hint="eastAsia"/>
            </w:rPr>
            <w:fldChar w:fldCharType="begin"/>
          </w:r>
          <w:r>
            <w:rPr>
              <w:rFonts w:hint="eastAsia"/>
            </w:rPr>
            <w:instrText xml:space="preserve"> HYPERLINK  \l "_Toc162548685"</w:instrText>
          </w:r>
          <w:r>
            <w:rPr>
              <w:rFonts w:hint="eastAsia"/>
            </w:rPr>
            <w:fldChar w:fldCharType="separate"/>
          </w:r>
          <w:r>
            <w:rPr>
              <w:rFonts w:hint="default"/>
            </w:rPr>
            <w:t>18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"_Toc162548686"</w:instrText>
          </w:r>
          <w:r>
            <w:rPr>
              <w:rFonts w:hint="eastAsia"/>
            </w:rPr>
            <w:fldChar w:fldCharType="separate"/>
          </w:r>
          <w:r>
            <w:rPr>
              <w:rFonts w:hint="default"/>
            </w:rPr>
            <w:t xml:space="preserve">1 </w:t>
          </w:r>
          <w:r>
            <w:rPr>
              <w:rFonts w:hint="default"/>
            </w:rPr>
            <w:t>特定健診・特定保健指導・生活習慣の状況</w:t>
          </w:r>
          <w:r>
            <w:rPr>
              <w:rFonts w:hint="default"/>
            </w:rPr>
            <w:tab/>
          </w:r>
          <w:r>
            <w:rPr>
              <w:rFonts w:hint="eastAsia"/>
            </w:rPr>
            <w:fldChar w:fldCharType="end"/>
          </w:r>
          <w:r>
            <w:rPr>
              <w:rFonts w:hint="eastAsia"/>
            </w:rPr>
            <w:fldChar w:fldCharType="begin"/>
          </w:r>
          <w:r>
            <w:rPr>
              <w:rFonts w:hint="default"/>
            </w:rPr>
            <w:instrText xml:space="preserve"> PAGEREF _Toc162548686 \h </w:instrText>
          </w:r>
          <w:r>
            <w:rPr>
              <w:rFonts w:hint="eastAsia"/>
            </w:rPr>
            <w:fldChar w:fldCharType="separate"/>
          </w:r>
          <w:r>
            <w:rPr>
              <w:rFonts w:hint="eastAsia"/>
            </w:rPr>
            <w:fldChar w:fldCharType="begin"/>
          </w:r>
          <w:r>
            <w:rPr>
              <w:rFonts w:hint="eastAsia"/>
            </w:rPr>
            <w:instrText xml:space="preserve"> HYPERLINK  \l "_Toc162548686"</w:instrText>
          </w:r>
          <w:r>
            <w:rPr>
              <w:rFonts w:hint="eastAsia"/>
            </w:rPr>
            <w:fldChar w:fldCharType="separate"/>
          </w:r>
          <w:r>
            <w:rPr>
              <w:rFonts w:hint="default"/>
            </w:rPr>
            <w:t>19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"_Toc162548687"</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特定健診受診率</w:t>
          </w:r>
          <w:r>
            <w:rPr>
              <w:rFonts w:hint="default"/>
            </w:rPr>
            <w:tab/>
          </w:r>
          <w:r>
            <w:rPr>
              <w:rFonts w:hint="eastAsia"/>
            </w:rPr>
            <w:fldChar w:fldCharType="end"/>
          </w:r>
          <w:r>
            <w:rPr>
              <w:rFonts w:hint="eastAsia"/>
            </w:rPr>
            <w:fldChar w:fldCharType="begin"/>
          </w:r>
          <w:r>
            <w:rPr>
              <w:rFonts w:hint="default"/>
            </w:rPr>
            <w:instrText xml:space="preserve"> PAGEREF _Toc162548687 \h </w:instrText>
          </w:r>
          <w:r>
            <w:rPr>
              <w:rFonts w:hint="eastAsia"/>
            </w:rPr>
            <w:fldChar w:fldCharType="separate"/>
          </w:r>
          <w:r>
            <w:rPr>
              <w:rFonts w:hint="eastAsia"/>
            </w:rPr>
            <w:fldChar w:fldCharType="begin"/>
          </w:r>
          <w:r>
            <w:rPr>
              <w:rFonts w:hint="eastAsia"/>
            </w:rPr>
            <w:instrText xml:space="preserve"> HYPERLINK  \l "_Toc162548687"</w:instrText>
          </w:r>
          <w:r>
            <w:rPr>
              <w:rFonts w:hint="eastAsia"/>
            </w:rPr>
            <w:fldChar w:fldCharType="separate"/>
          </w:r>
          <w:r>
            <w:rPr>
              <w:rFonts w:hint="default"/>
            </w:rPr>
            <w:t>19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"_Toc162548688"</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有所見者の状況</w:t>
          </w:r>
          <w:r>
            <w:rPr>
              <w:rFonts w:hint="default"/>
            </w:rPr>
            <w:tab/>
          </w:r>
          <w:r>
            <w:rPr>
              <w:rFonts w:hint="eastAsia"/>
            </w:rPr>
            <w:fldChar w:fldCharType="end"/>
          </w:r>
          <w:r>
            <w:rPr>
              <w:rFonts w:hint="eastAsia"/>
            </w:rPr>
            <w:fldChar w:fldCharType="begin"/>
          </w:r>
          <w:r>
            <w:rPr>
              <w:rFonts w:hint="default"/>
            </w:rPr>
            <w:instrText xml:space="preserve"> PAGEREF _Toc162548688 \h </w:instrText>
          </w:r>
          <w:r>
            <w:rPr>
              <w:rFonts w:hint="eastAsia"/>
            </w:rPr>
            <w:fldChar w:fldCharType="separate"/>
          </w:r>
          <w:r>
            <w:rPr>
              <w:rFonts w:hint="eastAsia"/>
            </w:rPr>
            <w:fldChar w:fldCharType="begin"/>
          </w:r>
          <w:r>
            <w:rPr>
              <w:rFonts w:hint="eastAsia"/>
            </w:rPr>
            <w:instrText xml:space="preserve"> HYPERLINK  \l "_Toc162548688"</w:instrText>
          </w:r>
          <w:r>
            <w:rPr>
              <w:rFonts w:hint="eastAsia"/>
            </w:rPr>
            <w:fldChar w:fldCharType="separate"/>
          </w:r>
          <w:r>
            <w:rPr>
              <w:rFonts w:hint="default"/>
            </w:rPr>
            <w:t>21</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"_Toc162548689"</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メタボリックシンドロームの状況</w:t>
          </w:r>
          <w:r>
            <w:rPr>
              <w:rFonts w:hint="default"/>
            </w:rPr>
            <w:tab/>
          </w:r>
          <w:r>
            <w:rPr>
              <w:rFonts w:hint="eastAsia"/>
            </w:rPr>
            <w:fldChar w:fldCharType="end"/>
          </w:r>
          <w:r>
            <w:rPr>
              <w:rFonts w:hint="eastAsia"/>
            </w:rPr>
            <w:fldChar w:fldCharType="begin"/>
          </w:r>
          <w:r>
            <w:rPr>
              <w:rFonts w:hint="default"/>
            </w:rPr>
            <w:instrText xml:space="preserve"> PAGEREF _Toc162548689 \h </w:instrText>
          </w:r>
          <w:r>
            <w:rPr>
              <w:rFonts w:hint="eastAsia"/>
            </w:rPr>
            <w:fldChar w:fldCharType="separate"/>
          </w:r>
          <w:r>
            <w:rPr>
              <w:rFonts w:hint="eastAsia"/>
            </w:rPr>
            <w:fldChar w:fldCharType="begin"/>
          </w:r>
          <w:r>
            <w:rPr>
              <w:rFonts w:hint="eastAsia"/>
            </w:rPr>
            <w:instrText xml:space="preserve"> HYPERLINK  \l "_Toc162548689"</w:instrText>
          </w:r>
          <w:r>
            <w:rPr>
              <w:rFonts w:hint="eastAsia"/>
            </w:rPr>
            <w:fldChar w:fldCharType="separate"/>
          </w:r>
          <w:r>
            <w:rPr>
              <w:rFonts w:hint="default"/>
            </w:rPr>
            <w:t>23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"_Toc162548690"</w:instrText>
          </w:r>
          <w:r>
            <w:rPr>
              <w:rFonts w:hint="eastAsia"/>
            </w:rPr>
            <w:fldChar w:fldCharType="separate"/>
          </w:r>
          <w:r>
            <w:rPr>
              <w:rFonts w:hint="default"/>
            </w:rPr>
            <w:t>（</w:t>
          </w:r>
          <w:r>
            <w:rPr>
              <w:rFonts w:hint="default"/>
            </w:rPr>
            <w:t>4</w:t>
          </w:r>
          <w:r>
            <w:rPr>
              <w:rFonts w:hint="default"/>
            </w:rPr>
            <w:t>）</w:t>
          </w:r>
          <w:r>
            <w:rPr>
              <w:rFonts w:hint="default"/>
            </w:rPr>
            <w:t xml:space="preserve"> </w:t>
          </w:r>
          <w:r>
            <w:rPr>
              <w:rFonts w:hint="default"/>
            </w:rPr>
            <w:t>特定保健指導実施率</w:t>
          </w:r>
          <w:r>
            <w:rPr>
              <w:rFonts w:hint="default"/>
            </w:rPr>
            <w:tab/>
          </w:r>
          <w:r>
            <w:rPr>
              <w:rFonts w:hint="eastAsia"/>
            </w:rPr>
            <w:fldChar w:fldCharType="end"/>
          </w:r>
          <w:r>
            <w:rPr>
              <w:rFonts w:hint="eastAsia"/>
            </w:rPr>
            <w:fldChar w:fldCharType="begin"/>
          </w:r>
          <w:r>
            <w:rPr>
              <w:rFonts w:hint="default"/>
            </w:rPr>
            <w:instrText xml:space="preserve"> PAGEREF _Toc162548690 \h </w:instrText>
          </w:r>
          <w:r>
            <w:rPr>
              <w:rFonts w:hint="eastAsia"/>
            </w:rPr>
            <w:fldChar w:fldCharType="separate"/>
          </w:r>
          <w:r>
            <w:rPr>
              <w:rFonts w:hint="eastAsia"/>
            </w:rPr>
            <w:fldChar w:fldCharType="begin"/>
          </w:r>
          <w:r>
            <w:rPr>
              <w:rFonts w:hint="eastAsia"/>
            </w:rPr>
            <w:instrText xml:space="preserve"> HYPERLINK  \l "_Toc162548690"</w:instrText>
          </w:r>
          <w:r>
            <w:rPr>
              <w:rFonts w:hint="eastAsia"/>
            </w:rPr>
            <w:fldChar w:fldCharType="separate"/>
          </w:r>
          <w:r>
            <w:rPr>
              <w:rFonts w:hint="default"/>
            </w:rPr>
            <w:t>26</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"_Toc162548691"</w:instrText>
          </w:r>
          <w:r>
            <w:rPr>
              <w:rFonts w:hint="eastAsia"/>
            </w:rPr>
            <w:fldChar w:fldCharType="separate"/>
          </w:r>
          <w:r>
            <w:rPr>
              <w:rFonts w:hint="default"/>
            </w:rPr>
            <w:t>（</w:t>
          </w:r>
          <w:r>
            <w:rPr>
              <w:rFonts w:hint="default"/>
            </w:rPr>
            <w:t>5</w:t>
          </w:r>
          <w:r>
            <w:rPr>
              <w:rFonts w:hint="default"/>
            </w:rPr>
            <w:t>）</w:t>
          </w:r>
          <w:r>
            <w:rPr>
              <w:rFonts w:hint="default"/>
            </w:rPr>
            <w:t xml:space="preserve"> </w:t>
          </w:r>
          <w:r>
            <w:rPr>
              <w:rFonts w:hint="default"/>
            </w:rPr>
            <w:t>受診勧奨対象者の状況</w:t>
          </w:r>
          <w:r>
            <w:rPr>
              <w:rFonts w:hint="default"/>
            </w:rPr>
            <w:tab/>
          </w:r>
          <w:r>
            <w:rPr>
              <w:rFonts w:hint="eastAsia"/>
            </w:rPr>
            <w:fldChar w:fldCharType="end"/>
          </w:r>
          <w:r>
            <w:rPr>
              <w:rFonts w:hint="eastAsia"/>
            </w:rPr>
            <w:fldChar w:fldCharType="begin"/>
          </w:r>
          <w:r>
            <w:rPr>
              <w:rFonts w:hint="default"/>
            </w:rPr>
            <w:instrText xml:space="preserve"> PAGEREF _Toc162548691 \h </w:instrText>
          </w:r>
          <w:r>
            <w:rPr>
              <w:rFonts w:hint="eastAsia"/>
            </w:rPr>
            <w:fldChar w:fldCharType="separate"/>
          </w:r>
          <w:r>
            <w:rPr>
              <w:rFonts w:hint="eastAsia"/>
            </w:rPr>
            <w:fldChar w:fldCharType="begin"/>
          </w:r>
          <w:r>
            <w:rPr>
              <w:rFonts w:hint="eastAsia"/>
            </w:rPr>
            <w:instrText xml:space="preserve"> HYPERLINK  \l "_Toc162548691"</w:instrText>
          </w:r>
          <w:r>
            <w:rPr>
              <w:rFonts w:hint="eastAsia"/>
            </w:rPr>
            <w:fldChar w:fldCharType="separate"/>
          </w:r>
          <w:r>
            <w:rPr>
              <w:rFonts w:hint="default"/>
            </w:rPr>
            <w:t>27</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"_Toc162548692"</w:instrText>
          </w:r>
          <w:r>
            <w:rPr>
              <w:rFonts w:hint="eastAsia"/>
            </w:rPr>
            <w:fldChar w:fldCharType="separate"/>
          </w:r>
          <w:r>
            <w:rPr>
              <w:rFonts w:hint="default"/>
            </w:rPr>
            <w:t>（</w:t>
          </w:r>
          <w:r>
            <w:rPr>
              <w:rFonts w:hint="default"/>
            </w:rPr>
            <w:t>6</w:t>
          </w:r>
          <w:r>
            <w:rPr>
              <w:rFonts w:hint="default"/>
            </w:rPr>
            <w:t>）</w:t>
          </w:r>
          <w:r>
            <w:rPr>
              <w:rFonts w:hint="default"/>
            </w:rPr>
            <w:t xml:space="preserve"> </w:t>
          </w:r>
          <w:r>
            <w:rPr>
              <w:rFonts w:hint="default"/>
            </w:rPr>
            <w:t>質問票の状況</w:t>
          </w:r>
          <w:r>
            <w:rPr>
              <w:rFonts w:hint="default"/>
            </w:rPr>
            <w:tab/>
          </w:r>
          <w:r>
            <w:rPr>
              <w:rFonts w:hint="eastAsia"/>
            </w:rPr>
            <w:fldChar w:fldCharType="end"/>
          </w:r>
          <w:r>
            <w:rPr>
              <w:rFonts w:hint="eastAsia"/>
            </w:rPr>
            <w:fldChar w:fldCharType="begin"/>
          </w:r>
          <w:r>
            <w:rPr>
              <w:rFonts w:hint="default"/>
            </w:rPr>
            <w:instrText xml:space="preserve"> PAGEREF _Toc162548692 \h </w:instrText>
          </w:r>
          <w:r>
            <w:rPr>
              <w:rFonts w:hint="eastAsia"/>
            </w:rPr>
            <w:fldChar w:fldCharType="separate"/>
          </w:r>
          <w:r>
            <w:rPr>
              <w:rFonts w:hint="eastAsia"/>
            </w:rPr>
            <w:fldChar w:fldCharType="begin"/>
          </w:r>
          <w:r>
            <w:rPr>
              <w:rFonts w:hint="eastAsia"/>
            </w:rPr>
            <w:instrText xml:space="preserve"> HYPERLINK  \l "_Toc162548692"</w:instrText>
          </w:r>
          <w:r>
            <w:rPr>
              <w:rFonts w:hint="eastAsia"/>
            </w:rPr>
            <w:fldChar w:fldCharType="separate"/>
          </w:r>
          <w:r>
            <w:rPr>
              <w:rFonts w:hint="default"/>
            </w:rPr>
            <w:t>32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"_Toc162548693"</w:instrText>
          </w:r>
          <w:r>
            <w:rPr>
              <w:rFonts w:hint="eastAsia"/>
            </w:rPr>
            <w:fldChar w:fldCharType="separate"/>
          </w:r>
          <w:r>
            <w:rPr>
              <w:rFonts w:hint="default"/>
            </w:rPr>
            <w:t>（</w:t>
          </w:r>
          <w:r>
            <w:rPr>
              <w:rFonts w:hint="default"/>
            </w:rPr>
            <w:t>7</w:t>
          </w:r>
          <w:r>
            <w:rPr>
              <w:rFonts w:hint="default"/>
            </w:rPr>
            <w:t>）</w:t>
          </w:r>
          <w:r>
            <w:rPr>
              <w:rFonts w:hint="default"/>
            </w:rPr>
            <w:t xml:space="preserve"> 5</w:t>
          </w:r>
          <w:r>
            <w:rPr>
              <w:rFonts w:hint="default"/>
            </w:rPr>
            <w:t>がん（胃がん・肺がん・大腸がん・子宮頸がん・乳がん）検診の受診状況</w:t>
          </w:r>
          <w:r>
            <w:rPr>
              <w:rFonts w:hint="default"/>
            </w:rPr>
            <w:tab/>
          </w:r>
          <w:r>
            <w:rPr>
              <w:rFonts w:hint="eastAsia"/>
            </w:rPr>
            <w:fldChar w:fldCharType="end"/>
          </w:r>
          <w:r>
            <w:rPr>
              <w:rFonts w:hint="eastAsia"/>
            </w:rPr>
            <w:fldChar w:fldCharType="begin"/>
          </w:r>
          <w:r>
            <w:rPr>
              <w:rFonts w:hint="default"/>
            </w:rPr>
            <w:instrText xml:space="preserve"> PAGEREF _Toc162548693 \h </w:instrText>
          </w:r>
          <w:r>
            <w:rPr>
              <w:rFonts w:hint="eastAsia"/>
            </w:rPr>
            <w:fldChar w:fldCharType="separate"/>
          </w:r>
          <w:r>
            <w:rPr>
              <w:rFonts w:hint="eastAsia"/>
            </w:rPr>
            <w:fldChar w:fldCharType="begin"/>
          </w:r>
          <w:r>
            <w:rPr>
              <w:rFonts w:hint="eastAsia"/>
            </w:rPr>
            <w:instrText xml:space="preserve"> HYPERLINK  \l "_Toc162548693"</w:instrText>
          </w:r>
          <w:r>
            <w:rPr>
              <w:rFonts w:hint="eastAsia"/>
            </w:rPr>
            <w:fldChar w:fldCharType="separate"/>
          </w:r>
          <w:r>
            <w:rPr>
              <w:rFonts w:hint="default"/>
            </w:rPr>
            <w:t>34</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"_Toc162548694"</w:instrText>
          </w:r>
          <w:r>
            <w:rPr>
              <w:rFonts w:hint="eastAsia"/>
            </w:rPr>
            <w:fldChar w:fldCharType="separate"/>
          </w:r>
          <w:r>
            <w:rPr>
              <w:rFonts w:hint="default"/>
            </w:rPr>
            <w:t xml:space="preserve">2 </w:t>
          </w:r>
          <w:r>
            <w:rPr>
              <w:rFonts w:hint="default"/>
            </w:rPr>
            <w:t>医療の状況</w:t>
          </w:r>
          <w:r>
            <w:rPr>
              <w:rFonts w:hint="default"/>
            </w:rPr>
            <w:tab/>
          </w:r>
          <w:r>
            <w:rPr>
              <w:rFonts w:hint="eastAsia"/>
            </w:rPr>
            <w:fldChar w:fldCharType="end"/>
          </w:r>
          <w:r>
            <w:rPr>
              <w:rFonts w:hint="eastAsia"/>
            </w:rPr>
            <w:fldChar w:fldCharType="begin"/>
          </w:r>
          <w:r>
            <w:rPr>
              <w:rFonts w:hint="default"/>
            </w:rPr>
            <w:instrText xml:space="preserve"> PAGEREF _Toc162548694 \h </w:instrText>
          </w:r>
          <w:r>
            <w:rPr>
              <w:rFonts w:hint="eastAsia"/>
            </w:rPr>
            <w:fldChar w:fldCharType="separate"/>
          </w:r>
          <w:r>
            <w:rPr>
              <w:rFonts w:hint="eastAsia"/>
            </w:rPr>
            <w:fldChar w:fldCharType="begin"/>
          </w:r>
          <w:r>
            <w:rPr>
              <w:rFonts w:hint="eastAsia"/>
            </w:rPr>
            <w:instrText xml:space="preserve"> HYPERLINK  \l "_Toc162548694"</w:instrText>
          </w:r>
          <w:r>
            <w:rPr>
              <w:rFonts w:hint="eastAsia"/>
            </w:rPr>
            <w:fldChar w:fldCharType="separate"/>
          </w:r>
          <w:r>
            <w:rPr>
              <w:rFonts w:hint="default"/>
            </w:rPr>
            <w:t>39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"_Toc162548695"</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医療費の</w:t>
          </w:r>
          <w:r>
            <w:rPr>
              <w:rFonts w:hint="default"/>
            </w:rPr>
            <w:t>3</w:t>
          </w:r>
          <w:r>
            <w:rPr>
              <w:rFonts w:hint="default"/>
            </w:rPr>
            <w:t>要素</w:t>
          </w:r>
          <w:r>
            <w:rPr>
              <w:rFonts w:hint="default"/>
            </w:rPr>
            <w:tab/>
          </w:r>
          <w:r>
            <w:rPr>
              <w:rFonts w:hint="eastAsia"/>
            </w:rPr>
            <w:fldChar w:fldCharType="end"/>
          </w:r>
          <w:r>
            <w:rPr>
              <w:rFonts w:hint="eastAsia"/>
            </w:rPr>
            <w:fldChar w:fldCharType="begin"/>
          </w:r>
          <w:r>
            <w:rPr>
              <w:rFonts w:hint="default"/>
            </w:rPr>
            <w:instrText xml:space="preserve"> PAGEREF _Toc162548695 \h </w:instrText>
          </w:r>
          <w:r>
            <w:rPr>
              <w:rFonts w:hint="eastAsia"/>
            </w:rPr>
            <w:fldChar w:fldCharType="separate"/>
          </w:r>
          <w:r>
            <w:rPr>
              <w:rFonts w:hint="eastAsia"/>
            </w:rPr>
            <w:fldChar w:fldCharType="begin"/>
          </w:r>
          <w:r>
            <w:rPr>
              <w:rFonts w:hint="eastAsia"/>
            </w:rPr>
            <w:instrText xml:space="preserve"> HYPERLINK  \l "_Toc162548695"</w:instrText>
          </w:r>
          <w:r>
            <w:rPr>
              <w:rFonts w:hint="eastAsia"/>
            </w:rPr>
            <w:fldChar w:fldCharType="separate"/>
          </w:r>
          <w:r>
            <w:rPr>
              <w:rFonts w:hint="default"/>
            </w:rPr>
            <w:t>39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"_Toc162548696"</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疾病分類別入院医療費及び受診率</w:t>
          </w:r>
          <w:r>
            <w:rPr>
              <w:rFonts w:hint="default"/>
            </w:rPr>
            <w:tab/>
          </w:r>
          <w:r>
            <w:rPr>
              <w:rFonts w:hint="eastAsia"/>
            </w:rPr>
            <w:fldChar w:fldCharType="end"/>
          </w:r>
          <w:r>
            <w:rPr>
              <w:rFonts w:hint="eastAsia"/>
            </w:rPr>
            <w:fldChar w:fldCharType="begin"/>
          </w:r>
          <w:r>
            <w:rPr>
              <w:rFonts w:hint="default"/>
            </w:rPr>
            <w:instrText xml:space="preserve"> PAGEREF _Toc162548696 \h </w:instrText>
          </w:r>
          <w:r>
            <w:rPr>
              <w:rFonts w:hint="eastAsia"/>
            </w:rPr>
            <w:fldChar w:fldCharType="separate"/>
          </w:r>
          <w:r>
            <w:rPr>
              <w:rFonts w:hint="eastAsia"/>
            </w:rPr>
            <w:fldChar w:fldCharType="begin"/>
          </w:r>
          <w:r>
            <w:rPr>
              <w:rFonts w:hint="eastAsia"/>
            </w:rPr>
            <w:instrText xml:space="preserve"> HYPERLINK  \l "_Toc162548696"</w:instrText>
          </w:r>
          <w:r>
            <w:rPr>
              <w:rFonts w:hint="eastAsia"/>
            </w:rPr>
            <w:fldChar w:fldCharType="separate"/>
          </w:r>
          <w:r>
            <w:rPr>
              <w:rFonts w:hint="default"/>
            </w:rPr>
            <w:t>41</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"_Toc162548697"</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疾病分類別外来医療費及び受診率</w:t>
          </w:r>
          <w:r>
            <w:rPr>
              <w:rFonts w:hint="default"/>
            </w:rPr>
            <w:tab/>
          </w:r>
          <w:r>
            <w:rPr>
              <w:rFonts w:hint="eastAsia"/>
            </w:rPr>
            <w:fldChar w:fldCharType="end"/>
          </w:r>
          <w:r>
            <w:rPr>
              <w:rFonts w:hint="eastAsia"/>
            </w:rPr>
            <w:fldChar w:fldCharType="begin"/>
          </w:r>
          <w:r>
            <w:rPr>
              <w:rFonts w:hint="default"/>
            </w:rPr>
            <w:instrText xml:space="preserve"> PAGEREF _Toc162548697 \h </w:instrText>
          </w:r>
          <w:r>
            <w:rPr>
              <w:rFonts w:hint="eastAsia"/>
            </w:rPr>
            <w:fldChar w:fldCharType="separate"/>
          </w:r>
          <w:r>
            <w:rPr>
              <w:rFonts w:hint="eastAsia"/>
            </w:rPr>
            <w:fldChar w:fldCharType="begin"/>
          </w:r>
          <w:r>
            <w:rPr>
              <w:rFonts w:hint="eastAsia"/>
            </w:rPr>
            <w:instrText xml:space="preserve"> HYPERLINK  \l "_Toc162548697"</w:instrText>
          </w:r>
          <w:r>
            <w:rPr>
              <w:rFonts w:hint="eastAsia"/>
            </w:rPr>
            <w:fldChar w:fldCharType="separate"/>
          </w:r>
          <w:r>
            <w:rPr>
              <w:rFonts w:hint="default"/>
            </w:rPr>
            <w:t>45</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"_Toc162548698"</w:instrText>
          </w:r>
          <w:r>
            <w:rPr>
              <w:rFonts w:hint="eastAsia"/>
            </w:rPr>
            <w:fldChar w:fldCharType="separate"/>
          </w:r>
          <w:r>
            <w:rPr>
              <w:rFonts w:hint="default"/>
            </w:rPr>
            <w:t>（</w:t>
          </w:r>
          <w:r>
            <w:rPr>
              <w:rFonts w:hint="default"/>
            </w:rPr>
            <w:t>4</w:t>
          </w:r>
          <w:r>
            <w:rPr>
              <w:rFonts w:hint="default"/>
            </w:rPr>
            <w:t>）</w:t>
          </w:r>
          <w:r>
            <w:rPr>
              <w:rFonts w:hint="default"/>
            </w:rPr>
            <w:t xml:space="preserve"> </w:t>
          </w:r>
          <w:r>
            <w:rPr>
              <w:rFonts w:hint="default"/>
            </w:rPr>
            <w:t>生活習慣病（重篤な疾患・基礎疾患）における受診率</w:t>
          </w:r>
          <w:r>
            <w:rPr>
              <w:rFonts w:hint="default"/>
            </w:rPr>
            <w:tab/>
          </w:r>
          <w:r>
            <w:rPr>
              <w:rFonts w:hint="eastAsia"/>
            </w:rPr>
            <w:fldChar w:fldCharType="end"/>
          </w:r>
          <w:r>
            <w:rPr>
              <w:rFonts w:hint="eastAsia"/>
            </w:rPr>
            <w:fldChar w:fldCharType="begin"/>
          </w:r>
          <w:r>
            <w:rPr>
              <w:rFonts w:hint="default"/>
            </w:rPr>
            <w:instrText xml:space="preserve"> PAGEREF _Toc162548698 \h </w:instrText>
          </w:r>
          <w:r>
            <w:rPr>
              <w:rFonts w:hint="eastAsia"/>
            </w:rPr>
            <w:fldChar w:fldCharType="separate"/>
          </w:r>
          <w:r>
            <w:rPr>
              <w:rFonts w:hint="eastAsia"/>
            </w:rPr>
            <w:fldChar w:fldCharType="begin"/>
          </w:r>
          <w:r>
            <w:rPr>
              <w:rFonts w:hint="eastAsia"/>
            </w:rPr>
            <w:instrText xml:space="preserve"> HYPERLINK  \l "_Toc162548698"</w:instrText>
          </w:r>
          <w:r>
            <w:rPr>
              <w:rFonts w:hint="eastAsia"/>
            </w:rPr>
            <w:fldChar w:fldCharType="separate"/>
          </w:r>
          <w:r>
            <w:rPr>
              <w:rFonts w:hint="default"/>
            </w:rPr>
            <w:t>52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"_Toc162548699"</w:instrText>
          </w:r>
          <w:r>
            <w:rPr>
              <w:rFonts w:hint="eastAsia"/>
            </w:rPr>
            <w:fldChar w:fldCharType="separate"/>
          </w:r>
          <w:r>
            <w:rPr>
              <w:rFonts w:hint="default"/>
            </w:rPr>
            <w:t>（</w:t>
          </w:r>
          <w:r>
            <w:rPr>
              <w:rFonts w:hint="default"/>
            </w:rPr>
            <w:t>5</w:t>
          </w:r>
          <w:r>
            <w:rPr>
              <w:rFonts w:hint="default"/>
            </w:rPr>
            <w:t>）</w:t>
          </w:r>
          <w:r>
            <w:rPr>
              <w:rFonts w:hint="default"/>
            </w:rPr>
            <w:t xml:space="preserve"> </w:t>
          </w:r>
          <w:r>
            <w:rPr>
              <w:rFonts w:hint="default"/>
            </w:rPr>
            <w:t>生活習慣病の重篤な疾患患者における基礎疾患の有病状況</w:t>
          </w:r>
          <w:r>
            <w:rPr>
              <w:rFonts w:hint="default"/>
            </w:rPr>
            <w:tab/>
          </w:r>
          <w:r>
            <w:rPr>
              <w:rFonts w:hint="eastAsia"/>
            </w:rPr>
            <w:fldChar w:fldCharType="end"/>
          </w:r>
          <w:r>
            <w:rPr>
              <w:rFonts w:hint="eastAsia"/>
            </w:rPr>
            <w:fldChar w:fldCharType="begin"/>
          </w:r>
          <w:r>
            <w:rPr>
              <w:rFonts w:hint="default"/>
            </w:rPr>
            <w:instrText xml:space="preserve"> PAGEREF _Toc162548699 \h </w:instrText>
          </w:r>
          <w:r>
            <w:rPr>
              <w:rFonts w:hint="eastAsia"/>
            </w:rPr>
            <w:fldChar w:fldCharType="separate"/>
          </w:r>
          <w:r>
            <w:rPr>
              <w:rFonts w:hint="eastAsia"/>
            </w:rPr>
            <w:fldChar w:fldCharType="begin"/>
          </w:r>
          <w:r>
            <w:rPr>
              <w:rFonts w:hint="eastAsia"/>
            </w:rPr>
            <w:instrText xml:space="preserve"> HYPERLINK  \l "_Toc162548699"</w:instrText>
          </w:r>
          <w:r>
            <w:rPr>
              <w:rFonts w:hint="eastAsia"/>
            </w:rPr>
            <w:fldChar w:fldCharType="separate"/>
          </w:r>
          <w:r>
            <w:rPr>
              <w:rFonts w:hint="default"/>
            </w:rPr>
            <w:t>55</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"_Toc162548700"</w:instrText>
          </w:r>
          <w:r>
            <w:rPr>
              <w:rFonts w:hint="eastAsia"/>
            </w:rPr>
            <w:fldChar w:fldCharType="separate"/>
          </w:r>
          <w:r>
            <w:rPr>
              <w:rFonts w:hint="default"/>
            </w:rPr>
            <w:t>（</w:t>
          </w:r>
          <w:r>
            <w:rPr>
              <w:rFonts w:hint="default"/>
            </w:rPr>
            <w:t>6</w:t>
          </w:r>
          <w:r>
            <w:rPr>
              <w:rFonts w:hint="default"/>
            </w:rPr>
            <w:t>）</w:t>
          </w:r>
          <w:r>
            <w:rPr>
              <w:rFonts w:hint="default"/>
            </w:rPr>
            <w:t xml:space="preserve"> </w:t>
          </w:r>
          <w:r>
            <w:rPr>
              <w:rFonts w:hint="default"/>
            </w:rPr>
            <w:t>高額なレセプトの状況</w:t>
          </w:r>
          <w:r>
            <w:rPr>
              <w:rFonts w:hint="default"/>
            </w:rPr>
            <w:tab/>
          </w:r>
          <w:r>
            <w:rPr>
              <w:rFonts w:hint="eastAsia"/>
            </w:rPr>
            <w:fldChar w:fldCharType="end"/>
          </w:r>
          <w:r>
            <w:rPr>
              <w:rFonts w:hint="eastAsia"/>
            </w:rPr>
            <w:fldChar w:fldCharType="begin"/>
          </w:r>
          <w:r>
            <w:rPr>
              <w:rFonts w:hint="default"/>
            </w:rPr>
            <w:instrText xml:space="preserve"> PAGEREF _Toc162548700 \h </w:instrText>
          </w:r>
          <w:r>
            <w:rPr>
              <w:rFonts w:hint="eastAsia"/>
            </w:rPr>
            <w:fldChar w:fldCharType="separate"/>
          </w:r>
          <w:r>
            <w:rPr>
              <w:rFonts w:hint="eastAsia"/>
            </w:rPr>
            <w:fldChar w:fldCharType="begin"/>
          </w:r>
          <w:r>
            <w:rPr>
              <w:rFonts w:hint="eastAsia"/>
            </w:rPr>
            <w:instrText xml:space="preserve"> HYPERLINK  \l "_Toc162548700"</w:instrText>
          </w:r>
          <w:r>
            <w:rPr>
              <w:rFonts w:hint="eastAsia"/>
            </w:rPr>
            <w:fldChar w:fldCharType="separate"/>
          </w:r>
          <w:r>
            <w:rPr>
              <w:rFonts w:hint="default"/>
            </w:rPr>
            <w:t>57</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"_Toc162548701"</w:instrText>
          </w:r>
          <w:r>
            <w:rPr>
              <w:rFonts w:hint="eastAsia"/>
            </w:rPr>
            <w:fldChar w:fldCharType="separate"/>
          </w:r>
          <w:r>
            <w:rPr>
              <w:rFonts w:hint="default"/>
            </w:rPr>
            <w:t>（</w:t>
          </w:r>
          <w:r>
            <w:rPr>
              <w:rFonts w:hint="default"/>
            </w:rPr>
            <w:t>7</w:t>
          </w:r>
          <w:r>
            <w:rPr>
              <w:rFonts w:hint="default"/>
            </w:rPr>
            <w:t>）</w:t>
          </w:r>
          <w:r>
            <w:rPr>
              <w:rFonts w:hint="default"/>
            </w:rPr>
            <w:t xml:space="preserve"> </w:t>
          </w:r>
          <w:r>
            <w:rPr>
              <w:rFonts w:hint="default"/>
            </w:rPr>
            <w:t>長期入院レセプトの状況</w:t>
          </w:r>
          <w:r>
            <w:rPr>
              <w:rFonts w:hint="default"/>
            </w:rPr>
            <w:tab/>
          </w:r>
          <w:r>
            <w:rPr>
              <w:rFonts w:hint="eastAsia"/>
            </w:rPr>
            <w:fldChar w:fldCharType="end"/>
          </w:r>
          <w:r>
            <w:rPr>
              <w:rFonts w:hint="eastAsia"/>
            </w:rPr>
            <w:fldChar w:fldCharType="begin"/>
          </w:r>
          <w:r>
            <w:rPr>
              <w:rFonts w:hint="default"/>
            </w:rPr>
            <w:instrText xml:space="preserve"> PAGEREF _Toc162548701 \h </w:instrText>
          </w:r>
          <w:r>
            <w:rPr>
              <w:rFonts w:hint="eastAsia"/>
            </w:rPr>
            <w:fldChar w:fldCharType="separate"/>
          </w:r>
          <w:r>
            <w:rPr>
              <w:rFonts w:hint="eastAsia"/>
            </w:rPr>
            <w:fldChar w:fldCharType="begin"/>
          </w:r>
          <w:r>
            <w:rPr>
              <w:rFonts w:hint="eastAsia"/>
            </w:rPr>
            <w:instrText xml:space="preserve"> HYPERLINK  \l "_Toc162548701"</w:instrText>
          </w:r>
          <w:r>
            <w:rPr>
              <w:rFonts w:hint="eastAsia"/>
            </w:rPr>
            <w:fldChar w:fldCharType="separate"/>
          </w:r>
          <w:r>
            <w:rPr>
              <w:rFonts w:hint="default"/>
            </w:rPr>
            <w:t>58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"_Toc162548702"</w:instrText>
          </w:r>
          <w:r>
            <w:rPr>
              <w:rFonts w:hint="eastAsia"/>
            </w:rPr>
            <w:fldChar w:fldCharType="separate"/>
          </w:r>
          <w:r>
            <w:rPr>
              <w:rFonts w:hint="default"/>
            </w:rPr>
            <w:t xml:space="preserve">3 </w:t>
          </w:r>
          <w:r>
            <w:rPr>
              <w:rFonts w:hint="default"/>
            </w:rPr>
            <w:t>一体的実施に係る介護及び高齢者の状況</w:t>
          </w:r>
          <w:r>
            <w:rPr>
              <w:rFonts w:hint="default"/>
            </w:rPr>
            <w:tab/>
          </w:r>
          <w:r>
            <w:rPr>
              <w:rFonts w:hint="eastAsia"/>
            </w:rPr>
            <w:fldChar w:fldCharType="end"/>
          </w:r>
          <w:r>
            <w:rPr>
              <w:rFonts w:hint="eastAsia"/>
            </w:rPr>
            <w:fldChar w:fldCharType="begin"/>
          </w:r>
          <w:r>
            <w:rPr>
              <w:rFonts w:hint="default"/>
            </w:rPr>
            <w:instrText xml:space="preserve"> PAGEREF _Toc162548702 \h </w:instrText>
          </w:r>
          <w:r>
            <w:rPr>
              <w:rFonts w:hint="eastAsia"/>
            </w:rPr>
            <w:fldChar w:fldCharType="separate"/>
          </w:r>
          <w:r>
            <w:rPr>
              <w:rFonts w:hint="eastAsia"/>
            </w:rPr>
            <w:fldChar w:fldCharType="begin"/>
          </w:r>
          <w:r>
            <w:rPr>
              <w:rFonts w:hint="eastAsia"/>
            </w:rPr>
            <w:instrText xml:space="preserve"> HYPERLINK  \l "_Toc162548702"</w:instrText>
          </w:r>
          <w:r>
            <w:rPr>
              <w:rFonts w:hint="eastAsia"/>
            </w:rPr>
            <w:fldChar w:fldCharType="separate"/>
          </w:r>
          <w:r>
            <w:rPr>
              <w:rFonts w:hint="default"/>
            </w:rPr>
            <w:t>59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"_Toc162548703"</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保険種別（国民健康保険及び後期高齢者医療制度）の被保険者構成</w:t>
          </w:r>
          <w:r>
            <w:rPr>
              <w:rFonts w:hint="default"/>
            </w:rPr>
            <w:tab/>
          </w:r>
          <w:r>
            <w:rPr>
              <w:rFonts w:hint="eastAsia"/>
            </w:rPr>
            <w:fldChar w:fldCharType="end"/>
          </w:r>
          <w:r>
            <w:rPr>
              <w:rFonts w:hint="eastAsia"/>
            </w:rPr>
            <w:fldChar w:fldCharType="begin"/>
          </w:r>
          <w:r>
            <w:rPr>
              <w:rFonts w:hint="default"/>
            </w:rPr>
            <w:instrText xml:space="preserve"> PAGEREF _Toc162548703 \h </w:instrText>
          </w:r>
          <w:r>
            <w:rPr>
              <w:rFonts w:hint="eastAsia"/>
            </w:rPr>
            <w:fldChar w:fldCharType="separate"/>
          </w:r>
          <w:r>
            <w:rPr>
              <w:rFonts w:hint="eastAsia"/>
            </w:rPr>
            <w:fldChar w:fldCharType="begin"/>
          </w:r>
          <w:r>
            <w:rPr>
              <w:rFonts w:hint="eastAsia"/>
            </w:rPr>
            <w:instrText xml:space="preserve"> HYPERLINK  \l "_Toc162548703"</w:instrText>
          </w:r>
          <w:r>
            <w:rPr>
              <w:rFonts w:hint="eastAsia"/>
            </w:rPr>
            <w:fldChar w:fldCharType="separate"/>
          </w:r>
          <w:r>
            <w:rPr>
              <w:rFonts w:hint="default"/>
            </w:rPr>
            <w:t>59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"_Toc162548704"</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年代別の要介護（要支援）認定者の有病状況</w:t>
          </w:r>
          <w:r>
            <w:rPr>
              <w:rFonts w:hint="default"/>
            </w:rPr>
            <w:tab/>
          </w:r>
          <w:r>
            <w:rPr>
              <w:rFonts w:hint="eastAsia"/>
            </w:rPr>
            <w:fldChar w:fldCharType="end"/>
          </w:r>
          <w:r>
            <w:rPr>
              <w:rFonts w:hint="eastAsia"/>
            </w:rPr>
            <w:fldChar w:fldCharType="begin"/>
          </w:r>
          <w:r>
            <w:rPr>
              <w:rFonts w:hint="default"/>
            </w:rPr>
            <w:instrText xml:space="preserve"> PAGEREF _Toc162548704 \h </w:instrText>
          </w:r>
          <w:r>
            <w:rPr>
              <w:rFonts w:hint="eastAsia"/>
            </w:rPr>
            <w:fldChar w:fldCharType="separate"/>
          </w:r>
          <w:r>
            <w:rPr>
              <w:rFonts w:hint="eastAsia"/>
            </w:rPr>
            <w:fldChar w:fldCharType="begin"/>
          </w:r>
          <w:r>
            <w:rPr>
              <w:rFonts w:hint="eastAsia"/>
            </w:rPr>
            <w:instrText xml:space="preserve"> HYPERLINK  \l "_Toc162548704"</w:instrText>
          </w:r>
          <w:r>
            <w:rPr>
              <w:rFonts w:hint="eastAsia"/>
            </w:rPr>
            <w:fldChar w:fldCharType="separate"/>
          </w:r>
          <w:r>
            <w:rPr>
              <w:rFonts w:hint="default"/>
            </w:rPr>
            <w:t>59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"_Toc162548705"</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保険種別の医療費の状況</w:t>
          </w:r>
          <w:r>
            <w:rPr>
              <w:rFonts w:hint="default"/>
            </w:rPr>
            <w:tab/>
          </w:r>
          <w:r>
            <w:rPr>
              <w:rFonts w:hint="eastAsia"/>
            </w:rPr>
            <w:fldChar w:fldCharType="end"/>
          </w:r>
          <w:r>
            <w:rPr>
              <w:rFonts w:hint="eastAsia"/>
            </w:rPr>
            <w:fldChar w:fldCharType="begin"/>
          </w:r>
          <w:r>
            <w:rPr>
              <w:rFonts w:hint="default"/>
            </w:rPr>
            <w:instrText xml:space="preserve"> PAGEREF _Toc162548705 \h </w:instrText>
          </w:r>
          <w:r>
            <w:rPr>
              <w:rFonts w:hint="eastAsia"/>
            </w:rPr>
            <w:fldChar w:fldCharType="separate"/>
          </w:r>
          <w:r>
            <w:rPr>
              <w:rFonts w:hint="eastAsia"/>
            </w:rPr>
            <w:fldChar w:fldCharType="begin"/>
          </w:r>
          <w:r>
            <w:rPr>
              <w:rFonts w:hint="eastAsia"/>
            </w:rPr>
            <w:instrText xml:space="preserve"> HYPERLINK  \l "_Toc162548705"</w:instrText>
          </w:r>
          <w:r>
            <w:rPr>
              <w:rFonts w:hint="eastAsia"/>
            </w:rPr>
            <w:fldChar w:fldCharType="separate"/>
          </w:r>
          <w:r>
            <w:rPr>
              <w:rFonts w:hint="default"/>
            </w:rPr>
            <w:t>60</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"_Toc162548706"</w:instrText>
          </w:r>
          <w:r>
            <w:rPr>
              <w:rFonts w:hint="eastAsia"/>
            </w:rPr>
            <w:fldChar w:fldCharType="separate"/>
          </w:r>
          <w:r>
            <w:rPr>
              <w:rFonts w:hint="default"/>
            </w:rPr>
            <w:t>（</w:t>
          </w:r>
          <w:r>
            <w:rPr>
              <w:rFonts w:hint="default"/>
            </w:rPr>
            <w:t>4</w:t>
          </w:r>
          <w:r>
            <w:rPr>
              <w:rFonts w:hint="default"/>
            </w:rPr>
            <w:t>）</w:t>
          </w:r>
          <w:r>
            <w:rPr>
              <w:rFonts w:hint="default"/>
            </w:rPr>
            <w:t xml:space="preserve"> </w:t>
          </w:r>
          <w:r>
            <w:rPr>
              <w:rFonts w:hint="default"/>
            </w:rPr>
            <w:t>前期高齢者における骨折及び骨粗しょう症の受診率</w:t>
          </w:r>
          <w:r>
            <w:rPr>
              <w:rFonts w:hint="default"/>
            </w:rPr>
            <w:tab/>
          </w:r>
          <w:r>
            <w:rPr>
              <w:rFonts w:hint="eastAsia"/>
            </w:rPr>
            <w:fldChar w:fldCharType="end"/>
          </w:r>
          <w:r>
            <w:rPr>
              <w:rFonts w:hint="eastAsia"/>
            </w:rPr>
            <w:fldChar w:fldCharType="begin"/>
          </w:r>
          <w:r>
            <w:rPr>
              <w:rFonts w:hint="default"/>
            </w:rPr>
            <w:instrText xml:space="preserve"> PAGEREF _Toc162548706 \h </w:instrText>
          </w:r>
          <w:r>
            <w:rPr>
              <w:rFonts w:hint="eastAsia"/>
            </w:rPr>
            <w:fldChar w:fldCharType="separate"/>
          </w:r>
          <w:r>
            <w:rPr>
              <w:rFonts w:hint="eastAsia"/>
            </w:rPr>
            <w:fldChar w:fldCharType="begin"/>
          </w:r>
          <w:r>
            <w:rPr>
              <w:rFonts w:hint="eastAsia"/>
            </w:rPr>
            <w:instrText xml:space="preserve"> HYPERLINK  \l "_Toc162548706"</w:instrText>
          </w:r>
          <w:r>
            <w:rPr>
              <w:rFonts w:hint="eastAsia"/>
            </w:rPr>
            <w:fldChar w:fldCharType="separate"/>
          </w:r>
          <w:r>
            <w:rPr>
              <w:rFonts w:hint="default"/>
            </w:rPr>
            <w:t>61</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"_Toc162548707"</w:instrText>
          </w:r>
          <w:r>
            <w:rPr>
              <w:rFonts w:hint="eastAsia"/>
            </w:rPr>
            <w:fldChar w:fldCharType="separate"/>
          </w:r>
          <w:r>
            <w:rPr>
              <w:rFonts w:hint="default"/>
            </w:rPr>
            <w:t>（</w:t>
          </w:r>
          <w:r>
            <w:rPr>
              <w:rFonts w:hint="default"/>
            </w:rPr>
            <w:t>5</w:t>
          </w:r>
          <w:r>
            <w:rPr>
              <w:rFonts w:hint="default"/>
            </w:rPr>
            <w:t>）</w:t>
          </w:r>
          <w:r>
            <w:rPr>
              <w:rFonts w:hint="default"/>
            </w:rPr>
            <w:t xml:space="preserve"> </w:t>
          </w:r>
          <w:r>
            <w:rPr>
              <w:rFonts w:hint="default"/>
            </w:rPr>
            <w:t>後期高齢者の健診受診状況</w:t>
          </w:r>
          <w:r>
            <w:rPr>
              <w:rFonts w:hint="default"/>
            </w:rPr>
            <w:tab/>
          </w:r>
          <w:r>
            <w:rPr>
              <w:rFonts w:hint="eastAsia"/>
            </w:rPr>
            <w:fldChar w:fldCharType="end"/>
          </w:r>
          <w:r>
            <w:rPr>
              <w:rFonts w:hint="eastAsia"/>
            </w:rPr>
            <w:fldChar w:fldCharType="begin"/>
          </w:r>
          <w:r>
            <w:rPr>
              <w:rFonts w:hint="default"/>
            </w:rPr>
            <w:instrText xml:space="preserve"> PAGEREF _Toc162548707 \h </w:instrText>
          </w:r>
          <w:r>
            <w:rPr>
              <w:rFonts w:hint="eastAsia"/>
            </w:rPr>
            <w:fldChar w:fldCharType="separate"/>
          </w:r>
          <w:r>
            <w:rPr>
              <w:rFonts w:hint="eastAsia"/>
            </w:rPr>
            <w:fldChar w:fldCharType="begin"/>
          </w:r>
          <w:r>
            <w:rPr>
              <w:rFonts w:hint="eastAsia"/>
            </w:rPr>
            <w:instrText xml:space="preserve"> HYPERLINK  \l "_Toc162548707"</w:instrText>
          </w:r>
          <w:r>
            <w:rPr>
              <w:rFonts w:hint="eastAsia"/>
            </w:rPr>
            <w:fldChar w:fldCharType="separate"/>
          </w:r>
          <w:r>
            <w:rPr>
              <w:rFonts w:hint="default"/>
            </w:rPr>
            <w:t>61</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"_Toc162548708"</w:instrText>
          </w:r>
          <w:r>
            <w:rPr>
              <w:rFonts w:hint="eastAsia"/>
            </w:rPr>
            <w:fldChar w:fldCharType="separate"/>
          </w:r>
          <w:r>
            <w:rPr>
              <w:rFonts w:hint="default"/>
            </w:rPr>
            <w:t>（</w:t>
          </w:r>
          <w:r>
            <w:rPr>
              <w:rFonts w:hint="default"/>
            </w:rPr>
            <w:t>6</w:t>
          </w:r>
          <w:r>
            <w:rPr>
              <w:rFonts w:hint="default"/>
            </w:rPr>
            <w:t>）</w:t>
          </w:r>
          <w:r>
            <w:rPr>
              <w:rFonts w:hint="default"/>
            </w:rPr>
            <w:t xml:space="preserve"> </w:t>
          </w:r>
          <w:r>
            <w:rPr>
              <w:rFonts w:hint="default"/>
            </w:rPr>
            <w:t>後期高齢者における質問票の回答状況</w:t>
          </w:r>
          <w:r>
            <w:rPr>
              <w:rFonts w:hint="default"/>
            </w:rPr>
            <w:tab/>
          </w:r>
          <w:r>
            <w:rPr>
              <w:rFonts w:hint="eastAsia"/>
            </w:rPr>
            <w:fldChar w:fldCharType="end"/>
          </w:r>
          <w:r>
            <w:rPr>
              <w:rFonts w:hint="eastAsia"/>
            </w:rPr>
            <w:fldChar w:fldCharType="begin"/>
          </w:r>
          <w:r>
            <w:rPr>
              <w:rFonts w:hint="default"/>
            </w:rPr>
            <w:instrText xml:space="preserve"> PAGEREF _Toc162548708 \h </w:instrText>
          </w:r>
          <w:r>
            <w:rPr>
              <w:rFonts w:hint="eastAsia"/>
            </w:rPr>
            <w:fldChar w:fldCharType="separate"/>
          </w:r>
          <w:r>
            <w:rPr>
              <w:rFonts w:hint="eastAsia"/>
            </w:rPr>
            <w:fldChar w:fldCharType="begin"/>
          </w:r>
          <w:r>
            <w:rPr>
              <w:rFonts w:hint="eastAsia"/>
            </w:rPr>
            <w:instrText xml:space="preserve"> HYPERLINK  \l "_Toc162548708"</w:instrText>
          </w:r>
          <w:r>
            <w:rPr>
              <w:rFonts w:hint="eastAsia"/>
            </w:rPr>
            <w:fldChar w:fldCharType="separate"/>
          </w:r>
          <w:r>
            <w:rPr>
              <w:rFonts w:hint="default"/>
            </w:rPr>
            <w:t>62</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"_Toc162548709"</w:instrText>
          </w:r>
          <w:r>
            <w:rPr>
              <w:rFonts w:hint="eastAsia"/>
            </w:rPr>
            <w:fldChar w:fldCharType="separate"/>
          </w:r>
          <w:r>
            <w:rPr>
              <w:rFonts w:hint="default"/>
            </w:rPr>
            <w:t xml:space="preserve">4 </w:t>
          </w:r>
          <w:r>
            <w:rPr>
              <w:rFonts w:hint="default"/>
            </w:rPr>
            <w:t>その他の状況</w:t>
          </w:r>
          <w:r>
            <w:rPr>
              <w:rFonts w:hint="default"/>
            </w:rPr>
            <w:t>(</w:t>
          </w:r>
          <w:r>
            <w:rPr>
              <w:rFonts w:hint="default"/>
            </w:rPr>
            <w:t>医療費適正化</w:t>
          </w:r>
          <w:r>
            <w:rPr>
              <w:rFonts w:hint="default"/>
            </w:rPr>
            <w:t>)</w:t>
          </w:r>
          <w:r>
            <w:rPr>
              <w:rFonts w:hint="default"/>
            </w:rPr>
            <w:tab/>
          </w:r>
          <w:r>
            <w:rPr>
              <w:rFonts w:hint="eastAsia"/>
            </w:rPr>
            <w:fldChar w:fldCharType="end"/>
          </w:r>
          <w:r>
            <w:rPr>
              <w:rFonts w:hint="eastAsia"/>
            </w:rPr>
            <w:fldChar w:fldCharType="begin"/>
          </w:r>
          <w:r>
            <w:rPr>
              <w:rFonts w:hint="default"/>
            </w:rPr>
            <w:instrText xml:space="preserve"> PAGEREF _Toc162548709 \h </w:instrText>
          </w:r>
          <w:r>
            <w:rPr>
              <w:rFonts w:hint="eastAsia"/>
            </w:rPr>
            <w:fldChar w:fldCharType="separate"/>
          </w:r>
          <w:r>
            <w:rPr>
              <w:rFonts w:hint="eastAsia"/>
            </w:rPr>
            <w:fldChar w:fldCharType="begin"/>
          </w:r>
          <w:r>
            <w:rPr>
              <w:rFonts w:hint="eastAsia"/>
            </w:rPr>
            <w:instrText xml:space="preserve"> HYPERLINK  \l "_Toc162548709"</w:instrText>
          </w:r>
          <w:r>
            <w:rPr>
              <w:rFonts w:hint="eastAsia"/>
            </w:rPr>
            <w:fldChar w:fldCharType="separate"/>
          </w:r>
          <w:r>
            <w:rPr>
              <w:rFonts w:hint="default"/>
            </w:rPr>
            <w:t>63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"_Toc162548710"</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重複服薬の状況</w:t>
          </w:r>
          <w:r>
            <w:rPr>
              <w:rFonts w:hint="default"/>
            </w:rPr>
            <w:tab/>
          </w:r>
          <w:r>
            <w:rPr>
              <w:rFonts w:hint="eastAsia"/>
            </w:rPr>
            <w:fldChar w:fldCharType="end"/>
          </w:r>
          <w:r>
            <w:rPr>
              <w:rFonts w:hint="eastAsia"/>
            </w:rPr>
            <w:fldChar w:fldCharType="begin"/>
          </w:r>
          <w:r>
            <w:rPr>
              <w:rFonts w:hint="default"/>
            </w:rPr>
            <w:instrText xml:space="preserve"> PAGEREF _Toc162548710 \h </w:instrText>
          </w:r>
          <w:r>
            <w:rPr>
              <w:rFonts w:hint="eastAsia"/>
            </w:rPr>
            <w:fldChar w:fldCharType="separate"/>
          </w:r>
          <w:r>
            <w:rPr>
              <w:rFonts w:hint="eastAsia"/>
            </w:rPr>
            <w:fldChar w:fldCharType="begin"/>
          </w:r>
          <w:r>
            <w:rPr>
              <w:rFonts w:hint="eastAsia"/>
            </w:rPr>
            <w:instrText xml:space="preserve"> HYPERLINK  \l "_Toc162548710"</w:instrText>
          </w:r>
          <w:r>
            <w:rPr>
              <w:rFonts w:hint="eastAsia"/>
            </w:rPr>
            <w:fldChar w:fldCharType="separate"/>
          </w:r>
          <w:r>
            <w:rPr>
              <w:rFonts w:hint="default"/>
            </w:rPr>
            <w:t>63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"_Toc162548711"</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多剤服薬の状況</w:t>
          </w:r>
          <w:r>
            <w:rPr>
              <w:rFonts w:hint="default"/>
            </w:rPr>
            <w:tab/>
          </w:r>
          <w:r>
            <w:rPr>
              <w:rFonts w:hint="eastAsia"/>
            </w:rPr>
            <w:fldChar w:fldCharType="end"/>
          </w:r>
          <w:r>
            <w:rPr>
              <w:rFonts w:hint="eastAsia"/>
            </w:rPr>
            <w:fldChar w:fldCharType="begin"/>
          </w:r>
          <w:r>
            <w:rPr>
              <w:rFonts w:hint="default"/>
            </w:rPr>
            <w:instrText xml:space="preserve"> PAGEREF _Toc162548711 \h </w:instrText>
          </w:r>
          <w:r>
            <w:rPr>
              <w:rFonts w:hint="eastAsia"/>
            </w:rPr>
            <w:fldChar w:fldCharType="separate"/>
          </w:r>
          <w:r>
            <w:rPr>
              <w:rFonts w:hint="eastAsia"/>
            </w:rPr>
            <w:fldChar w:fldCharType="begin"/>
          </w:r>
          <w:r>
            <w:rPr>
              <w:rFonts w:hint="eastAsia"/>
            </w:rPr>
            <w:instrText xml:space="preserve"> HYPERLINK  \l "_Toc162548711"</w:instrText>
          </w:r>
          <w:r>
            <w:rPr>
              <w:rFonts w:hint="eastAsia"/>
            </w:rPr>
            <w:fldChar w:fldCharType="separate"/>
          </w:r>
          <w:r>
            <w:rPr>
              <w:rFonts w:hint="default"/>
            </w:rPr>
            <w:t>63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"_Toc162548712"</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後発医薬品の使用状況</w:t>
          </w:r>
          <w:r>
            <w:rPr>
              <w:rFonts w:hint="default"/>
            </w:rPr>
            <w:tab/>
          </w:r>
          <w:r>
            <w:rPr>
              <w:rFonts w:hint="eastAsia"/>
            </w:rPr>
            <w:fldChar w:fldCharType="end"/>
          </w:r>
          <w:r>
            <w:rPr>
              <w:rFonts w:hint="eastAsia"/>
            </w:rPr>
            <w:fldChar w:fldCharType="begin"/>
          </w:r>
          <w:r>
            <w:rPr>
              <w:rFonts w:hint="default"/>
            </w:rPr>
            <w:instrText xml:space="preserve"> PAGEREF _Toc162548712 \h </w:instrText>
          </w:r>
          <w:r>
            <w:rPr>
              <w:rFonts w:hint="eastAsia"/>
            </w:rPr>
            <w:fldChar w:fldCharType="separate"/>
          </w:r>
          <w:r>
            <w:rPr>
              <w:rFonts w:hint="eastAsia"/>
            </w:rPr>
            <w:fldChar w:fldCharType="begin"/>
          </w:r>
          <w:r>
            <w:rPr>
              <w:rFonts w:hint="eastAsia"/>
            </w:rPr>
            <w:instrText xml:space="preserve"> HYPERLINK  \l "_Toc162548712"</w:instrText>
          </w:r>
          <w:r>
            <w:rPr>
              <w:rFonts w:hint="eastAsia"/>
            </w:rPr>
            <w:fldChar w:fldCharType="separate"/>
          </w:r>
          <w:r>
            <w:rPr>
              <w:rFonts w:hint="default"/>
            </w:rPr>
            <w:t>63</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"_Toc162548713"</w:instrText>
          </w:r>
          <w:r>
            <w:rPr>
              <w:rFonts w:hint="eastAsia"/>
            </w:rPr>
            <w:fldChar w:fldCharType="separate"/>
          </w:r>
          <w:r>
            <w:rPr>
              <w:rFonts w:hint="default"/>
            </w:rPr>
            <w:t xml:space="preserve">5 </w:t>
          </w:r>
          <w:r>
            <w:rPr>
              <w:rFonts w:hint="default"/>
            </w:rPr>
            <w:t>前期計画等に係る考察</w:t>
          </w:r>
          <w:r>
            <w:rPr>
              <w:rFonts w:hint="default"/>
            </w:rPr>
            <w:tab/>
          </w:r>
          <w:r>
            <w:rPr>
              <w:rFonts w:hint="eastAsia"/>
            </w:rPr>
            <w:fldChar w:fldCharType="end"/>
          </w:r>
          <w:r>
            <w:rPr>
              <w:rFonts w:hint="eastAsia"/>
            </w:rPr>
            <w:fldChar w:fldCharType="begin"/>
          </w:r>
          <w:r>
            <w:rPr>
              <w:rFonts w:hint="default"/>
            </w:rPr>
            <w:instrText xml:space="preserve"> PAGEREF _Toc162548713 \h </w:instrText>
          </w:r>
          <w:r>
            <w:rPr>
              <w:rFonts w:hint="eastAsia"/>
            </w:rPr>
            <w:fldChar w:fldCharType="separate"/>
          </w:r>
          <w:r>
            <w:rPr>
              <w:rFonts w:hint="eastAsia"/>
            </w:rPr>
            <w:fldChar w:fldCharType="begin"/>
          </w:r>
          <w:r>
            <w:rPr>
              <w:rFonts w:hint="eastAsia"/>
            </w:rPr>
            <w:instrText xml:space="preserve"> HYPERLINK  \l "_Toc162548713"</w:instrText>
          </w:r>
          <w:r>
            <w:rPr>
              <w:rFonts w:hint="eastAsia"/>
            </w:rPr>
            <w:fldChar w:fldCharType="separate"/>
          </w:r>
          <w:r>
            <w:rPr>
              <w:rFonts w:hint="default"/>
            </w:rPr>
            <w:t>64</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"_Toc162548714"</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第</w:t>
          </w:r>
          <w:r>
            <w:rPr>
              <w:rFonts w:hint="default"/>
            </w:rPr>
            <w:t>2</w:t>
          </w:r>
          <w:r>
            <w:rPr>
              <w:rFonts w:hint="default"/>
            </w:rPr>
            <w:t>期データヘルス計画の目標評価・考察</w:t>
          </w:r>
          <w:r>
            <w:rPr>
              <w:rFonts w:hint="default"/>
            </w:rPr>
            <w:tab/>
          </w:r>
          <w:r>
            <w:rPr>
              <w:rFonts w:hint="eastAsia"/>
            </w:rPr>
            <w:fldChar w:fldCharType="end"/>
          </w:r>
          <w:r>
            <w:rPr>
              <w:rFonts w:hint="eastAsia"/>
            </w:rPr>
            <w:fldChar w:fldCharType="begin"/>
          </w:r>
          <w:r>
            <w:rPr>
              <w:rFonts w:hint="default"/>
            </w:rPr>
            <w:instrText xml:space="preserve"> PAGEREF _Toc162548714 \h </w:instrText>
          </w:r>
          <w:r>
            <w:rPr>
              <w:rFonts w:hint="eastAsia"/>
            </w:rPr>
            <w:fldChar w:fldCharType="separate"/>
          </w:r>
          <w:r>
            <w:rPr>
              <w:rFonts w:hint="eastAsia"/>
            </w:rPr>
            <w:fldChar w:fldCharType="begin"/>
          </w:r>
          <w:r>
            <w:rPr>
              <w:rFonts w:hint="eastAsia"/>
            </w:rPr>
            <w:instrText xml:space="preserve"> HYPERLINK  \l "_Toc162548714"</w:instrText>
          </w:r>
          <w:r>
            <w:rPr>
              <w:rFonts w:hint="eastAsia"/>
            </w:rPr>
            <w:fldChar w:fldCharType="separate"/>
          </w:r>
          <w:r>
            <w:rPr>
              <w:rFonts w:hint="default"/>
            </w:rPr>
            <w:t>64</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"_Toc162548715"</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第</w:t>
          </w:r>
          <w:r>
            <w:rPr>
              <w:rFonts w:hint="default"/>
            </w:rPr>
            <w:t>2</w:t>
          </w:r>
          <w:r>
            <w:rPr>
              <w:rFonts w:hint="default"/>
            </w:rPr>
            <w:t>期データヘルス計画の個別事業評価・考察</w:t>
          </w:r>
          <w:r>
            <w:rPr>
              <w:rFonts w:hint="default"/>
            </w:rPr>
            <w:tab/>
          </w:r>
          <w:r>
            <w:rPr>
              <w:rFonts w:hint="eastAsia"/>
            </w:rPr>
            <w:fldChar w:fldCharType="end"/>
          </w:r>
          <w:r>
            <w:rPr>
              <w:rFonts w:hint="eastAsia"/>
            </w:rPr>
            <w:fldChar w:fldCharType="begin"/>
          </w:r>
          <w:r>
            <w:rPr>
              <w:rFonts w:hint="default"/>
            </w:rPr>
            <w:instrText xml:space="preserve"> PAGEREF _Toc162548715 \h </w:instrText>
          </w:r>
          <w:r>
            <w:rPr>
              <w:rFonts w:hint="eastAsia"/>
            </w:rPr>
            <w:fldChar w:fldCharType="separate"/>
          </w:r>
          <w:r>
            <w:rPr>
              <w:rFonts w:hint="eastAsia"/>
            </w:rPr>
            <w:fldChar w:fldCharType="begin"/>
          </w:r>
          <w:r>
            <w:rPr>
              <w:rFonts w:hint="eastAsia"/>
            </w:rPr>
            <w:instrText xml:space="preserve"> HYPERLINK  \l "_Toc162548715"</w:instrText>
          </w:r>
          <w:r>
            <w:rPr>
              <w:rFonts w:hint="eastAsia"/>
            </w:rPr>
            <w:fldChar w:fldCharType="separate"/>
          </w:r>
          <w:r>
            <w:rPr>
              <w:rFonts w:hint="default"/>
            </w:rPr>
            <w:t>65</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"_Toc162548716"</w:instrText>
          </w:r>
          <w:r>
            <w:rPr>
              <w:rFonts w:hint="eastAsia"/>
            </w:rPr>
            <w:fldChar w:fldCharType="separate"/>
          </w:r>
          <w:r>
            <w:rPr>
              <w:rFonts w:hint="default"/>
            </w:rPr>
            <w:t xml:space="preserve">6 </w:t>
          </w:r>
          <w:r>
            <w:rPr>
              <w:rFonts w:hint="default"/>
            </w:rPr>
            <w:t>保険者努力支援制度の活用</w:t>
          </w:r>
          <w:r>
            <w:rPr>
              <w:rFonts w:hint="default"/>
            </w:rPr>
            <w:tab/>
          </w:r>
          <w:r>
            <w:rPr>
              <w:rFonts w:hint="eastAsia"/>
            </w:rPr>
            <w:fldChar w:fldCharType="end"/>
          </w:r>
          <w:r>
            <w:rPr>
              <w:rFonts w:hint="eastAsia"/>
            </w:rPr>
            <w:fldChar w:fldCharType="begin"/>
          </w:r>
          <w:r>
            <w:rPr>
              <w:rFonts w:hint="default"/>
            </w:rPr>
            <w:instrText xml:space="preserve"> PAGEREF _Toc162548716 \h </w:instrText>
          </w:r>
          <w:r>
            <w:rPr>
              <w:rFonts w:hint="eastAsia"/>
            </w:rPr>
            <w:fldChar w:fldCharType="separate"/>
          </w:r>
          <w:r>
            <w:rPr>
              <w:rFonts w:hint="eastAsia"/>
            </w:rPr>
            <w:fldChar w:fldCharType="begin"/>
          </w:r>
          <w:r>
            <w:rPr>
              <w:rFonts w:hint="eastAsia"/>
            </w:rPr>
            <w:instrText xml:space="preserve"> HYPERLINK  \l "_Toc162548716"</w:instrText>
          </w:r>
          <w:r>
            <w:rPr>
              <w:rFonts w:hint="eastAsia"/>
            </w:rPr>
            <w:fldChar w:fldCharType="separate"/>
          </w:r>
          <w:r>
            <w:rPr>
              <w:rFonts w:hint="default"/>
            </w:rPr>
            <w:t>72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"_Toc162548717"</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保険者努力支援制度の得点状況</w:t>
          </w:r>
          <w:r>
            <w:rPr>
              <w:rFonts w:hint="default"/>
            </w:rPr>
            <w:tab/>
          </w:r>
          <w:r>
            <w:rPr>
              <w:rFonts w:hint="eastAsia"/>
            </w:rPr>
            <w:fldChar w:fldCharType="end"/>
          </w:r>
          <w:r>
            <w:rPr>
              <w:rFonts w:hint="eastAsia"/>
            </w:rPr>
            <w:fldChar w:fldCharType="begin"/>
          </w:r>
          <w:r>
            <w:rPr>
              <w:rFonts w:hint="default"/>
            </w:rPr>
            <w:instrText xml:space="preserve"> PAGEREF _Toc162548717 \h </w:instrText>
          </w:r>
          <w:r>
            <w:rPr>
              <w:rFonts w:hint="eastAsia"/>
            </w:rPr>
            <w:fldChar w:fldCharType="separate"/>
          </w:r>
          <w:r>
            <w:rPr>
              <w:rFonts w:hint="eastAsia"/>
            </w:rPr>
            <w:fldChar w:fldCharType="begin"/>
          </w:r>
          <w:r>
            <w:rPr>
              <w:rFonts w:hint="eastAsia"/>
            </w:rPr>
            <w:instrText xml:space="preserve"> HYPERLINK  \l "_Toc162548717"</w:instrText>
          </w:r>
          <w:r>
            <w:rPr>
              <w:rFonts w:hint="eastAsia"/>
            </w:rPr>
            <w:fldChar w:fldCharType="separate"/>
          </w:r>
          <w:r>
            <w:rPr>
              <w:rFonts w:hint="default"/>
            </w:rPr>
            <w:t>72</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"_Toc162548718"</w:instrText>
          </w:r>
          <w:r>
            <w:rPr>
              <w:rFonts w:hint="eastAsia"/>
            </w:rPr>
            <w:fldChar w:fldCharType="separate"/>
          </w:r>
          <w:r>
            <w:rPr>
              <w:rFonts w:hint="default"/>
            </w:rPr>
            <w:t xml:space="preserve">7 </w:t>
          </w:r>
          <w:r>
            <w:rPr>
              <w:rFonts w:hint="default"/>
            </w:rPr>
            <w:t>健康課題の整理</w:t>
          </w:r>
          <w:r>
            <w:rPr>
              <w:rFonts w:hint="default"/>
            </w:rPr>
            <w:tab/>
          </w:r>
          <w:r>
            <w:rPr>
              <w:rFonts w:hint="eastAsia"/>
            </w:rPr>
            <w:fldChar w:fldCharType="end"/>
          </w:r>
          <w:r>
            <w:rPr>
              <w:rFonts w:hint="eastAsia"/>
            </w:rPr>
            <w:fldChar w:fldCharType="begin"/>
          </w:r>
          <w:r>
            <w:rPr>
              <w:rFonts w:hint="default"/>
            </w:rPr>
            <w:instrText xml:space="preserve"> PAGEREF _Toc162548718 \h </w:instrText>
          </w:r>
          <w:r>
            <w:rPr>
              <w:rFonts w:hint="eastAsia"/>
            </w:rPr>
            <w:fldChar w:fldCharType="separate"/>
          </w:r>
          <w:r>
            <w:rPr>
              <w:rFonts w:hint="eastAsia"/>
            </w:rPr>
            <w:fldChar w:fldCharType="begin"/>
          </w:r>
          <w:r>
            <w:rPr>
              <w:rFonts w:hint="eastAsia"/>
            </w:rPr>
            <w:instrText xml:space="preserve"> HYPERLINK  \l "_Toc162548718"</w:instrText>
          </w:r>
          <w:r>
            <w:rPr>
              <w:rFonts w:hint="eastAsia"/>
            </w:rPr>
            <w:fldChar w:fldCharType="separate"/>
          </w:r>
          <w:r>
            <w:rPr>
              <w:rFonts w:hint="default"/>
            </w:rPr>
            <w:t>73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"_Toc162548719"</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健康課題の全体像の整理</w:t>
          </w:r>
          <w:r>
            <w:rPr>
              <w:rFonts w:hint="default"/>
            </w:rPr>
            <w:tab/>
          </w:r>
          <w:r>
            <w:rPr>
              <w:rFonts w:hint="eastAsia"/>
            </w:rPr>
            <w:fldChar w:fldCharType="end"/>
          </w:r>
          <w:r>
            <w:rPr>
              <w:rFonts w:hint="eastAsia"/>
            </w:rPr>
            <w:fldChar w:fldCharType="begin"/>
          </w:r>
          <w:r>
            <w:rPr>
              <w:rFonts w:hint="default"/>
            </w:rPr>
            <w:instrText xml:space="preserve"> PAGEREF _Toc162548719 \h </w:instrText>
          </w:r>
          <w:r>
            <w:rPr>
              <w:rFonts w:hint="eastAsia"/>
            </w:rPr>
            <w:fldChar w:fldCharType="separate"/>
          </w:r>
          <w:r>
            <w:rPr>
              <w:rFonts w:hint="eastAsia"/>
            </w:rPr>
            <w:fldChar w:fldCharType="begin"/>
          </w:r>
          <w:r>
            <w:rPr>
              <w:rFonts w:hint="eastAsia"/>
            </w:rPr>
            <w:instrText xml:space="preserve"> HYPERLINK  \l "_Toc162548719"</w:instrText>
          </w:r>
          <w:r>
            <w:rPr>
              <w:rFonts w:hint="eastAsia"/>
            </w:rPr>
            <w:fldChar w:fldCharType="separate"/>
          </w:r>
          <w:r>
            <w:rPr>
              <w:rFonts w:hint="default"/>
            </w:rPr>
            <w:t>73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"_Toc162548720"</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わがまちの生活習慣病に関する健康課題</w:t>
          </w:r>
          <w:r>
            <w:rPr>
              <w:rFonts w:hint="default"/>
            </w:rPr>
            <w:tab/>
          </w:r>
          <w:r>
            <w:rPr>
              <w:rFonts w:hint="eastAsia"/>
            </w:rPr>
            <w:fldChar w:fldCharType="end"/>
          </w:r>
          <w:r>
            <w:rPr>
              <w:rFonts w:hint="eastAsia"/>
            </w:rPr>
            <w:fldChar w:fldCharType="begin"/>
          </w:r>
          <w:r>
            <w:rPr>
              <w:rFonts w:hint="default"/>
            </w:rPr>
            <w:instrText xml:space="preserve"> PAGEREF _Toc162548720 \h </w:instrText>
          </w:r>
          <w:r>
            <w:rPr>
              <w:rFonts w:hint="eastAsia"/>
            </w:rPr>
            <w:fldChar w:fldCharType="separate"/>
          </w:r>
          <w:r>
            <w:rPr>
              <w:rFonts w:hint="eastAsia"/>
            </w:rPr>
            <w:fldChar w:fldCharType="begin"/>
          </w:r>
          <w:r>
            <w:rPr>
              <w:rFonts w:hint="eastAsia"/>
            </w:rPr>
            <w:instrText xml:space="preserve"> HYPERLINK  \l "_Toc162548720"</w:instrText>
          </w:r>
          <w:r>
            <w:rPr>
              <w:rFonts w:hint="eastAsia"/>
            </w:rPr>
            <w:fldChar w:fldCharType="separate"/>
          </w:r>
          <w:r>
            <w:rPr>
              <w:rFonts w:hint="default"/>
            </w:rPr>
            <w:t>75</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"_Toc162548721"</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一体的実施及びその他</w:t>
          </w:r>
          <w:r>
            <w:rPr>
              <w:rFonts w:hint="default"/>
            </w:rPr>
            <w:t>(</w:t>
          </w:r>
          <w:r>
            <w:rPr>
              <w:rFonts w:hint="default"/>
            </w:rPr>
            <w:t>医療費適正化</w:t>
          </w:r>
          <w:r>
            <w:rPr>
              <w:rFonts w:hint="default"/>
            </w:rPr>
            <w:t>)</w:t>
          </w:r>
          <w:r>
            <w:rPr>
              <w:rFonts w:hint="default"/>
            </w:rPr>
            <w:t>に関する課題</w:t>
          </w:r>
          <w:r>
            <w:rPr>
              <w:rFonts w:hint="default"/>
            </w:rPr>
            <w:tab/>
          </w:r>
          <w:r>
            <w:rPr>
              <w:rFonts w:hint="eastAsia"/>
            </w:rPr>
            <w:fldChar w:fldCharType="end"/>
          </w:r>
          <w:r>
            <w:rPr>
              <w:rFonts w:hint="eastAsia"/>
            </w:rPr>
            <w:fldChar w:fldCharType="begin"/>
          </w:r>
          <w:r>
            <w:rPr>
              <w:rFonts w:hint="default"/>
            </w:rPr>
            <w:instrText xml:space="preserve"> PAGEREF _Toc162548721 \h </w:instrText>
          </w:r>
          <w:r>
            <w:rPr>
              <w:rFonts w:hint="eastAsia"/>
            </w:rPr>
            <w:fldChar w:fldCharType="separate"/>
          </w:r>
          <w:r>
            <w:rPr>
              <w:rFonts w:hint="eastAsia"/>
            </w:rPr>
            <w:fldChar w:fldCharType="begin"/>
          </w:r>
          <w:r>
            <w:rPr>
              <w:rFonts w:hint="eastAsia"/>
            </w:rPr>
            <w:instrText xml:space="preserve"> HYPERLINK  \l "_Toc162548721"</w:instrText>
          </w:r>
          <w:r>
            <w:rPr>
              <w:rFonts w:hint="eastAsia"/>
            </w:rPr>
            <w:fldChar w:fldCharType="separate"/>
          </w:r>
          <w:r>
            <w:rPr>
              <w:rFonts w:hint="default"/>
            </w:rPr>
            <w:t>76</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"_Toc162548722"</w:instrText>
          </w:r>
          <w:r>
            <w:rPr>
              <w:rFonts w:hint="eastAsia"/>
            </w:rPr>
            <w:fldChar w:fldCharType="separate"/>
          </w:r>
          <w:r>
            <w:rPr>
              <w:rFonts w:hint="default"/>
            </w:rPr>
            <w:t>第</w:t>
          </w:r>
          <w:r>
            <w:rPr>
              <w:rFonts w:hint="default"/>
            </w:rPr>
            <w:t>4</w:t>
          </w:r>
          <w:r>
            <w:rPr>
              <w:rFonts w:hint="default"/>
            </w:rPr>
            <w:t>章</w:t>
          </w:r>
          <w:r>
            <w:rPr>
              <w:rFonts w:hint="default"/>
            </w:rPr>
            <w:t xml:space="preserve"> </w:t>
          </w:r>
          <w:r>
            <w:rPr>
              <w:rFonts w:hint="default"/>
            </w:rPr>
            <w:t>データヘルス計画の目的・目標</w:t>
          </w:r>
          <w:r>
            <w:rPr>
              <w:rFonts w:hint="default"/>
            </w:rPr>
            <w:tab/>
          </w:r>
          <w:r>
            <w:rPr>
              <w:rFonts w:hint="eastAsia"/>
            </w:rPr>
            <w:fldChar w:fldCharType="end"/>
          </w:r>
          <w:r>
            <w:rPr>
              <w:rFonts w:hint="eastAsia"/>
            </w:rPr>
            <w:fldChar w:fldCharType="begin"/>
          </w:r>
          <w:r>
            <w:rPr>
              <w:rFonts w:hint="default"/>
            </w:rPr>
            <w:instrText xml:space="preserve"> PAGEREF _Toc162548722 \h </w:instrText>
          </w:r>
          <w:r>
            <w:rPr>
              <w:rFonts w:hint="eastAsia"/>
            </w:rPr>
            <w:fldChar w:fldCharType="separate"/>
          </w:r>
          <w:r>
            <w:rPr>
              <w:rFonts w:hint="eastAsia"/>
            </w:rPr>
            <w:fldChar w:fldCharType="begin"/>
          </w:r>
          <w:r>
            <w:rPr>
              <w:rFonts w:hint="eastAsia"/>
            </w:rPr>
            <w:instrText xml:space="preserve"> HYPERLINK  \l "_Toc162548722"</w:instrText>
          </w:r>
          <w:r>
            <w:rPr>
              <w:rFonts w:hint="eastAsia"/>
            </w:rPr>
            <w:fldChar w:fldCharType="separate"/>
          </w:r>
          <w:r>
            <w:rPr>
              <w:rFonts w:hint="default"/>
            </w:rPr>
            <w:t>77</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"_Toc162548723"</w:instrText>
          </w:r>
          <w:r>
            <w:rPr>
              <w:rFonts w:hint="eastAsia"/>
            </w:rPr>
            <w:fldChar w:fldCharType="separate"/>
          </w:r>
          <w:r>
            <w:rPr>
              <w:rFonts w:hint="default"/>
            </w:rPr>
            <w:t>第</w:t>
          </w:r>
          <w:r>
            <w:rPr>
              <w:rFonts w:hint="default"/>
            </w:rPr>
            <w:t>5</w:t>
          </w:r>
          <w:r>
            <w:rPr>
              <w:rFonts w:hint="default"/>
            </w:rPr>
            <w:t>章</w:t>
          </w:r>
          <w:r>
            <w:rPr>
              <w:rFonts w:hint="default"/>
            </w:rPr>
            <w:t xml:space="preserve"> </w:t>
          </w:r>
          <w:r>
            <w:rPr>
              <w:rFonts w:hint="default"/>
            </w:rPr>
            <w:t>保健事業の内容</w:t>
          </w:r>
          <w:r>
            <w:rPr>
              <w:rFonts w:hint="default"/>
            </w:rPr>
            <w:tab/>
          </w:r>
          <w:r>
            <w:rPr>
              <w:rFonts w:hint="eastAsia"/>
            </w:rPr>
            <w:fldChar w:fldCharType="end"/>
          </w:r>
          <w:r>
            <w:rPr>
              <w:rFonts w:hint="eastAsia"/>
            </w:rPr>
            <w:fldChar w:fldCharType="begin"/>
          </w:r>
          <w:r>
            <w:rPr>
              <w:rFonts w:hint="default"/>
            </w:rPr>
            <w:instrText xml:space="preserve"> PAGEREF _Toc162548723 \h </w:instrText>
          </w:r>
          <w:r>
            <w:rPr>
              <w:rFonts w:hint="eastAsia"/>
            </w:rPr>
            <w:fldChar w:fldCharType="separate"/>
          </w:r>
          <w:r>
            <w:rPr>
              <w:rFonts w:hint="eastAsia"/>
            </w:rPr>
            <w:fldChar w:fldCharType="begin"/>
          </w:r>
          <w:r>
            <w:rPr>
              <w:rFonts w:hint="eastAsia"/>
            </w:rPr>
            <w:instrText xml:space="preserve"> HYPERLINK  \l "_Toc162548723"</w:instrText>
          </w:r>
          <w:r>
            <w:rPr>
              <w:rFonts w:hint="eastAsia"/>
            </w:rPr>
            <w:fldChar w:fldCharType="separate"/>
          </w:r>
          <w:r>
            <w:rPr>
              <w:rFonts w:hint="default"/>
            </w:rPr>
            <w:t>78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"_Toc162548724"</w:instrText>
          </w:r>
          <w:r>
            <w:rPr>
              <w:rFonts w:hint="eastAsia"/>
            </w:rPr>
            <w:fldChar w:fldCharType="separate"/>
          </w:r>
          <w:r>
            <w:rPr>
              <w:rFonts w:hint="default"/>
            </w:rPr>
            <w:t xml:space="preserve">1 </w:t>
          </w:r>
          <w:r>
            <w:rPr>
              <w:rFonts w:hint="default"/>
            </w:rPr>
            <w:t>保健事業の整理</w:t>
          </w:r>
          <w:r>
            <w:rPr>
              <w:rFonts w:hint="default"/>
            </w:rPr>
            <w:tab/>
          </w:r>
          <w:r>
            <w:rPr>
              <w:rFonts w:hint="eastAsia"/>
            </w:rPr>
            <w:fldChar w:fldCharType="end"/>
          </w:r>
          <w:r>
            <w:rPr>
              <w:rFonts w:hint="eastAsia"/>
            </w:rPr>
            <w:fldChar w:fldCharType="begin"/>
          </w:r>
          <w:r>
            <w:rPr>
              <w:rFonts w:hint="default"/>
            </w:rPr>
            <w:instrText xml:space="preserve"> PAGEREF _Toc162548724 \h </w:instrText>
          </w:r>
          <w:r>
            <w:rPr>
              <w:rFonts w:hint="eastAsia"/>
            </w:rPr>
            <w:fldChar w:fldCharType="separate"/>
          </w:r>
          <w:r>
            <w:rPr>
              <w:rFonts w:hint="eastAsia"/>
            </w:rPr>
            <w:fldChar w:fldCharType="begin"/>
          </w:r>
          <w:r>
            <w:rPr>
              <w:rFonts w:hint="eastAsia"/>
            </w:rPr>
            <w:instrText xml:space="preserve"> HYPERLINK  \l "_Toc162548724"</w:instrText>
          </w:r>
          <w:r>
            <w:rPr>
              <w:rFonts w:hint="eastAsia"/>
            </w:rPr>
            <w:fldChar w:fldCharType="separate"/>
          </w:r>
          <w:r>
            <w:rPr>
              <w:rFonts w:hint="default"/>
            </w:rPr>
            <w:t>78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"_Toc162548725"</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早期発見・特定健診</w:t>
          </w:r>
          <w:r>
            <w:rPr>
              <w:rFonts w:hint="default"/>
            </w:rPr>
            <w:tab/>
          </w:r>
          <w:r>
            <w:rPr>
              <w:rFonts w:hint="eastAsia"/>
            </w:rPr>
            <w:fldChar w:fldCharType="end"/>
          </w:r>
          <w:r>
            <w:rPr>
              <w:rFonts w:hint="eastAsia"/>
            </w:rPr>
            <w:fldChar w:fldCharType="begin"/>
          </w:r>
          <w:r>
            <w:rPr>
              <w:rFonts w:hint="default"/>
            </w:rPr>
            <w:instrText xml:space="preserve"> PAGEREF _Toc162548725 \h </w:instrText>
          </w:r>
          <w:r>
            <w:rPr>
              <w:rFonts w:hint="eastAsia"/>
            </w:rPr>
            <w:fldChar w:fldCharType="separate"/>
          </w:r>
          <w:r>
            <w:rPr>
              <w:rFonts w:hint="eastAsia"/>
            </w:rPr>
            <w:fldChar w:fldCharType="begin"/>
          </w:r>
          <w:r>
            <w:rPr>
              <w:rFonts w:hint="eastAsia"/>
            </w:rPr>
            <w:instrText xml:space="preserve"> HYPERLINK  \l "_Toc162548725"</w:instrText>
          </w:r>
          <w:r>
            <w:rPr>
              <w:rFonts w:hint="eastAsia"/>
            </w:rPr>
            <w:fldChar w:fldCharType="separate"/>
          </w:r>
          <w:r>
            <w:rPr>
              <w:rFonts w:hint="default"/>
            </w:rPr>
            <w:t>78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"_Toc162548726"</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生活習慣病発症予防・保健指導</w:t>
          </w:r>
          <w:r>
            <w:rPr>
              <w:rFonts w:hint="default"/>
            </w:rPr>
            <w:tab/>
          </w:r>
          <w:r>
            <w:rPr>
              <w:rFonts w:hint="eastAsia"/>
            </w:rPr>
            <w:fldChar w:fldCharType="end"/>
          </w:r>
          <w:r>
            <w:rPr>
              <w:rFonts w:hint="eastAsia"/>
            </w:rPr>
            <w:fldChar w:fldCharType="begin"/>
          </w:r>
          <w:r>
            <w:rPr>
              <w:rFonts w:hint="default"/>
            </w:rPr>
            <w:instrText xml:space="preserve"> PAGEREF _Toc162548726 \h </w:instrText>
          </w:r>
          <w:r>
            <w:rPr>
              <w:rFonts w:hint="eastAsia"/>
            </w:rPr>
            <w:fldChar w:fldCharType="separate"/>
          </w:r>
          <w:r>
            <w:rPr>
              <w:rFonts w:hint="eastAsia"/>
            </w:rPr>
            <w:fldChar w:fldCharType="begin"/>
          </w:r>
          <w:r>
            <w:rPr>
              <w:rFonts w:hint="eastAsia"/>
            </w:rPr>
            <w:instrText xml:space="preserve"> HYPERLINK  \l "_Toc162548726"</w:instrText>
          </w:r>
          <w:r>
            <w:rPr>
              <w:rFonts w:hint="eastAsia"/>
            </w:rPr>
            <w:fldChar w:fldCharType="separate"/>
          </w:r>
          <w:r>
            <w:rPr>
              <w:rFonts w:hint="default"/>
            </w:rPr>
            <w:t>80</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"_Toc162548727"</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健康づくり</w:t>
          </w:r>
          <w:r>
            <w:rPr>
              <w:rFonts w:hint="default"/>
            </w:rPr>
            <w:tab/>
          </w:r>
          <w:r>
            <w:rPr>
              <w:rFonts w:hint="eastAsia"/>
            </w:rPr>
            <w:fldChar w:fldCharType="end"/>
          </w:r>
          <w:r>
            <w:rPr>
              <w:rFonts w:hint="eastAsia"/>
            </w:rPr>
            <w:fldChar w:fldCharType="begin"/>
          </w:r>
          <w:r>
            <w:rPr>
              <w:rFonts w:hint="default"/>
            </w:rPr>
            <w:instrText xml:space="preserve"> PAGEREF _Toc162548727 \h </w:instrText>
          </w:r>
          <w:r>
            <w:rPr>
              <w:rFonts w:hint="eastAsia"/>
            </w:rPr>
            <w:fldChar w:fldCharType="separate"/>
          </w:r>
          <w:r>
            <w:rPr>
              <w:rFonts w:hint="eastAsia"/>
            </w:rPr>
            <w:fldChar w:fldCharType="begin"/>
          </w:r>
          <w:r>
            <w:rPr>
              <w:rFonts w:hint="eastAsia"/>
            </w:rPr>
            <w:instrText xml:space="preserve"> HYPERLINK  \l "_Toc162548727"</w:instrText>
          </w:r>
          <w:r>
            <w:rPr>
              <w:rFonts w:hint="eastAsia"/>
            </w:rPr>
            <w:fldChar w:fldCharType="separate"/>
          </w:r>
          <w:r>
            <w:rPr>
              <w:rFonts w:hint="default"/>
            </w:rPr>
            <w:t>82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"_Toc162548728"</w:instrText>
          </w:r>
          <w:r>
            <w:rPr>
              <w:rFonts w:hint="eastAsia"/>
            </w:rPr>
            <w:fldChar w:fldCharType="separate"/>
          </w:r>
          <w:r>
            <w:rPr>
              <w:rFonts w:hint="default"/>
            </w:rPr>
            <w:t>（</w:t>
          </w:r>
          <w:r>
            <w:rPr>
              <w:rFonts w:hint="default"/>
            </w:rPr>
            <w:t>4</w:t>
          </w:r>
          <w:r>
            <w:rPr>
              <w:rFonts w:hint="default"/>
            </w:rPr>
            <w:t>）</w:t>
          </w:r>
          <w:r>
            <w:rPr>
              <w:rFonts w:hint="default"/>
            </w:rPr>
            <w:t xml:space="preserve"> </w:t>
          </w:r>
          <w:r>
            <w:rPr>
              <w:rFonts w:hint="default"/>
            </w:rPr>
            <w:t>重症化予防</w:t>
          </w:r>
          <w:r>
            <w:rPr>
              <w:rFonts w:hint="default"/>
            </w:rPr>
            <w:tab/>
          </w:r>
          <w:r>
            <w:rPr>
              <w:rFonts w:hint="eastAsia"/>
            </w:rPr>
            <w:fldChar w:fldCharType="end"/>
          </w:r>
          <w:r>
            <w:rPr>
              <w:rFonts w:hint="eastAsia"/>
            </w:rPr>
            <w:fldChar w:fldCharType="begin"/>
          </w:r>
          <w:r>
            <w:rPr>
              <w:rFonts w:hint="default"/>
            </w:rPr>
            <w:instrText xml:space="preserve"> PAGEREF _Toc162548728 \h </w:instrText>
          </w:r>
          <w:r>
            <w:rPr>
              <w:rFonts w:hint="eastAsia"/>
            </w:rPr>
            <w:fldChar w:fldCharType="separate"/>
          </w:r>
          <w:r>
            <w:rPr>
              <w:rFonts w:hint="eastAsia"/>
            </w:rPr>
            <w:fldChar w:fldCharType="begin"/>
          </w:r>
          <w:r>
            <w:rPr>
              <w:rFonts w:hint="eastAsia"/>
            </w:rPr>
            <w:instrText xml:space="preserve"> HYPERLINK  \l "_Toc162548728"</w:instrText>
          </w:r>
          <w:r>
            <w:rPr>
              <w:rFonts w:hint="eastAsia"/>
            </w:rPr>
            <w:fldChar w:fldCharType="separate"/>
          </w:r>
          <w:r>
            <w:rPr>
              <w:rFonts w:hint="default"/>
            </w:rPr>
            <w:t>88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"_Toc162548729"</w:instrText>
          </w:r>
          <w:r>
            <w:rPr>
              <w:rFonts w:hint="eastAsia"/>
            </w:rPr>
            <w:fldChar w:fldCharType="separate"/>
          </w:r>
          <w:r>
            <w:rPr>
              <w:rFonts w:hint="default"/>
            </w:rPr>
            <w:t>（</w:t>
          </w:r>
          <w:r>
            <w:rPr>
              <w:rFonts w:hint="default"/>
            </w:rPr>
            <w:t>5</w:t>
          </w:r>
          <w:r>
            <w:rPr>
              <w:rFonts w:hint="default"/>
            </w:rPr>
            <w:t>）</w:t>
          </w:r>
          <w:r>
            <w:rPr>
              <w:rFonts w:hint="default"/>
            </w:rPr>
            <w:t xml:space="preserve"> </w:t>
          </w:r>
          <w:r>
            <w:rPr>
              <w:rFonts w:hint="default"/>
            </w:rPr>
            <w:t>介護予防・一体的実施</w:t>
          </w:r>
          <w:r>
            <w:rPr>
              <w:rFonts w:hint="default"/>
            </w:rPr>
            <w:tab/>
          </w:r>
          <w:r>
            <w:rPr>
              <w:rFonts w:hint="eastAsia"/>
            </w:rPr>
            <w:fldChar w:fldCharType="end"/>
          </w:r>
          <w:r>
            <w:rPr>
              <w:rFonts w:hint="eastAsia"/>
            </w:rPr>
            <w:fldChar w:fldCharType="begin"/>
          </w:r>
          <w:r>
            <w:rPr>
              <w:rFonts w:hint="default"/>
            </w:rPr>
            <w:instrText xml:space="preserve"> PAGEREF _Toc162548729 \h </w:instrText>
          </w:r>
          <w:r>
            <w:rPr>
              <w:rFonts w:hint="eastAsia"/>
            </w:rPr>
            <w:fldChar w:fldCharType="separate"/>
          </w:r>
          <w:r>
            <w:rPr>
              <w:rFonts w:hint="eastAsia"/>
            </w:rPr>
            <w:fldChar w:fldCharType="begin"/>
          </w:r>
          <w:r>
            <w:rPr>
              <w:rFonts w:hint="eastAsia"/>
            </w:rPr>
            <w:instrText xml:space="preserve"> HYPERLINK  \l "_Toc162548729"</w:instrText>
          </w:r>
          <w:r>
            <w:rPr>
              <w:rFonts w:hint="eastAsia"/>
            </w:rPr>
            <w:fldChar w:fldCharType="separate"/>
          </w:r>
          <w:r>
            <w:rPr>
              <w:rFonts w:hint="default"/>
            </w:rPr>
            <w:t>90</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"_Toc162548730"</w:instrText>
          </w:r>
          <w:r>
            <w:rPr>
              <w:rFonts w:hint="eastAsia"/>
            </w:rPr>
            <w:fldChar w:fldCharType="separate"/>
          </w:r>
          <w:r>
            <w:rPr>
              <w:rFonts w:hint="default"/>
            </w:rPr>
            <w:t>（</w:t>
          </w:r>
          <w:r>
            <w:rPr>
              <w:rFonts w:hint="default"/>
            </w:rPr>
            <w:t>6</w:t>
          </w:r>
          <w:r>
            <w:rPr>
              <w:rFonts w:hint="default"/>
            </w:rPr>
            <w:t>）</w:t>
          </w:r>
          <w:r>
            <w:rPr>
              <w:rFonts w:hint="default"/>
            </w:rPr>
            <w:t xml:space="preserve"> </w:t>
          </w:r>
          <w:r>
            <w:rPr>
              <w:rFonts w:hint="default"/>
            </w:rPr>
            <w:t>その他</w:t>
          </w:r>
          <w:r>
            <w:rPr>
              <w:rFonts w:hint="default"/>
            </w:rPr>
            <w:t>(</w:t>
          </w:r>
          <w:r>
            <w:rPr>
              <w:rFonts w:hint="default"/>
            </w:rPr>
            <w:t>医療費適正化</w:t>
          </w:r>
          <w:r>
            <w:rPr>
              <w:rFonts w:hint="default"/>
            </w:rPr>
            <w:t>)</w:t>
          </w:r>
          <w:r>
            <w:rPr>
              <w:rFonts w:hint="default"/>
            </w:rPr>
            <w:tab/>
          </w:r>
          <w:r>
            <w:rPr>
              <w:rFonts w:hint="eastAsia"/>
            </w:rPr>
            <w:fldChar w:fldCharType="end"/>
          </w:r>
          <w:r>
            <w:rPr>
              <w:rFonts w:hint="eastAsia"/>
            </w:rPr>
            <w:fldChar w:fldCharType="begin"/>
          </w:r>
          <w:r>
            <w:rPr>
              <w:rFonts w:hint="default"/>
            </w:rPr>
            <w:instrText xml:space="preserve"> PAGEREF _Toc162548730 \h </w:instrText>
          </w:r>
          <w:r>
            <w:rPr>
              <w:rFonts w:hint="eastAsia"/>
            </w:rPr>
            <w:fldChar w:fldCharType="separate"/>
          </w:r>
          <w:r>
            <w:rPr>
              <w:rFonts w:hint="eastAsia"/>
            </w:rPr>
            <w:fldChar w:fldCharType="begin"/>
          </w:r>
          <w:r>
            <w:rPr>
              <w:rFonts w:hint="eastAsia"/>
            </w:rPr>
            <w:instrText xml:space="preserve"> HYPERLINK  \l "_Toc162548730"</w:instrText>
          </w:r>
          <w:r>
            <w:rPr>
              <w:rFonts w:hint="eastAsia"/>
            </w:rPr>
            <w:fldChar w:fldCharType="separate"/>
          </w:r>
          <w:r>
            <w:rPr>
              <w:rFonts w:hint="default"/>
            </w:rPr>
            <w:t>92</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"_Toc162548731"</w:instrText>
          </w:r>
          <w:r>
            <w:rPr>
              <w:rFonts w:hint="eastAsia"/>
            </w:rPr>
            <w:fldChar w:fldCharType="separate"/>
          </w:r>
          <w:r>
            <w:rPr>
              <w:rFonts w:hint="default"/>
            </w:rPr>
            <w:t xml:space="preserve">2 </w:t>
          </w:r>
          <w:r>
            <w:rPr>
              <w:rFonts w:hint="default"/>
            </w:rPr>
            <w:t>個別保健事業計画・評価指標のまとめ</w:t>
          </w:r>
          <w:r>
            <w:rPr>
              <w:rFonts w:hint="default"/>
            </w:rPr>
            <w:tab/>
          </w:r>
          <w:r>
            <w:rPr>
              <w:rFonts w:hint="eastAsia"/>
            </w:rPr>
            <w:fldChar w:fldCharType="end"/>
          </w:r>
          <w:r>
            <w:rPr>
              <w:rFonts w:hint="eastAsia"/>
            </w:rPr>
            <w:fldChar w:fldCharType="begin"/>
          </w:r>
          <w:r>
            <w:rPr>
              <w:rFonts w:hint="default"/>
            </w:rPr>
            <w:instrText xml:space="preserve"> PAGEREF _Toc162548731 \h </w:instrText>
          </w:r>
          <w:r>
            <w:rPr>
              <w:rFonts w:hint="eastAsia"/>
            </w:rPr>
            <w:fldChar w:fldCharType="separate"/>
          </w:r>
          <w:r>
            <w:rPr>
              <w:rFonts w:hint="eastAsia"/>
            </w:rPr>
            <w:fldChar w:fldCharType="begin"/>
          </w:r>
          <w:r>
            <w:rPr>
              <w:rFonts w:hint="eastAsia"/>
            </w:rPr>
            <w:instrText xml:space="preserve"> HYPERLINK  \l "_Toc162548731"</w:instrText>
          </w:r>
          <w:r>
            <w:rPr>
              <w:rFonts w:hint="eastAsia"/>
            </w:rPr>
            <w:fldChar w:fldCharType="separate"/>
          </w:r>
          <w:r>
            <w:rPr>
              <w:rFonts w:hint="default"/>
            </w:rPr>
            <w:t>94</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"_Toc162548732"</w:instrText>
          </w:r>
          <w:r>
            <w:rPr>
              <w:rFonts w:hint="eastAsia"/>
            </w:rPr>
            <w:fldChar w:fldCharType="separate"/>
          </w:r>
          <w:r>
            <w:rPr>
              <w:rFonts w:hint="default"/>
            </w:rPr>
            <w:t xml:space="preserve">3 </w:t>
          </w:r>
          <w:r>
            <w:rPr>
              <w:rFonts w:hint="default"/>
            </w:rPr>
            <w:t>データヘルス計画の全体像</w:t>
          </w:r>
          <w:r>
            <w:rPr>
              <w:rFonts w:hint="default"/>
            </w:rPr>
            <w:tab/>
          </w:r>
          <w:r>
            <w:rPr>
              <w:rFonts w:hint="eastAsia"/>
            </w:rPr>
            <w:fldChar w:fldCharType="end"/>
          </w:r>
          <w:r>
            <w:rPr>
              <w:rFonts w:hint="eastAsia"/>
            </w:rPr>
            <w:fldChar w:fldCharType="begin"/>
          </w:r>
          <w:r>
            <w:rPr>
              <w:rFonts w:hint="default"/>
            </w:rPr>
            <w:instrText xml:space="preserve"> PAGEREF _Toc162548732 \h </w:instrText>
          </w:r>
          <w:r>
            <w:rPr>
              <w:rFonts w:hint="eastAsia"/>
            </w:rPr>
            <w:fldChar w:fldCharType="separate"/>
          </w:r>
          <w:r>
            <w:rPr>
              <w:rFonts w:hint="eastAsia"/>
            </w:rPr>
            <w:fldChar w:fldCharType="begin"/>
          </w:r>
          <w:r>
            <w:rPr>
              <w:rFonts w:hint="eastAsia"/>
            </w:rPr>
            <w:instrText xml:space="preserve"> HYPERLINK  \l "_Toc162548732"</w:instrText>
          </w:r>
          <w:r>
            <w:rPr>
              <w:rFonts w:hint="eastAsia"/>
            </w:rPr>
            <w:fldChar w:fldCharType="separate"/>
          </w:r>
          <w:r>
            <w:rPr>
              <w:rFonts w:hint="default"/>
            </w:rPr>
            <w:t>97</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"_Toc162548733"</w:instrText>
          </w:r>
          <w:r>
            <w:rPr>
              <w:rFonts w:hint="eastAsia"/>
            </w:rPr>
            <w:fldChar w:fldCharType="separate"/>
          </w:r>
          <w:r>
            <w:rPr>
              <w:rFonts w:hint="default"/>
            </w:rPr>
            <w:t>第</w:t>
          </w:r>
          <w:r>
            <w:rPr>
              <w:rFonts w:hint="default"/>
            </w:rPr>
            <w:t>6</w:t>
          </w:r>
          <w:r>
            <w:rPr>
              <w:rFonts w:hint="default"/>
            </w:rPr>
            <w:t>章</w:t>
          </w:r>
          <w:r>
            <w:rPr>
              <w:rFonts w:hint="default"/>
            </w:rPr>
            <w:t xml:space="preserve"> </w:t>
          </w:r>
          <w:r>
            <w:rPr>
              <w:rFonts w:hint="default"/>
            </w:rPr>
            <w:t>計画の評価・見直し</w:t>
          </w:r>
          <w:r>
            <w:rPr>
              <w:rFonts w:hint="default"/>
            </w:rPr>
            <w:tab/>
          </w:r>
          <w:r>
            <w:rPr>
              <w:rFonts w:hint="eastAsia"/>
            </w:rPr>
            <w:fldChar w:fldCharType="end"/>
          </w:r>
          <w:r>
            <w:rPr>
              <w:rFonts w:hint="eastAsia"/>
            </w:rPr>
            <w:fldChar w:fldCharType="begin"/>
          </w:r>
          <w:r>
            <w:rPr>
              <w:rFonts w:hint="default"/>
            </w:rPr>
            <w:instrText xml:space="preserve"> PAGEREF _Toc162548733 \h </w:instrText>
          </w:r>
          <w:r>
            <w:rPr>
              <w:rFonts w:hint="eastAsia"/>
            </w:rPr>
            <w:fldChar w:fldCharType="separate"/>
          </w:r>
          <w:r>
            <w:rPr>
              <w:rFonts w:hint="eastAsia"/>
            </w:rPr>
            <w:fldChar w:fldCharType="begin"/>
          </w:r>
          <w:r>
            <w:rPr>
              <w:rFonts w:hint="eastAsia"/>
            </w:rPr>
            <w:instrText xml:space="preserve"> HYPERLINK  \l "_Toc162548733"</w:instrText>
          </w:r>
          <w:r>
            <w:rPr>
              <w:rFonts w:hint="eastAsia"/>
            </w:rPr>
            <w:fldChar w:fldCharType="separate"/>
          </w:r>
          <w:r>
            <w:rPr>
              <w:rFonts w:hint="default"/>
            </w:rPr>
            <w:t>98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"_Toc162548734"</w:instrText>
          </w:r>
          <w:r>
            <w:rPr>
              <w:rFonts w:hint="eastAsia"/>
            </w:rPr>
            <w:fldChar w:fldCharType="separate"/>
          </w:r>
          <w:r>
            <w:rPr>
              <w:rFonts w:hint="default"/>
            </w:rPr>
            <w:t xml:space="preserve">1 </w:t>
          </w:r>
          <w:r>
            <w:rPr>
              <w:rFonts w:hint="default"/>
            </w:rPr>
            <w:t>評価の時期</w:t>
          </w:r>
          <w:r>
            <w:rPr>
              <w:rFonts w:hint="default"/>
            </w:rPr>
            <w:tab/>
          </w:r>
          <w:r>
            <w:rPr>
              <w:rFonts w:hint="eastAsia"/>
            </w:rPr>
            <w:fldChar w:fldCharType="end"/>
          </w:r>
          <w:r>
            <w:rPr>
              <w:rFonts w:hint="eastAsia"/>
            </w:rPr>
            <w:fldChar w:fldCharType="begin"/>
          </w:r>
          <w:r>
            <w:rPr>
              <w:rFonts w:hint="default"/>
            </w:rPr>
            <w:instrText xml:space="preserve"> PAGEREF _Toc162548734 \h </w:instrText>
          </w:r>
          <w:r>
            <w:rPr>
              <w:rFonts w:hint="eastAsia"/>
            </w:rPr>
            <w:fldChar w:fldCharType="separate"/>
          </w:r>
          <w:r>
            <w:rPr>
              <w:rFonts w:hint="eastAsia"/>
            </w:rPr>
            <w:fldChar w:fldCharType="begin"/>
          </w:r>
          <w:r>
            <w:rPr>
              <w:rFonts w:hint="eastAsia"/>
            </w:rPr>
            <w:instrText xml:space="preserve"> HYPERLINK  \l "_Toc162548734"</w:instrText>
          </w:r>
          <w:r>
            <w:rPr>
              <w:rFonts w:hint="eastAsia"/>
            </w:rPr>
            <w:fldChar w:fldCharType="separate"/>
          </w:r>
          <w:r>
            <w:rPr>
              <w:rFonts w:hint="default"/>
            </w:rPr>
            <w:t>98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"_Toc162548735"</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個別事業計画の評価・見直し</w:t>
          </w:r>
          <w:r>
            <w:rPr>
              <w:rFonts w:hint="default"/>
            </w:rPr>
            <w:tab/>
          </w:r>
          <w:r>
            <w:rPr>
              <w:rFonts w:hint="eastAsia"/>
            </w:rPr>
            <w:fldChar w:fldCharType="end"/>
          </w:r>
          <w:r>
            <w:rPr>
              <w:rFonts w:hint="eastAsia"/>
            </w:rPr>
            <w:fldChar w:fldCharType="begin"/>
          </w:r>
          <w:r>
            <w:rPr>
              <w:rFonts w:hint="default"/>
            </w:rPr>
            <w:instrText xml:space="preserve"> PAGEREF _Toc162548735 \h </w:instrText>
          </w:r>
          <w:r>
            <w:rPr>
              <w:rFonts w:hint="eastAsia"/>
            </w:rPr>
            <w:fldChar w:fldCharType="separate"/>
          </w:r>
          <w:r>
            <w:rPr>
              <w:rFonts w:hint="eastAsia"/>
            </w:rPr>
            <w:fldChar w:fldCharType="begin"/>
          </w:r>
          <w:r>
            <w:rPr>
              <w:rFonts w:hint="eastAsia"/>
            </w:rPr>
            <w:instrText xml:space="preserve"> HYPERLINK  \l "_Toc162548735"</w:instrText>
          </w:r>
          <w:r>
            <w:rPr>
              <w:rFonts w:hint="eastAsia"/>
            </w:rPr>
            <w:fldChar w:fldCharType="separate"/>
          </w:r>
          <w:r>
            <w:rPr>
              <w:rFonts w:hint="default"/>
            </w:rPr>
            <w:t>98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"_Toc162548736"</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データヘルス計画の評価・見直し</w:t>
          </w:r>
          <w:r>
            <w:rPr>
              <w:rFonts w:hint="default"/>
            </w:rPr>
            <w:tab/>
          </w:r>
          <w:r>
            <w:rPr>
              <w:rFonts w:hint="eastAsia"/>
            </w:rPr>
            <w:fldChar w:fldCharType="end"/>
          </w:r>
          <w:r>
            <w:rPr>
              <w:rFonts w:hint="eastAsia"/>
            </w:rPr>
            <w:fldChar w:fldCharType="begin"/>
          </w:r>
          <w:r>
            <w:rPr>
              <w:rFonts w:hint="default"/>
            </w:rPr>
            <w:instrText xml:space="preserve"> PAGEREF _Toc162548736 \h </w:instrText>
          </w:r>
          <w:r>
            <w:rPr>
              <w:rFonts w:hint="eastAsia"/>
            </w:rPr>
            <w:fldChar w:fldCharType="separate"/>
          </w:r>
          <w:r>
            <w:rPr>
              <w:rFonts w:hint="eastAsia"/>
            </w:rPr>
            <w:fldChar w:fldCharType="begin"/>
          </w:r>
          <w:r>
            <w:rPr>
              <w:rFonts w:hint="eastAsia"/>
            </w:rPr>
            <w:instrText xml:space="preserve"> HYPERLINK  \l "_Toc162548736"</w:instrText>
          </w:r>
          <w:r>
            <w:rPr>
              <w:rFonts w:hint="eastAsia"/>
            </w:rPr>
            <w:fldChar w:fldCharType="separate"/>
          </w:r>
          <w:r>
            <w:rPr>
              <w:rFonts w:hint="default"/>
            </w:rPr>
            <w:t>98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"_Toc162548737"</w:instrText>
          </w:r>
          <w:r>
            <w:rPr>
              <w:rFonts w:hint="eastAsia"/>
            </w:rPr>
            <w:fldChar w:fldCharType="separate"/>
          </w:r>
          <w:r>
            <w:rPr>
              <w:rFonts w:hint="default"/>
            </w:rPr>
            <w:t xml:space="preserve">2 </w:t>
          </w:r>
          <w:r>
            <w:rPr>
              <w:rFonts w:hint="default"/>
            </w:rPr>
            <w:t>評価方法・体制</w:t>
          </w:r>
          <w:r>
            <w:rPr>
              <w:rFonts w:hint="default"/>
            </w:rPr>
            <w:tab/>
          </w:r>
          <w:r>
            <w:rPr>
              <w:rFonts w:hint="eastAsia"/>
            </w:rPr>
            <w:fldChar w:fldCharType="end"/>
          </w:r>
          <w:r>
            <w:rPr>
              <w:rFonts w:hint="eastAsia"/>
            </w:rPr>
            <w:fldChar w:fldCharType="begin"/>
          </w:r>
          <w:r>
            <w:rPr>
              <w:rFonts w:hint="default"/>
            </w:rPr>
            <w:instrText xml:space="preserve"> PAGEREF _Toc162548737 \h </w:instrText>
          </w:r>
          <w:r>
            <w:rPr>
              <w:rFonts w:hint="eastAsia"/>
            </w:rPr>
            <w:fldChar w:fldCharType="separate"/>
          </w:r>
          <w:r>
            <w:rPr>
              <w:rFonts w:hint="eastAsia"/>
            </w:rPr>
            <w:fldChar w:fldCharType="begin"/>
          </w:r>
          <w:r>
            <w:rPr>
              <w:rFonts w:hint="eastAsia"/>
            </w:rPr>
            <w:instrText xml:space="preserve"> HYPERLINK  \l "_Toc162548737"</w:instrText>
          </w:r>
          <w:r>
            <w:rPr>
              <w:rFonts w:hint="eastAsia"/>
            </w:rPr>
            <w:fldChar w:fldCharType="separate"/>
          </w:r>
          <w:r>
            <w:rPr>
              <w:rFonts w:hint="default"/>
            </w:rPr>
            <w:t>98</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"_Toc162548738"</w:instrText>
          </w:r>
          <w:r>
            <w:rPr>
              <w:rFonts w:hint="eastAsia"/>
            </w:rPr>
            <w:fldChar w:fldCharType="separate"/>
          </w:r>
          <w:r>
            <w:rPr>
              <w:rFonts w:hint="default"/>
            </w:rPr>
            <w:t>第</w:t>
          </w:r>
          <w:r>
            <w:rPr>
              <w:rFonts w:hint="default"/>
            </w:rPr>
            <w:t>7</w:t>
          </w:r>
          <w:r>
            <w:rPr>
              <w:rFonts w:hint="default"/>
            </w:rPr>
            <w:t>章</w:t>
          </w:r>
          <w:r>
            <w:rPr>
              <w:rFonts w:hint="default"/>
            </w:rPr>
            <w:t xml:space="preserve"> </w:t>
          </w:r>
          <w:r>
            <w:rPr>
              <w:rFonts w:hint="default"/>
            </w:rPr>
            <w:t>計画の公表・周知</w:t>
          </w:r>
          <w:r>
            <w:rPr>
              <w:rFonts w:hint="default"/>
            </w:rPr>
            <w:tab/>
          </w:r>
          <w:r>
            <w:rPr>
              <w:rFonts w:hint="eastAsia"/>
            </w:rPr>
            <w:fldChar w:fldCharType="end"/>
          </w:r>
          <w:r>
            <w:rPr>
              <w:rFonts w:hint="eastAsia"/>
            </w:rPr>
            <w:fldChar w:fldCharType="begin"/>
          </w:r>
          <w:r>
            <w:rPr>
              <w:rFonts w:hint="default"/>
            </w:rPr>
            <w:instrText xml:space="preserve"> PAGEREF _Toc162548738 \h </w:instrText>
          </w:r>
          <w:r>
            <w:rPr>
              <w:rFonts w:hint="eastAsia"/>
            </w:rPr>
            <w:fldChar w:fldCharType="separate"/>
          </w:r>
          <w:r>
            <w:rPr>
              <w:rFonts w:hint="eastAsia"/>
            </w:rPr>
            <w:fldChar w:fldCharType="begin"/>
          </w:r>
          <w:r>
            <w:rPr>
              <w:rFonts w:hint="eastAsia"/>
            </w:rPr>
            <w:instrText xml:space="preserve"> HYPERLINK  \l "_Toc162548738"</w:instrText>
          </w:r>
          <w:r>
            <w:rPr>
              <w:rFonts w:hint="eastAsia"/>
            </w:rPr>
            <w:fldChar w:fldCharType="separate"/>
          </w:r>
          <w:r>
            <w:rPr>
              <w:rFonts w:hint="default"/>
            </w:rPr>
            <w:t>98</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"_Toc162548739"</w:instrText>
          </w:r>
          <w:r>
            <w:rPr>
              <w:rFonts w:hint="eastAsia"/>
            </w:rPr>
            <w:fldChar w:fldCharType="separate"/>
          </w:r>
          <w:r>
            <w:rPr>
              <w:rFonts w:hint="default"/>
            </w:rPr>
            <w:t>第</w:t>
          </w:r>
          <w:r>
            <w:rPr>
              <w:rFonts w:hint="default"/>
            </w:rPr>
            <w:t>8</w:t>
          </w:r>
          <w:r>
            <w:rPr>
              <w:rFonts w:hint="default"/>
            </w:rPr>
            <w:t>章</w:t>
          </w:r>
          <w:r>
            <w:rPr>
              <w:rFonts w:hint="default"/>
            </w:rPr>
            <w:t xml:space="preserve"> </w:t>
          </w:r>
          <w:r>
            <w:rPr>
              <w:rFonts w:hint="default"/>
            </w:rPr>
            <w:t>個人情報の取扱い</w:t>
          </w:r>
          <w:r>
            <w:rPr>
              <w:rFonts w:hint="default"/>
            </w:rPr>
            <w:tab/>
          </w:r>
          <w:r>
            <w:rPr>
              <w:rFonts w:hint="eastAsia"/>
            </w:rPr>
            <w:fldChar w:fldCharType="end"/>
          </w:r>
          <w:r>
            <w:rPr>
              <w:rFonts w:hint="eastAsia"/>
            </w:rPr>
            <w:fldChar w:fldCharType="begin"/>
          </w:r>
          <w:r>
            <w:rPr>
              <w:rFonts w:hint="default"/>
            </w:rPr>
            <w:instrText xml:space="preserve"> PAGEREF _Toc162548739 \h </w:instrText>
          </w:r>
          <w:r>
            <w:rPr>
              <w:rFonts w:hint="eastAsia"/>
            </w:rPr>
            <w:fldChar w:fldCharType="separate"/>
          </w:r>
          <w:r>
            <w:rPr>
              <w:rFonts w:hint="eastAsia"/>
            </w:rPr>
            <w:fldChar w:fldCharType="begin"/>
          </w:r>
          <w:r>
            <w:rPr>
              <w:rFonts w:hint="eastAsia"/>
            </w:rPr>
            <w:instrText xml:space="preserve"> HYPERLINK  \l "_Toc162548739"</w:instrText>
          </w:r>
          <w:r>
            <w:rPr>
              <w:rFonts w:hint="eastAsia"/>
            </w:rPr>
            <w:fldChar w:fldCharType="separate"/>
          </w:r>
          <w:r>
            <w:rPr>
              <w:rFonts w:hint="default"/>
            </w:rPr>
            <w:t>98</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"_Toc162548740"</w:instrText>
          </w:r>
          <w:r>
            <w:rPr>
              <w:rFonts w:hint="eastAsia"/>
            </w:rPr>
            <w:fldChar w:fldCharType="separate"/>
          </w:r>
          <w:r>
            <w:rPr>
              <w:rFonts w:hint="default"/>
            </w:rPr>
            <w:t>第</w:t>
          </w:r>
          <w:r>
            <w:rPr>
              <w:rFonts w:hint="default"/>
            </w:rPr>
            <w:t>9</w:t>
          </w:r>
          <w:r>
            <w:rPr>
              <w:rFonts w:hint="default"/>
            </w:rPr>
            <w:t>章</w:t>
          </w:r>
          <w:r>
            <w:rPr>
              <w:rFonts w:hint="default"/>
            </w:rPr>
            <w:t xml:space="preserve"> </w:t>
          </w:r>
          <w:r>
            <w:rPr>
              <w:rFonts w:hint="default"/>
            </w:rPr>
            <w:t>地域包括ケアに係る取組及びその他の留意事項</w:t>
          </w:r>
          <w:r>
            <w:rPr>
              <w:rFonts w:hint="default"/>
            </w:rPr>
            <w:tab/>
          </w:r>
          <w:r>
            <w:rPr>
              <w:rFonts w:hint="eastAsia"/>
            </w:rPr>
            <w:fldChar w:fldCharType="end"/>
          </w:r>
          <w:r>
            <w:rPr>
              <w:rFonts w:hint="eastAsia"/>
            </w:rPr>
            <w:fldChar w:fldCharType="begin"/>
          </w:r>
          <w:r>
            <w:rPr>
              <w:rFonts w:hint="default"/>
            </w:rPr>
            <w:instrText xml:space="preserve"> PAGEREF _Toc162548740 \h </w:instrText>
          </w:r>
          <w:r>
            <w:rPr>
              <w:rFonts w:hint="eastAsia"/>
            </w:rPr>
            <w:fldChar w:fldCharType="separate"/>
          </w:r>
          <w:r>
            <w:rPr>
              <w:rFonts w:hint="eastAsia"/>
            </w:rPr>
            <w:fldChar w:fldCharType="begin"/>
          </w:r>
          <w:r>
            <w:rPr>
              <w:rFonts w:hint="eastAsia"/>
            </w:rPr>
            <w:instrText xml:space="preserve"> HYPERLINK  \l "_Toc162548740"</w:instrText>
          </w:r>
          <w:r>
            <w:rPr>
              <w:rFonts w:hint="eastAsia"/>
            </w:rPr>
            <w:fldChar w:fldCharType="separate"/>
          </w:r>
          <w:r>
            <w:rPr>
              <w:rFonts w:hint="default"/>
            </w:rPr>
            <w:t>99</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"_Toc162548741"</w:instrText>
          </w:r>
          <w:r>
            <w:rPr>
              <w:rFonts w:hint="eastAsia"/>
            </w:rPr>
            <w:fldChar w:fldCharType="separate"/>
          </w:r>
          <w:r>
            <w:rPr>
              <w:rFonts w:hint="default"/>
            </w:rPr>
            <w:t>第</w:t>
          </w:r>
          <w:r>
            <w:rPr>
              <w:rFonts w:hint="default"/>
            </w:rPr>
            <w:t>10</w:t>
          </w:r>
          <w:r>
            <w:rPr>
              <w:rFonts w:hint="default"/>
            </w:rPr>
            <w:t>章</w:t>
          </w:r>
          <w:r>
            <w:rPr>
              <w:rFonts w:hint="default"/>
            </w:rPr>
            <w:t xml:space="preserve"> </w:t>
          </w:r>
          <w:r>
            <w:rPr>
              <w:rFonts w:hint="default"/>
            </w:rPr>
            <w:t>第</w:t>
          </w:r>
          <w:r>
            <w:rPr>
              <w:rFonts w:hint="default"/>
            </w:rPr>
            <w:t>4</w:t>
          </w:r>
          <w:r>
            <w:rPr>
              <w:rFonts w:hint="default"/>
            </w:rPr>
            <w:t>期</w:t>
          </w:r>
          <w:r>
            <w:rPr>
              <w:rFonts w:hint="default"/>
            </w:rPr>
            <w:t xml:space="preserve"> </w:t>
          </w:r>
          <w:r>
            <w:rPr>
              <w:rFonts w:hint="default"/>
            </w:rPr>
            <w:t>特定健康診査等実施計画</w:t>
          </w:r>
          <w:r>
            <w:rPr>
              <w:rFonts w:hint="default"/>
            </w:rPr>
            <w:tab/>
          </w:r>
          <w:r>
            <w:rPr>
              <w:rFonts w:hint="eastAsia"/>
            </w:rPr>
            <w:fldChar w:fldCharType="end"/>
          </w:r>
          <w:r>
            <w:rPr>
              <w:rFonts w:hint="eastAsia"/>
            </w:rPr>
            <w:fldChar w:fldCharType="begin"/>
          </w:r>
          <w:r>
            <w:rPr>
              <w:rFonts w:hint="default"/>
            </w:rPr>
            <w:instrText xml:space="preserve"> PAGEREF _Toc162548741 \h </w:instrText>
          </w:r>
          <w:r>
            <w:rPr>
              <w:rFonts w:hint="eastAsia"/>
            </w:rPr>
            <w:fldChar w:fldCharType="separate"/>
          </w:r>
          <w:r>
            <w:rPr>
              <w:rFonts w:hint="eastAsia"/>
            </w:rPr>
            <w:fldChar w:fldCharType="begin"/>
          </w:r>
          <w:r>
            <w:rPr>
              <w:rFonts w:hint="eastAsia"/>
            </w:rPr>
            <w:instrText xml:space="preserve"> HYPERLINK  \l "_Toc162548741"</w:instrText>
          </w:r>
          <w:r>
            <w:rPr>
              <w:rFonts w:hint="eastAsia"/>
            </w:rPr>
            <w:fldChar w:fldCharType="separate"/>
          </w:r>
          <w:r>
            <w:rPr>
              <w:rFonts w:hint="default"/>
            </w:rPr>
            <w:t>100</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"_Toc162548742"</w:instrText>
          </w:r>
          <w:r>
            <w:rPr>
              <w:rFonts w:hint="eastAsia"/>
            </w:rPr>
            <w:fldChar w:fldCharType="separate"/>
          </w:r>
          <w:r>
            <w:rPr>
              <w:rFonts w:hint="default"/>
            </w:rPr>
            <w:t xml:space="preserve">1 </w:t>
          </w:r>
          <w:r>
            <w:rPr>
              <w:rFonts w:hint="default"/>
            </w:rPr>
            <w:t>計画の背景・趣旨</w:t>
          </w:r>
          <w:r>
            <w:rPr>
              <w:rFonts w:hint="default"/>
            </w:rPr>
            <w:tab/>
          </w:r>
          <w:r>
            <w:rPr>
              <w:rFonts w:hint="eastAsia"/>
            </w:rPr>
            <w:fldChar w:fldCharType="end"/>
          </w:r>
          <w:r>
            <w:rPr>
              <w:rFonts w:hint="eastAsia"/>
            </w:rPr>
            <w:fldChar w:fldCharType="begin"/>
          </w:r>
          <w:r>
            <w:rPr>
              <w:rFonts w:hint="default"/>
            </w:rPr>
            <w:instrText xml:space="preserve"> PAGEREF _Toc162548742 \h </w:instrText>
          </w:r>
          <w:r>
            <w:rPr>
              <w:rFonts w:hint="eastAsia"/>
            </w:rPr>
            <w:fldChar w:fldCharType="separate"/>
          </w:r>
          <w:r>
            <w:rPr>
              <w:rFonts w:hint="eastAsia"/>
            </w:rPr>
            <w:fldChar w:fldCharType="begin"/>
          </w:r>
          <w:r>
            <w:rPr>
              <w:rFonts w:hint="eastAsia"/>
            </w:rPr>
            <w:instrText xml:space="preserve"> HYPERLINK  \l "_Toc162548742"</w:instrText>
          </w:r>
          <w:r>
            <w:rPr>
              <w:rFonts w:hint="eastAsia"/>
            </w:rPr>
            <w:fldChar w:fldCharType="separate"/>
          </w:r>
          <w:r>
            <w:rPr>
              <w:rFonts w:hint="default"/>
            </w:rPr>
            <w:t>100</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"_Toc162548743"</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計画策定の背景・趣旨</w:t>
          </w:r>
          <w:r>
            <w:rPr>
              <w:rFonts w:hint="default"/>
            </w:rPr>
            <w:tab/>
          </w:r>
          <w:r>
            <w:rPr>
              <w:rFonts w:hint="eastAsia"/>
            </w:rPr>
            <w:fldChar w:fldCharType="end"/>
          </w:r>
          <w:r>
            <w:rPr>
              <w:rFonts w:hint="eastAsia"/>
            </w:rPr>
            <w:fldChar w:fldCharType="begin"/>
          </w:r>
          <w:r>
            <w:rPr>
              <w:rFonts w:hint="default"/>
            </w:rPr>
            <w:instrText xml:space="preserve"> PAGEREF _Toc162548743 \h </w:instrText>
          </w:r>
          <w:r>
            <w:rPr>
              <w:rFonts w:hint="eastAsia"/>
            </w:rPr>
            <w:fldChar w:fldCharType="separate"/>
          </w:r>
          <w:r>
            <w:rPr>
              <w:rFonts w:hint="eastAsia"/>
            </w:rPr>
            <w:fldChar w:fldCharType="begin"/>
          </w:r>
          <w:r>
            <w:rPr>
              <w:rFonts w:hint="eastAsia"/>
            </w:rPr>
            <w:instrText xml:space="preserve"> HYPERLINK  \l "_Toc162548743"</w:instrText>
          </w:r>
          <w:r>
            <w:rPr>
              <w:rFonts w:hint="eastAsia"/>
            </w:rPr>
            <w:fldChar w:fldCharType="separate"/>
          </w:r>
          <w:r>
            <w:rPr>
              <w:rFonts w:hint="default"/>
            </w:rPr>
            <w:t>100</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"_Toc162548744"</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特定健診・特定保健指導を巡る国の動向</w:t>
          </w:r>
          <w:r>
            <w:rPr>
              <w:rFonts w:hint="default"/>
            </w:rPr>
            <w:tab/>
          </w:r>
          <w:r>
            <w:rPr>
              <w:rFonts w:hint="eastAsia"/>
            </w:rPr>
            <w:fldChar w:fldCharType="end"/>
          </w:r>
          <w:r>
            <w:rPr>
              <w:rFonts w:hint="eastAsia"/>
            </w:rPr>
            <w:fldChar w:fldCharType="begin"/>
          </w:r>
          <w:r>
            <w:rPr>
              <w:rFonts w:hint="default"/>
            </w:rPr>
            <w:instrText xml:space="preserve"> PAGEREF _Toc162548744 \h </w:instrText>
          </w:r>
          <w:r>
            <w:rPr>
              <w:rFonts w:hint="eastAsia"/>
            </w:rPr>
            <w:fldChar w:fldCharType="separate"/>
          </w:r>
          <w:r>
            <w:rPr>
              <w:rFonts w:hint="eastAsia"/>
            </w:rPr>
            <w:fldChar w:fldCharType="begin"/>
          </w:r>
          <w:r>
            <w:rPr>
              <w:rFonts w:hint="eastAsia"/>
            </w:rPr>
            <w:instrText xml:space="preserve"> HYPERLINK  \l "_Toc162548744"</w:instrText>
          </w:r>
          <w:r>
            <w:rPr>
              <w:rFonts w:hint="eastAsia"/>
            </w:rPr>
            <w:fldChar w:fldCharType="separate"/>
          </w:r>
          <w:r>
            <w:rPr>
              <w:rFonts w:hint="default"/>
            </w:rPr>
            <w:t>101</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"_Toc162548745"</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計画期間</w:t>
          </w:r>
          <w:r>
            <w:rPr>
              <w:rFonts w:hint="default"/>
            </w:rPr>
            <w:tab/>
          </w:r>
          <w:r>
            <w:rPr>
              <w:rFonts w:hint="eastAsia"/>
            </w:rPr>
            <w:fldChar w:fldCharType="end"/>
          </w:r>
          <w:r>
            <w:rPr>
              <w:rFonts w:hint="eastAsia"/>
            </w:rPr>
            <w:fldChar w:fldCharType="begin"/>
          </w:r>
          <w:r>
            <w:rPr>
              <w:rFonts w:hint="default"/>
            </w:rPr>
            <w:instrText xml:space="preserve"> PAGEREF _Toc162548745 \h </w:instrText>
          </w:r>
          <w:r>
            <w:rPr>
              <w:rFonts w:hint="eastAsia"/>
            </w:rPr>
            <w:fldChar w:fldCharType="separate"/>
          </w:r>
          <w:r>
            <w:rPr>
              <w:rFonts w:hint="eastAsia"/>
            </w:rPr>
            <w:fldChar w:fldCharType="begin"/>
          </w:r>
          <w:r>
            <w:rPr>
              <w:rFonts w:hint="eastAsia"/>
            </w:rPr>
            <w:instrText xml:space="preserve"> HYPERLINK  \l "_Toc162548745"</w:instrText>
          </w:r>
          <w:r>
            <w:rPr>
              <w:rFonts w:hint="eastAsia"/>
            </w:rPr>
            <w:fldChar w:fldCharType="separate"/>
          </w:r>
          <w:r>
            <w:rPr>
              <w:rFonts w:hint="default"/>
            </w:rPr>
            <w:t>101</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"_Toc162548746"</w:instrText>
          </w:r>
          <w:r>
            <w:rPr>
              <w:rFonts w:hint="eastAsia"/>
            </w:rPr>
            <w:fldChar w:fldCharType="separate"/>
          </w:r>
          <w:r>
            <w:rPr>
              <w:rFonts w:hint="default"/>
            </w:rPr>
            <w:t xml:space="preserve">2 </w:t>
          </w:r>
          <w:r>
            <w:rPr>
              <w:rFonts w:hint="default"/>
            </w:rPr>
            <w:t>第</w:t>
          </w:r>
          <w:r>
            <w:rPr>
              <w:rFonts w:hint="default"/>
            </w:rPr>
            <w:t>3</w:t>
          </w:r>
          <w:r>
            <w:rPr>
              <w:rFonts w:hint="default"/>
            </w:rPr>
            <w:t>期計画における目標達成状況</w:t>
          </w:r>
          <w:r>
            <w:rPr>
              <w:rFonts w:hint="default"/>
            </w:rPr>
            <w:tab/>
          </w:r>
          <w:r>
            <w:rPr>
              <w:rFonts w:hint="eastAsia"/>
            </w:rPr>
            <w:fldChar w:fldCharType="end"/>
          </w:r>
          <w:r>
            <w:rPr>
              <w:rFonts w:hint="eastAsia"/>
            </w:rPr>
            <w:fldChar w:fldCharType="begin"/>
          </w:r>
          <w:r>
            <w:rPr>
              <w:rFonts w:hint="default"/>
            </w:rPr>
            <w:instrText xml:space="preserve"> PAGEREF _Toc162548746 \h </w:instrText>
          </w:r>
          <w:r>
            <w:rPr>
              <w:rFonts w:hint="eastAsia"/>
            </w:rPr>
            <w:fldChar w:fldCharType="separate"/>
          </w:r>
          <w:r>
            <w:rPr>
              <w:rFonts w:hint="eastAsia"/>
            </w:rPr>
            <w:fldChar w:fldCharType="begin"/>
          </w:r>
          <w:r>
            <w:rPr>
              <w:rFonts w:hint="eastAsia"/>
            </w:rPr>
            <w:instrText xml:space="preserve"> HYPERLINK  \l "_Toc162548746"</w:instrText>
          </w:r>
          <w:r>
            <w:rPr>
              <w:rFonts w:hint="eastAsia"/>
            </w:rPr>
            <w:fldChar w:fldCharType="separate"/>
          </w:r>
          <w:r>
            <w:rPr>
              <w:rFonts w:hint="default"/>
            </w:rPr>
            <w:t>102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"_Toc162548747"</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全国の状況</w:t>
          </w:r>
          <w:r>
            <w:rPr>
              <w:rFonts w:hint="default"/>
            </w:rPr>
            <w:tab/>
          </w:r>
          <w:r>
            <w:rPr>
              <w:rFonts w:hint="eastAsia"/>
            </w:rPr>
            <w:fldChar w:fldCharType="end"/>
          </w:r>
          <w:r>
            <w:rPr>
              <w:rFonts w:hint="eastAsia"/>
            </w:rPr>
            <w:fldChar w:fldCharType="begin"/>
          </w:r>
          <w:r>
            <w:rPr>
              <w:rFonts w:hint="default"/>
            </w:rPr>
            <w:instrText xml:space="preserve"> PAGEREF _Toc162548747 \h </w:instrText>
          </w:r>
          <w:r>
            <w:rPr>
              <w:rFonts w:hint="eastAsia"/>
            </w:rPr>
            <w:fldChar w:fldCharType="separate"/>
          </w:r>
          <w:r>
            <w:rPr>
              <w:rFonts w:hint="eastAsia"/>
            </w:rPr>
            <w:fldChar w:fldCharType="begin"/>
          </w:r>
          <w:r>
            <w:rPr>
              <w:rFonts w:hint="eastAsia"/>
            </w:rPr>
            <w:instrText xml:space="preserve"> HYPERLINK  \l "_Toc162548747"</w:instrText>
          </w:r>
          <w:r>
            <w:rPr>
              <w:rFonts w:hint="eastAsia"/>
            </w:rPr>
            <w:fldChar w:fldCharType="separate"/>
          </w:r>
          <w:r>
            <w:rPr>
              <w:rFonts w:hint="default"/>
            </w:rPr>
            <w:t>102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"_Toc162548748"</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八街市の状況</w:t>
          </w:r>
          <w:r>
            <w:rPr>
              <w:rFonts w:hint="default"/>
            </w:rPr>
            <w:tab/>
          </w:r>
          <w:r>
            <w:rPr>
              <w:rFonts w:hint="eastAsia"/>
            </w:rPr>
            <w:fldChar w:fldCharType="end"/>
          </w:r>
          <w:r>
            <w:rPr>
              <w:rFonts w:hint="eastAsia"/>
            </w:rPr>
            <w:fldChar w:fldCharType="begin"/>
          </w:r>
          <w:r>
            <w:rPr>
              <w:rFonts w:hint="default"/>
            </w:rPr>
            <w:instrText xml:space="preserve"> PAGEREF _Toc162548748 \h </w:instrText>
          </w:r>
          <w:r>
            <w:rPr>
              <w:rFonts w:hint="eastAsia"/>
            </w:rPr>
            <w:fldChar w:fldCharType="separate"/>
          </w:r>
          <w:r>
            <w:rPr>
              <w:rFonts w:hint="eastAsia"/>
            </w:rPr>
            <w:fldChar w:fldCharType="begin"/>
          </w:r>
          <w:r>
            <w:rPr>
              <w:rFonts w:hint="eastAsia"/>
            </w:rPr>
            <w:instrText xml:space="preserve"> HYPERLINK  \l "_Toc162548748"</w:instrText>
          </w:r>
          <w:r>
            <w:rPr>
              <w:rFonts w:hint="eastAsia"/>
            </w:rPr>
            <w:fldChar w:fldCharType="separate"/>
          </w:r>
          <w:r>
            <w:rPr>
              <w:rFonts w:hint="default"/>
            </w:rPr>
            <w:t>103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"_Toc162548749"</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国の示す目標</w:t>
          </w:r>
          <w:r>
            <w:rPr>
              <w:rFonts w:hint="default"/>
            </w:rPr>
            <w:tab/>
          </w:r>
          <w:r>
            <w:rPr>
              <w:rFonts w:hint="eastAsia"/>
            </w:rPr>
            <w:fldChar w:fldCharType="end"/>
          </w:r>
          <w:r>
            <w:rPr>
              <w:rFonts w:hint="eastAsia"/>
            </w:rPr>
            <w:fldChar w:fldCharType="begin"/>
          </w:r>
          <w:r>
            <w:rPr>
              <w:rFonts w:hint="default"/>
            </w:rPr>
            <w:instrText xml:space="preserve"> PAGEREF _Toc162548749 \h </w:instrText>
          </w:r>
          <w:r>
            <w:rPr>
              <w:rFonts w:hint="eastAsia"/>
            </w:rPr>
            <w:fldChar w:fldCharType="separate"/>
          </w:r>
          <w:r>
            <w:rPr>
              <w:rFonts w:hint="eastAsia"/>
            </w:rPr>
            <w:fldChar w:fldCharType="begin"/>
          </w:r>
          <w:r>
            <w:rPr>
              <w:rFonts w:hint="eastAsia"/>
            </w:rPr>
            <w:instrText xml:space="preserve"> HYPERLINK  \l "_Toc162548749"</w:instrText>
          </w:r>
          <w:r>
            <w:rPr>
              <w:rFonts w:hint="eastAsia"/>
            </w:rPr>
            <w:fldChar w:fldCharType="separate"/>
          </w:r>
          <w:r>
            <w:rPr>
              <w:rFonts w:hint="default"/>
            </w:rPr>
            <w:t>108</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"_Toc162548750"</w:instrText>
          </w:r>
          <w:r>
            <w:rPr>
              <w:rFonts w:hint="eastAsia"/>
            </w:rPr>
            <w:fldChar w:fldCharType="separate"/>
          </w:r>
          <w:r>
            <w:rPr>
              <w:rFonts w:hint="default"/>
            </w:rPr>
            <w:t>（</w:t>
          </w:r>
          <w:r>
            <w:rPr>
              <w:rFonts w:hint="default"/>
            </w:rPr>
            <w:t>4</w:t>
          </w:r>
          <w:r>
            <w:rPr>
              <w:rFonts w:hint="default"/>
            </w:rPr>
            <w:t>）</w:t>
          </w:r>
          <w:r>
            <w:rPr>
              <w:rFonts w:hint="default"/>
            </w:rPr>
            <w:t xml:space="preserve"> </w:t>
          </w:r>
          <w:r>
            <w:rPr>
              <w:rFonts w:hint="default"/>
            </w:rPr>
            <w:t>八街市の目標</w:t>
          </w:r>
          <w:r>
            <w:rPr>
              <w:rFonts w:hint="default"/>
            </w:rPr>
            <w:tab/>
          </w:r>
          <w:r>
            <w:rPr>
              <w:rFonts w:hint="eastAsia"/>
            </w:rPr>
            <w:fldChar w:fldCharType="end"/>
          </w:r>
          <w:r>
            <w:rPr>
              <w:rFonts w:hint="eastAsia"/>
            </w:rPr>
            <w:fldChar w:fldCharType="begin"/>
          </w:r>
          <w:r>
            <w:rPr>
              <w:rFonts w:hint="default"/>
            </w:rPr>
            <w:instrText xml:space="preserve"> PAGEREF _Toc162548750 \h </w:instrText>
          </w:r>
          <w:r>
            <w:rPr>
              <w:rFonts w:hint="eastAsia"/>
            </w:rPr>
            <w:fldChar w:fldCharType="separate"/>
          </w:r>
          <w:r>
            <w:rPr>
              <w:rFonts w:hint="eastAsia"/>
            </w:rPr>
            <w:fldChar w:fldCharType="begin"/>
          </w:r>
          <w:r>
            <w:rPr>
              <w:rFonts w:hint="eastAsia"/>
            </w:rPr>
            <w:instrText xml:space="preserve"> HYPERLINK  \l "_Toc162548750"</w:instrText>
          </w:r>
          <w:r>
            <w:rPr>
              <w:rFonts w:hint="eastAsia"/>
            </w:rPr>
            <w:fldChar w:fldCharType="separate"/>
          </w:r>
          <w:r>
            <w:rPr>
              <w:rFonts w:hint="default"/>
            </w:rPr>
            <w:t>108</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"_Toc162548751"</w:instrText>
          </w:r>
          <w:r>
            <w:rPr>
              <w:rFonts w:hint="eastAsia"/>
            </w:rPr>
            <w:fldChar w:fldCharType="separate"/>
          </w:r>
          <w:r>
            <w:rPr>
              <w:rFonts w:hint="default"/>
            </w:rPr>
            <w:t xml:space="preserve">3 </w:t>
          </w:r>
          <w:r>
            <w:rPr>
              <w:rFonts w:hint="default"/>
            </w:rPr>
            <w:t>特定健診・特定保健指導の実施方法</w:t>
          </w:r>
          <w:r>
            <w:rPr>
              <w:rFonts w:hint="default"/>
            </w:rPr>
            <w:tab/>
          </w:r>
          <w:r>
            <w:rPr>
              <w:rFonts w:hint="eastAsia"/>
            </w:rPr>
            <w:fldChar w:fldCharType="end"/>
          </w:r>
          <w:r>
            <w:rPr>
              <w:rFonts w:hint="eastAsia"/>
            </w:rPr>
            <w:fldChar w:fldCharType="begin"/>
          </w:r>
          <w:r>
            <w:rPr>
              <w:rFonts w:hint="default"/>
            </w:rPr>
            <w:instrText xml:space="preserve"> PAGEREF _Toc162548751 \h </w:instrText>
          </w:r>
          <w:r>
            <w:rPr>
              <w:rFonts w:hint="eastAsia"/>
            </w:rPr>
            <w:fldChar w:fldCharType="separate"/>
          </w:r>
          <w:r>
            <w:rPr>
              <w:rFonts w:hint="eastAsia"/>
            </w:rPr>
            <w:fldChar w:fldCharType="begin"/>
          </w:r>
          <w:r>
            <w:rPr>
              <w:rFonts w:hint="eastAsia"/>
            </w:rPr>
            <w:instrText xml:space="preserve"> HYPERLINK  \l "_Toc162548751"</w:instrText>
          </w:r>
          <w:r>
            <w:rPr>
              <w:rFonts w:hint="eastAsia"/>
            </w:rPr>
            <w:fldChar w:fldCharType="separate"/>
          </w:r>
          <w:r>
            <w:rPr>
              <w:rFonts w:hint="default"/>
            </w:rPr>
            <w:t>109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"_Toc162548752"</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特定健診</w:t>
          </w:r>
          <w:r>
            <w:rPr>
              <w:rFonts w:hint="default"/>
            </w:rPr>
            <w:tab/>
          </w:r>
          <w:r>
            <w:rPr>
              <w:rFonts w:hint="eastAsia"/>
            </w:rPr>
            <w:fldChar w:fldCharType="end"/>
          </w:r>
          <w:r>
            <w:rPr>
              <w:rFonts w:hint="eastAsia"/>
            </w:rPr>
            <w:fldChar w:fldCharType="begin"/>
          </w:r>
          <w:r>
            <w:rPr>
              <w:rFonts w:hint="default"/>
            </w:rPr>
            <w:instrText xml:space="preserve"> PAGEREF _Toc162548752 \h </w:instrText>
          </w:r>
          <w:r>
            <w:rPr>
              <w:rFonts w:hint="eastAsia"/>
            </w:rPr>
            <w:fldChar w:fldCharType="separate"/>
          </w:r>
          <w:r>
            <w:rPr>
              <w:rFonts w:hint="eastAsia"/>
            </w:rPr>
            <w:fldChar w:fldCharType="begin"/>
          </w:r>
          <w:r>
            <w:rPr>
              <w:rFonts w:hint="eastAsia"/>
            </w:rPr>
            <w:instrText xml:space="preserve"> HYPERLINK  \l "_Toc162548752"</w:instrText>
          </w:r>
          <w:r>
            <w:rPr>
              <w:rFonts w:hint="eastAsia"/>
            </w:rPr>
            <w:fldChar w:fldCharType="separate"/>
          </w:r>
          <w:r>
            <w:rPr>
              <w:rFonts w:hint="default"/>
            </w:rPr>
            <w:t>109</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"_Toc162548753"</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特定保健指導</w:t>
          </w:r>
          <w:r>
            <w:rPr>
              <w:rFonts w:hint="default"/>
            </w:rPr>
            <w:tab/>
          </w:r>
          <w:r>
            <w:rPr>
              <w:rFonts w:hint="eastAsia"/>
            </w:rPr>
            <w:fldChar w:fldCharType="end"/>
          </w:r>
          <w:r>
            <w:rPr>
              <w:rFonts w:hint="eastAsia"/>
            </w:rPr>
            <w:fldChar w:fldCharType="begin"/>
          </w:r>
          <w:r>
            <w:rPr>
              <w:rFonts w:hint="default"/>
            </w:rPr>
            <w:instrText xml:space="preserve"> PAGEREF _Toc162548753 \h </w:instrText>
          </w:r>
          <w:r>
            <w:rPr>
              <w:rFonts w:hint="eastAsia"/>
            </w:rPr>
            <w:fldChar w:fldCharType="separate"/>
          </w:r>
          <w:r>
            <w:rPr>
              <w:rFonts w:hint="eastAsia"/>
            </w:rPr>
            <w:fldChar w:fldCharType="begin"/>
          </w:r>
          <w:r>
            <w:rPr>
              <w:rFonts w:hint="eastAsia"/>
            </w:rPr>
            <w:instrText xml:space="preserve"> HYPERLINK  \l "_Toc162548753"</w:instrText>
          </w:r>
          <w:r>
            <w:rPr>
              <w:rFonts w:hint="eastAsia"/>
            </w:rPr>
            <w:fldChar w:fldCharType="separate"/>
          </w:r>
          <w:r>
            <w:rPr>
              <w:rFonts w:hint="default"/>
            </w:rPr>
            <w:t>111</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"_Toc162548754"</w:instrText>
          </w:r>
          <w:r>
            <w:rPr>
              <w:rFonts w:hint="eastAsia"/>
            </w:rPr>
            <w:fldChar w:fldCharType="separate"/>
          </w:r>
          <w:r>
            <w:rPr>
              <w:rFonts w:hint="default"/>
            </w:rPr>
            <w:t xml:space="preserve">4 </w:t>
          </w:r>
          <w:r>
            <w:rPr>
              <w:rFonts w:hint="default"/>
            </w:rPr>
            <w:t>特定健診受診率・特定保健指導実施率向上に向けた主な取組</w:t>
          </w:r>
          <w:r>
            <w:rPr>
              <w:rFonts w:hint="default"/>
            </w:rPr>
            <w:tab/>
          </w:r>
          <w:r>
            <w:rPr>
              <w:rFonts w:hint="eastAsia"/>
            </w:rPr>
            <w:fldChar w:fldCharType="end"/>
          </w:r>
          <w:r>
            <w:rPr>
              <w:rFonts w:hint="eastAsia"/>
            </w:rPr>
            <w:fldChar w:fldCharType="begin"/>
          </w:r>
          <w:r>
            <w:rPr>
              <w:rFonts w:hint="default"/>
            </w:rPr>
            <w:instrText xml:space="preserve"> PAGEREF _Toc162548754 \h </w:instrText>
          </w:r>
          <w:r>
            <w:rPr>
              <w:rFonts w:hint="eastAsia"/>
            </w:rPr>
            <w:fldChar w:fldCharType="separate"/>
          </w:r>
          <w:r>
            <w:rPr>
              <w:rFonts w:hint="eastAsia"/>
            </w:rPr>
            <w:fldChar w:fldCharType="begin"/>
          </w:r>
          <w:r>
            <w:rPr>
              <w:rFonts w:hint="eastAsia"/>
            </w:rPr>
            <w:instrText xml:space="preserve"> HYPERLINK  \l "_Toc162548754"</w:instrText>
          </w:r>
          <w:r>
            <w:rPr>
              <w:rFonts w:hint="eastAsia"/>
            </w:rPr>
            <w:fldChar w:fldCharType="separate"/>
          </w:r>
          <w:r>
            <w:rPr>
              <w:rFonts w:hint="default"/>
            </w:rPr>
            <w:t>112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"_Toc162548755"</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特定健診</w:t>
          </w:r>
          <w:r>
            <w:rPr>
              <w:rFonts w:hint="default"/>
            </w:rPr>
            <w:tab/>
          </w:r>
          <w:r>
            <w:rPr>
              <w:rFonts w:hint="eastAsia"/>
            </w:rPr>
            <w:fldChar w:fldCharType="end"/>
          </w:r>
          <w:r>
            <w:rPr>
              <w:rFonts w:hint="eastAsia"/>
            </w:rPr>
            <w:fldChar w:fldCharType="begin"/>
          </w:r>
          <w:r>
            <w:rPr>
              <w:rFonts w:hint="default"/>
            </w:rPr>
            <w:instrText xml:space="preserve"> PAGEREF _Toc162548755 \h </w:instrText>
          </w:r>
          <w:r>
            <w:rPr>
              <w:rFonts w:hint="eastAsia"/>
            </w:rPr>
            <w:fldChar w:fldCharType="separate"/>
          </w:r>
          <w:r>
            <w:rPr>
              <w:rFonts w:hint="eastAsia"/>
            </w:rPr>
            <w:fldChar w:fldCharType="begin"/>
          </w:r>
          <w:r>
            <w:rPr>
              <w:rFonts w:hint="eastAsia"/>
            </w:rPr>
            <w:instrText xml:space="preserve"> HYPERLINK  \l "_Toc162548755"</w:instrText>
          </w:r>
          <w:r>
            <w:rPr>
              <w:rFonts w:hint="eastAsia"/>
            </w:rPr>
            <w:fldChar w:fldCharType="separate"/>
          </w:r>
          <w:r>
            <w:rPr>
              <w:rFonts w:hint="default"/>
            </w:rPr>
            <w:t>112</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"_Toc162548756"</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特定保健指導</w:t>
          </w:r>
          <w:r>
            <w:rPr>
              <w:rFonts w:hint="default"/>
            </w:rPr>
            <w:tab/>
          </w:r>
          <w:r>
            <w:rPr>
              <w:rFonts w:hint="eastAsia"/>
            </w:rPr>
            <w:fldChar w:fldCharType="end"/>
          </w:r>
          <w:r>
            <w:rPr>
              <w:rFonts w:hint="eastAsia"/>
            </w:rPr>
            <w:fldChar w:fldCharType="begin"/>
          </w:r>
          <w:r>
            <w:rPr>
              <w:rFonts w:hint="default"/>
            </w:rPr>
            <w:instrText xml:space="preserve"> PAGEREF _Toc162548756 \h </w:instrText>
          </w:r>
          <w:r>
            <w:rPr>
              <w:rFonts w:hint="eastAsia"/>
            </w:rPr>
            <w:fldChar w:fldCharType="separate"/>
          </w:r>
          <w:r>
            <w:rPr>
              <w:rFonts w:hint="eastAsia"/>
            </w:rPr>
            <w:fldChar w:fldCharType="begin"/>
          </w:r>
          <w:r>
            <w:rPr>
              <w:rFonts w:hint="eastAsia"/>
            </w:rPr>
            <w:instrText xml:space="preserve"> HYPERLINK  \l "_Toc162548756"</w:instrText>
          </w:r>
          <w:r>
            <w:rPr>
              <w:rFonts w:hint="eastAsia"/>
            </w:rPr>
            <w:fldChar w:fldCharType="separate"/>
          </w:r>
          <w:r>
            <w:rPr>
              <w:rFonts w:hint="default"/>
            </w:rPr>
            <w:t>112</w:t>
          </w:r>
          <w:r>
            <w:rPr>
              <w:rFonts w:hint="eastAsia"/>
            </w:rPr>
            <w:fldChar w:fldCharType="end"/>
          </w:r>
          <w:r>
            <w:rPr>
              <w:rFonts w:hint="eastAsia"/>
            </w:rPr>
            <w:fldChar w:fldCharType="end"/>
          </w:r>
        </w:p>
        <w:p>
          <w:pPr>
            <w:pStyle w:val="27"/>
            <w:rPr>
              <w:rFonts w:hint="default" w:asciiTheme="minorHAnsi" w:hAnsiTheme="minorHAnsi" w:eastAsiaTheme="minorEastAsia"/>
              <w:kern w:val="2"/>
            </w:rPr>
          </w:pPr>
          <w:r>
            <w:rPr>
              <w:rFonts w:hint="eastAsia"/>
            </w:rPr>
            <w:fldChar w:fldCharType="begin"/>
          </w:r>
          <w:r>
            <w:rPr>
              <w:rFonts w:hint="eastAsia"/>
            </w:rPr>
            <w:instrText xml:space="preserve"> HYPERLINK  \l "_Toc162548757"</w:instrText>
          </w:r>
          <w:r>
            <w:rPr>
              <w:rFonts w:hint="eastAsia"/>
            </w:rPr>
            <w:fldChar w:fldCharType="separate"/>
          </w:r>
          <w:r>
            <w:rPr>
              <w:rFonts w:hint="default"/>
            </w:rPr>
            <w:t xml:space="preserve">5 </w:t>
          </w:r>
          <w:r>
            <w:rPr>
              <w:rFonts w:hint="default"/>
            </w:rPr>
            <w:t>その他</w:t>
          </w:r>
          <w:r>
            <w:rPr>
              <w:rFonts w:hint="default"/>
            </w:rPr>
            <w:tab/>
          </w:r>
          <w:r>
            <w:rPr>
              <w:rFonts w:hint="eastAsia"/>
            </w:rPr>
            <w:fldChar w:fldCharType="end"/>
          </w:r>
          <w:r>
            <w:rPr>
              <w:rFonts w:hint="eastAsia"/>
            </w:rPr>
            <w:fldChar w:fldCharType="begin"/>
          </w:r>
          <w:r>
            <w:rPr>
              <w:rFonts w:hint="default"/>
            </w:rPr>
            <w:instrText xml:space="preserve"> PAGEREF _Toc162548757 \h </w:instrText>
          </w:r>
          <w:r>
            <w:rPr>
              <w:rFonts w:hint="eastAsia"/>
            </w:rPr>
            <w:fldChar w:fldCharType="separate"/>
          </w:r>
          <w:r>
            <w:rPr>
              <w:rFonts w:hint="eastAsia"/>
            </w:rPr>
            <w:fldChar w:fldCharType="begin"/>
          </w:r>
          <w:r>
            <w:rPr>
              <w:rFonts w:hint="eastAsia"/>
            </w:rPr>
            <w:instrText xml:space="preserve"> HYPERLINK  \l "_Toc162548757"</w:instrText>
          </w:r>
          <w:r>
            <w:rPr>
              <w:rFonts w:hint="eastAsia"/>
            </w:rPr>
            <w:fldChar w:fldCharType="separate"/>
          </w:r>
          <w:r>
            <w:rPr>
              <w:rFonts w:hint="default"/>
            </w:rPr>
            <w:t>113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"_Toc162548758"</w:instrText>
          </w:r>
          <w:r>
            <w:rPr>
              <w:rFonts w:hint="eastAsia"/>
            </w:rPr>
            <w:fldChar w:fldCharType="separate"/>
          </w:r>
          <w:r>
            <w:rPr>
              <w:rFonts w:hint="default"/>
            </w:rPr>
            <w:t>（</w:t>
          </w:r>
          <w:r>
            <w:rPr>
              <w:rFonts w:hint="default"/>
            </w:rPr>
            <w:t>1</w:t>
          </w:r>
          <w:r>
            <w:rPr>
              <w:rFonts w:hint="default"/>
            </w:rPr>
            <w:t>）</w:t>
          </w:r>
          <w:r>
            <w:rPr>
              <w:rFonts w:hint="default"/>
            </w:rPr>
            <w:t xml:space="preserve"> </w:t>
          </w:r>
          <w:r>
            <w:rPr>
              <w:rFonts w:hint="default"/>
            </w:rPr>
            <w:t>計画の公表・周知</w:t>
          </w:r>
          <w:r>
            <w:rPr>
              <w:rFonts w:hint="default"/>
            </w:rPr>
            <w:tab/>
          </w:r>
          <w:r>
            <w:rPr>
              <w:rFonts w:hint="eastAsia"/>
            </w:rPr>
            <w:fldChar w:fldCharType="end"/>
          </w:r>
          <w:r>
            <w:rPr>
              <w:rFonts w:hint="eastAsia"/>
            </w:rPr>
            <w:fldChar w:fldCharType="begin"/>
          </w:r>
          <w:r>
            <w:rPr>
              <w:rFonts w:hint="default"/>
            </w:rPr>
            <w:instrText xml:space="preserve"> PAGEREF _Toc162548758 \h </w:instrText>
          </w:r>
          <w:r>
            <w:rPr>
              <w:rFonts w:hint="eastAsia"/>
            </w:rPr>
            <w:fldChar w:fldCharType="separate"/>
          </w:r>
          <w:r>
            <w:rPr>
              <w:rFonts w:hint="eastAsia"/>
            </w:rPr>
            <w:fldChar w:fldCharType="begin"/>
          </w:r>
          <w:r>
            <w:rPr>
              <w:rFonts w:hint="eastAsia"/>
            </w:rPr>
            <w:instrText xml:space="preserve"> HYPERLINK  \l "_Toc162548758"</w:instrText>
          </w:r>
          <w:r>
            <w:rPr>
              <w:rFonts w:hint="eastAsia"/>
            </w:rPr>
            <w:fldChar w:fldCharType="separate"/>
          </w:r>
          <w:r>
            <w:rPr>
              <w:rFonts w:hint="default"/>
            </w:rPr>
            <w:t>113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"_Toc162548759"</w:instrText>
          </w:r>
          <w:r>
            <w:rPr>
              <w:rFonts w:hint="eastAsia"/>
            </w:rPr>
            <w:fldChar w:fldCharType="separate"/>
          </w:r>
          <w:r>
            <w:rPr>
              <w:rFonts w:hint="default"/>
            </w:rPr>
            <w:t>（</w:t>
          </w:r>
          <w:r>
            <w:rPr>
              <w:rFonts w:hint="default"/>
            </w:rPr>
            <w:t>2</w:t>
          </w:r>
          <w:r>
            <w:rPr>
              <w:rFonts w:hint="default"/>
            </w:rPr>
            <w:t>）</w:t>
          </w:r>
          <w:r>
            <w:rPr>
              <w:rFonts w:hint="default"/>
            </w:rPr>
            <w:t xml:space="preserve"> </w:t>
          </w:r>
          <w:r>
            <w:rPr>
              <w:rFonts w:hint="default"/>
            </w:rPr>
            <w:t>個人情報の保護</w:t>
          </w:r>
          <w:r>
            <w:rPr>
              <w:rFonts w:hint="default"/>
            </w:rPr>
            <w:tab/>
          </w:r>
          <w:r>
            <w:rPr>
              <w:rFonts w:hint="eastAsia"/>
            </w:rPr>
            <w:fldChar w:fldCharType="end"/>
          </w:r>
          <w:r>
            <w:rPr>
              <w:rFonts w:hint="eastAsia"/>
            </w:rPr>
            <w:fldChar w:fldCharType="begin"/>
          </w:r>
          <w:r>
            <w:rPr>
              <w:rFonts w:hint="default"/>
            </w:rPr>
            <w:instrText xml:space="preserve"> PAGEREF _Toc162548759 \h </w:instrText>
          </w:r>
          <w:r>
            <w:rPr>
              <w:rFonts w:hint="eastAsia"/>
            </w:rPr>
            <w:fldChar w:fldCharType="separate"/>
          </w:r>
          <w:r>
            <w:rPr>
              <w:rFonts w:hint="eastAsia"/>
            </w:rPr>
            <w:fldChar w:fldCharType="begin"/>
          </w:r>
          <w:r>
            <w:rPr>
              <w:rFonts w:hint="eastAsia"/>
            </w:rPr>
            <w:instrText xml:space="preserve"> HYPERLINK  \l "_Toc162548759"</w:instrText>
          </w:r>
          <w:r>
            <w:rPr>
              <w:rFonts w:hint="eastAsia"/>
            </w:rPr>
            <w:fldChar w:fldCharType="separate"/>
          </w:r>
          <w:r>
            <w:rPr>
              <w:rFonts w:hint="default"/>
            </w:rPr>
            <w:t>113</w:t>
          </w:r>
          <w:r>
            <w:rPr>
              <w:rFonts w:hint="eastAsia"/>
            </w:rPr>
            <w:fldChar w:fldCharType="end"/>
          </w:r>
          <w:r>
            <w:rPr>
              <w:rFonts w:hint="eastAsia"/>
            </w:rPr>
            <w:fldChar w:fldCharType="end"/>
          </w:r>
        </w:p>
        <w:p>
          <w:pPr>
            <w:pStyle w:val="28"/>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"_Toc162548760"</w:instrText>
          </w:r>
          <w:r>
            <w:rPr>
              <w:rFonts w:hint="eastAsia"/>
            </w:rPr>
            <w:fldChar w:fldCharType="separate"/>
          </w:r>
          <w:r>
            <w:rPr>
              <w:rFonts w:hint="default"/>
            </w:rPr>
            <w:t>（</w:t>
          </w:r>
          <w:r>
            <w:rPr>
              <w:rFonts w:hint="default"/>
            </w:rPr>
            <w:t>3</w:t>
          </w:r>
          <w:r>
            <w:rPr>
              <w:rFonts w:hint="default"/>
            </w:rPr>
            <w:t>）</w:t>
          </w:r>
          <w:r>
            <w:rPr>
              <w:rFonts w:hint="default"/>
            </w:rPr>
            <w:t xml:space="preserve"> </w:t>
          </w:r>
          <w:r>
            <w:rPr>
              <w:rFonts w:hint="default"/>
            </w:rPr>
            <w:t>実施計画の評価・見直し</w:t>
          </w:r>
          <w:r>
            <w:rPr>
              <w:rFonts w:hint="default"/>
            </w:rPr>
            <w:tab/>
          </w:r>
          <w:r>
            <w:rPr>
              <w:rFonts w:hint="eastAsia"/>
            </w:rPr>
            <w:fldChar w:fldCharType="end"/>
          </w:r>
          <w:r>
            <w:rPr>
              <w:rFonts w:hint="eastAsia"/>
            </w:rPr>
            <w:fldChar w:fldCharType="begin"/>
          </w:r>
          <w:r>
            <w:rPr>
              <w:rFonts w:hint="default"/>
            </w:rPr>
            <w:instrText xml:space="preserve"> PAGEREF _Toc162548760 \h </w:instrText>
          </w:r>
          <w:r>
            <w:rPr>
              <w:rFonts w:hint="eastAsia"/>
            </w:rPr>
            <w:fldChar w:fldCharType="separate"/>
          </w:r>
          <w:r>
            <w:rPr>
              <w:rFonts w:hint="eastAsia"/>
            </w:rPr>
            <w:fldChar w:fldCharType="begin"/>
          </w:r>
          <w:r>
            <w:rPr>
              <w:rFonts w:hint="eastAsia"/>
            </w:rPr>
            <w:instrText xml:space="preserve"> HYPERLINK  \l "_Toc162548760"</w:instrText>
          </w:r>
          <w:r>
            <w:rPr>
              <w:rFonts w:hint="eastAsia"/>
            </w:rPr>
            <w:fldChar w:fldCharType="separate"/>
          </w:r>
          <w:r>
            <w:rPr>
              <w:rFonts w:hint="default"/>
            </w:rPr>
            <w:t>113</w:t>
          </w:r>
          <w:r>
            <w:rPr>
              <w:rFonts w:hint="eastAsia"/>
            </w:rPr>
            <w:fldChar w:fldCharType="end"/>
          </w:r>
          <w:r>
            <w:rPr>
              <w:rFonts w:hint="eastAsia"/>
            </w:rPr>
            <w:fldChar w:fldCharType="end"/>
          </w:r>
        </w:p>
        <w:p>
          <w:pPr>
            <w:pStyle w:val="26"/>
            <w:spacing w:before="120" w:beforeLines="0" w:beforeAutospacing="0"/>
            <w:rPr>
              <w:rFonts w:hint="default" w:asciiTheme="minorHAnsi" w:hAnsiTheme="minorHAnsi" w:eastAsiaTheme="minorEastAsia"/>
              <w:kern w:val="2"/>
              <w:sz w:val="22"/>
            </w:rPr>
          </w:pPr>
          <w:r>
            <w:rPr>
              <w:rFonts w:hint="eastAsia"/>
            </w:rPr>
            <w:fldChar w:fldCharType="begin"/>
          </w:r>
          <w:r>
            <w:rPr>
              <w:rFonts w:hint="eastAsia"/>
            </w:rPr>
            <w:instrText xml:space="preserve"> HYPERLINK  \l "_Toc162548761"</w:instrText>
          </w:r>
          <w:r>
            <w:rPr>
              <w:rFonts w:hint="eastAsia"/>
            </w:rPr>
            <w:fldChar w:fldCharType="separate"/>
          </w:r>
          <w:r>
            <w:rPr>
              <w:rFonts w:hint="default"/>
            </w:rPr>
            <w:t>参考資料　用語集</w:t>
          </w:r>
          <w:r>
            <w:rPr>
              <w:rFonts w:hint="default"/>
            </w:rPr>
            <w:tab/>
          </w:r>
          <w:r>
            <w:rPr>
              <w:rFonts w:hint="eastAsia"/>
            </w:rPr>
            <w:fldChar w:fldCharType="end"/>
          </w:r>
          <w:r>
            <w:rPr>
              <w:rFonts w:hint="eastAsia"/>
            </w:rPr>
            <w:fldChar w:fldCharType="begin"/>
          </w:r>
          <w:r>
            <w:rPr>
              <w:rFonts w:hint="default"/>
            </w:rPr>
            <w:instrText xml:space="preserve"> PAGEREF _Toc162548761 \h </w:instrText>
          </w:r>
          <w:r>
            <w:rPr>
              <w:rFonts w:hint="eastAsia"/>
            </w:rPr>
            <w:fldChar w:fldCharType="separate"/>
          </w:r>
          <w:r>
            <w:rPr>
              <w:rFonts w:hint="eastAsia"/>
            </w:rPr>
            <w:fldChar w:fldCharType="begin"/>
          </w:r>
          <w:r>
            <w:rPr>
              <w:rFonts w:hint="eastAsia"/>
            </w:rPr>
            <w:instrText xml:space="preserve"> HYPERLINK  \l "_Toc162548761"</w:instrText>
          </w:r>
          <w:r>
            <w:rPr>
              <w:rFonts w:hint="eastAsia"/>
            </w:rPr>
            <w:fldChar w:fldCharType="separate"/>
          </w:r>
          <w:r>
            <w:rPr>
              <w:rFonts w:hint="default"/>
            </w:rPr>
            <w:t>114</w:t>
          </w:r>
          <w:r>
            <w:rPr>
              <w:rFonts w:hint="eastAsia"/>
            </w:rPr>
            <w:fldChar w:fldCharType="end"/>
          </w:r>
          <w:r>
            <w:rPr>
              <w:rFonts w:hint="eastAsia"/>
            </w:rPr>
            <w:fldChar w:fldCharType="end"/>
          </w:r>
        </w:p>
        <w:p>
          <w:pPr>
            <w:pStyle w:val="26"/>
            <w:spacing w:before="120" w:beforeLines="0" w:beforeAutospacing="0"/>
            <w:rPr>
              <w:rStyle w:val="29"/>
              <w:rFonts w:hint="default"/>
              <w:kern w:val="2"/>
            </w:rPr>
          </w:pPr>
          <w:r>
            <w:rPr>
              <w:rFonts w:hint="default"/>
            </w:rPr>
            <w:fldChar w:fldCharType="end"/>
          </w:r>
        </w:p>
      </w:sdtContent>
    </w:sdt>
    <w:p>
      <w:pPr>
        <w:pStyle w:val="0"/>
        <w:tabs>
          <w:tab w:val="right" w:leader="none" w:pos="10204"/>
        </w:tabs>
        <w:spacing w:before="60" w:beforeLines="0" w:beforeAutospacing="0" w:line="240" w:lineRule="auto"/>
        <w:rPr>
          <w:rFonts w:hint="default"/>
        </w:rPr>
      </w:pPr>
      <w:r>
        <w:rPr>
          <w:rFonts w:hint="default"/>
        </w:rPr>
        <w:br w:type="page"/>
      </w:r>
    </w:p>
    <w:p>
      <w:pPr>
        <w:rPr>
          <w:rFonts w:hint="default"/>
        </w:rPr>
        <w:sectPr>
          <w:headerReference r:id="rId6" w:type="default"/>
          <w:footerReference r:id="rId8" w:type="even"/>
          <w:footerReference r:id="rId9" w:type="default"/>
          <w:footerReference r:id="rId7" w:type="first"/>
          <w:type w:val="continuous"/>
          <w:pgSz w:w="11909" w:h="16834"/>
          <w:pgMar w:top="1440" w:right="1440" w:bottom="1440" w:left="1797" w:header="720" w:footer="720" w:gutter="0"/>
          <w:pgNumType w:start="1"/>
          <w:cols w:space="720"/>
          <w:titlePg w:val="1"/>
          <w:textDirection w:val="lrTb"/>
          <w:docGrid w:linePitch="272"/>
        </w:sectPr>
      </w:pPr>
    </w:p>
    <w:p>
      <w:pPr>
        <w:pStyle w:val="1"/>
        <w:rPr>
          <w:rFonts w:hint="default"/>
        </w:rPr>
      </w:pPr>
      <w:bookmarkStart w:id="1" w:name="_Toc162548667"/>
      <w:r>
        <w:rPr>
          <w:rFonts w:hint="default"/>
        </w:rPr>
        <w:t>基本的事項</w:t>
      </w:r>
      <w:bookmarkEnd w:id="1"/>
    </w:p>
    <w:p>
      <w:pPr>
        <w:pStyle w:val="2"/>
        <w:rPr>
          <w:rFonts w:hint="default"/>
        </w:rPr>
      </w:pPr>
      <w:bookmarkStart w:id="2" w:name="_Toc162548668"/>
      <w:r>
        <w:rPr>
          <w:rFonts w:hint="default"/>
        </w:rPr>
        <w:t>計画の趣旨</w:t>
      </w:r>
      <w:bookmarkEnd w:id="2"/>
    </w:p>
    <w:p>
      <w:pPr>
        <w:pStyle w:val="39"/>
        <w:ind w:firstLine="200"/>
        <w:rPr>
          <w:rFonts w:hint="default"/>
        </w:rPr>
      </w:pPr>
      <w:r>
        <w:rPr>
          <w:rFonts w:hint="default"/>
        </w:rPr>
        <w:t>平成</w:t>
      </w:r>
      <w:r>
        <w:rPr>
          <w:rFonts w:hint="default"/>
        </w:rPr>
        <w:t>25</w:t>
      </w:r>
      <w:r>
        <w:rPr>
          <w:rFonts w:hint="default"/>
        </w:rPr>
        <w:t>年</w:t>
      </w:r>
      <w:r>
        <w:rPr>
          <w:rFonts w:hint="eastAsia"/>
        </w:rPr>
        <w:t>6</w:t>
      </w:r>
      <w:r>
        <w:rPr>
          <w:rFonts w:hint="eastAsia"/>
        </w:rPr>
        <w:t>月</w:t>
      </w:r>
      <w:r>
        <w:rPr>
          <w:rFonts w:hint="default"/>
        </w:rPr>
        <w:t>に閣議決定された「日本再興戦略」において、「</w:t>
      </w:r>
      <w:r>
        <w:rPr>
          <w:rFonts w:hint="eastAsia"/>
        </w:rPr>
        <w:t>全</w:t>
      </w:r>
      <w:r>
        <w:rPr>
          <w:rFonts w:hint="default"/>
        </w:rPr>
        <w:t>ての健康保険組合に対し、レセプト等のデータの分析、それに基づく加入者の健康保持増進のための事業計画として「</w:t>
      </w:r>
      <w:r>
        <w:rPr>
          <w:rFonts w:hint="eastAsia"/>
        </w:rPr>
        <w:t>データヘルス</w:t>
      </w:r>
      <w:r>
        <w:rPr>
          <w:rFonts w:hint="default"/>
        </w:rPr>
        <w:t>計画」の作成</w:t>
      </w:r>
      <w:r>
        <w:rPr>
          <w:rFonts w:hint="eastAsia"/>
        </w:rPr>
        <w:t>・</w:t>
      </w:r>
      <w:r>
        <w:rPr>
          <w:rFonts w:hint="default"/>
        </w:rPr>
        <w:t>公表、事業実施、評価等の取組を求めるとともに、市町村国保が同様の取組を行う</w:t>
      </w:r>
      <w:r>
        <w:rPr>
          <w:rFonts w:hint="eastAsia"/>
        </w:rPr>
        <w:t>ことを推進する。</w:t>
      </w:r>
      <w:r>
        <w:rPr>
          <w:rFonts w:hint="default"/>
        </w:rPr>
        <w:t>」</w:t>
      </w:r>
      <w:r>
        <w:rPr>
          <w:rFonts w:hint="eastAsia"/>
        </w:rPr>
        <w:t>ことが示された</w:t>
      </w:r>
      <w:r>
        <w:rPr>
          <w:rFonts w:hint="default"/>
        </w:rPr>
        <w:t>。これを踏まえ、平成</w:t>
      </w:r>
      <w:r>
        <w:rPr>
          <w:rFonts w:hint="default"/>
        </w:rPr>
        <w:t>26</w:t>
      </w:r>
      <w:r>
        <w:rPr>
          <w:rFonts w:hint="default"/>
        </w:rPr>
        <w:t>年</w:t>
      </w:r>
      <w:r>
        <w:rPr>
          <w:rFonts w:hint="eastAsia"/>
        </w:rPr>
        <w:t>3</w:t>
      </w:r>
      <w:r>
        <w:rPr>
          <w:rFonts w:hint="eastAsia"/>
        </w:rPr>
        <w:t>月</w:t>
      </w:r>
      <w:r>
        <w:rPr>
          <w:rFonts w:hint="default"/>
        </w:rPr>
        <w:t>に</w:t>
      </w:r>
      <w:r>
        <w:rPr>
          <w:rFonts w:hint="eastAsia"/>
        </w:rPr>
        <w:t>「</w:t>
      </w:r>
      <w:r>
        <w:rPr>
          <w:rFonts w:hint="default"/>
        </w:rPr>
        <w:t>国民健康保険法に基づく保健事業の実施等に関する指針</w:t>
      </w:r>
      <w:r>
        <w:rPr>
          <w:rFonts w:hint="eastAsia"/>
        </w:rPr>
        <w:t>」において</w:t>
      </w:r>
      <w:r>
        <w:rPr>
          <w:rFonts w:hint="default"/>
        </w:rPr>
        <w:t>、</w:t>
      </w:r>
      <w:r>
        <w:rPr>
          <w:rFonts w:hint="eastAsia"/>
        </w:rPr>
        <w:t>保険者は</w:t>
      </w:r>
      <w:r>
        <w:rPr>
          <w:rFonts w:hint="default"/>
        </w:rPr>
        <w:t>、</w:t>
      </w:r>
      <w:r>
        <w:rPr>
          <w:rFonts w:hint="eastAsia"/>
        </w:rPr>
        <w:t>「</w:t>
      </w:r>
      <w:r>
        <w:rPr>
          <w:rFonts w:hint="default"/>
        </w:rPr>
        <w:t>健康</w:t>
      </w:r>
      <w:r>
        <w:rPr>
          <w:rFonts w:hint="eastAsia"/>
        </w:rPr>
        <w:t>・</w:t>
      </w:r>
      <w:r>
        <w:rPr>
          <w:rFonts w:hint="default"/>
        </w:rPr>
        <w:t>医療情報を活用して</w:t>
      </w:r>
      <w:r>
        <w:rPr>
          <w:rFonts w:hint="default"/>
        </w:rPr>
        <w:t>PDCA</w:t>
      </w:r>
      <w:r>
        <w:rPr>
          <w:rFonts w:hint="default"/>
        </w:rPr>
        <w:t>サイクルに沿った効果的かつ効率的な保健事業の実施を図るため</w:t>
      </w:r>
      <w:r>
        <w:rPr>
          <w:rFonts w:hint="eastAsia"/>
        </w:rPr>
        <w:t>の</w:t>
      </w:r>
      <w:r>
        <w:rPr>
          <w:rFonts w:hint="default"/>
        </w:rPr>
        <w:t>保健事業の実施</w:t>
      </w:r>
      <w:r>
        <w:rPr>
          <w:rFonts w:hint="eastAsia"/>
        </w:rPr>
        <w:t>計画（データヘルス計画）を策定したうえで、保健事業の実施・評価・改善等を行う」ものとされた。</w:t>
      </w:r>
    </w:p>
    <w:p>
      <w:pPr>
        <w:pStyle w:val="39"/>
        <w:ind w:firstLine="200"/>
        <w:rPr>
          <w:rFonts w:hint="default"/>
        </w:rPr>
      </w:pPr>
      <w:r>
        <w:rPr>
          <w:rFonts w:hint="eastAsia"/>
        </w:rPr>
        <w:t>その後、</w:t>
      </w:r>
      <w:r>
        <w:rPr>
          <w:rFonts w:hint="default"/>
        </w:rPr>
        <w:t>平成</w:t>
      </w:r>
      <w:r>
        <w:rPr>
          <w:rFonts w:hint="eastAsia"/>
        </w:rPr>
        <w:t>30</w:t>
      </w:r>
      <w:r>
        <w:rPr>
          <w:rFonts w:hint="default"/>
        </w:rPr>
        <w:t>年</w:t>
      </w:r>
      <w:r>
        <w:rPr>
          <w:rFonts w:hint="eastAsia"/>
        </w:rPr>
        <w:t>4</w:t>
      </w:r>
      <w:r>
        <w:rPr>
          <w:rFonts w:hint="default"/>
        </w:rPr>
        <w:t>月から都道府県が財政運営の責任主体として共同保険者と</w:t>
      </w:r>
      <w:r>
        <w:rPr>
          <w:rFonts w:hint="eastAsia"/>
        </w:rPr>
        <w:t>なり、また、</w:t>
      </w:r>
      <w:r>
        <w:rPr>
          <w:rFonts w:hint="default"/>
        </w:rPr>
        <w:t>令和</w:t>
      </w:r>
      <w:r>
        <w:rPr>
          <w:rFonts w:hint="eastAsia"/>
        </w:rPr>
        <w:t>2</w:t>
      </w:r>
      <w:r>
        <w:rPr>
          <w:rFonts w:hint="default"/>
        </w:rPr>
        <w:t>年</w:t>
      </w:r>
      <w:r>
        <w:rPr>
          <w:rFonts w:hint="eastAsia"/>
        </w:rPr>
        <w:t>7</w:t>
      </w:r>
      <w:r>
        <w:rPr>
          <w:rFonts w:hint="default"/>
        </w:rPr>
        <w:t>月に閣議決定された「経済財政運営と改革の基本方針</w:t>
      </w:r>
      <w:r>
        <w:rPr>
          <w:rFonts w:hint="default"/>
        </w:rPr>
        <w:t>2020</w:t>
      </w:r>
      <w:r>
        <w:rPr>
          <w:rFonts w:hint="eastAsia"/>
        </w:rPr>
        <w:t>（骨太方針</w:t>
      </w:r>
      <w:r>
        <w:rPr>
          <w:rFonts w:hint="default"/>
        </w:rPr>
        <w:t>2020</w:t>
      </w:r>
      <w:r>
        <w:rPr>
          <w:rFonts w:hint="default"/>
        </w:rPr>
        <w:t>）」において、</w:t>
      </w:r>
      <w:r>
        <w:rPr>
          <w:rFonts w:hint="eastAsia"/>
        </w:rPr>
        <w:t>「</w:t>
      </w:r>
      <w:r>
        <w:rPr>
          <w:rFonts w:hint="default"/>
        </w:rPr>
        <w:t>保険者のデータヘルス計画の標準化等の取組の推</w:t>
      </w:r>
      <w:r>
        <w:rPr>
          <w:rFonts w:hint="eastAsia"/>
        </w:rPr>
        <w:t>進」が掲げられ</w:t>
      </w:r>
      <w:r>
        <w:rPr>
          <w:rFonts w:hint="default"/>
        </w:rPr>
        <w:t>、令和</w:t>
      </w:r>
      <w:r>
        <w:rPr>
          <w:rFonts w:hint="eastAsia"/>
        </w:rPr>
        <w:t>4</w:t>
      </w:r>
      <w:r>
        <w:rPr>
          <w:rFonts w:hint="default"/>
        </w:rPr>
        <w:t>年</w:t>
      </w:r>
      <w:r>
        <w:rPr>
          <w:rFonts w:hint="default"/>
        </w:rPr>
        <w:t>12</w:t>
      </w:r>
      <w:r>
        <w:rPr>
          <w:rFonts w:hint="default"/>
        </w:rPr>
        <w:t>月に経済財政諮問会議における「新経済・財政再生計画改革工程表</w:t>
      </w:r>
      <w:r>
        <w:rPr>
          <w:rFonts w:hint="default"/>
        </w:rPr>
        <w:t>202</w:t>
      </w:r>
      <w:r>
        <w:rPr>
          <w:rFonts w:hint="eastAsia"/>
        </w:rPr>
        <w:t>2</w:t>
      </w:r>
      <w:r>
        <w:rPr>
          <w:rFonts w:hint="default"/>
        </w:rPr>
        <w:t>」において、「保険者が策定するデータヘルス計画の手引きの改訂等を</w:t>
      </w:r>
      <w:r>
        <w:rPr>
          <w:rFonts w:hint="eastAsia"/>
        </w:rPr>
        <w:t>行う</w:t>
      </w:r>
      <w:r>
        <w:rPr>
          <w:rFonts w:hint="default"/>
        </w:rPr>
        <w:t>とともに、当該計画の標準化の進展にあたり、保険者共通の評価指標やアウトカムベースでの適切な</w:t>
      </w:r>
      <w:r>
        <w:rPr>
          <w:rFonts w:hint="eastAsia"/>
        </w:rPr>
        <w:t>KPI</w:t>
      </w:r>
      <w:r>
        <w:rPr>
          <w:rFonts w:hint="default"/>
        </w:rPr>
        <w:t>の設定を推進する。」と示された。</w:t>
      </w:r>
    </w:p>
    <w:p>
      <w:pPr>
        <w:pStyle w:val="39"/>
        <w:ind w:firstLine="200"/>
        <w:rPr>
          <w:rFonts w:hint="default"/>
        </w:rPr>
      </w:pPr>
      <w:r>
        <w:rPr>
          <w:rFonts w:hint="default"/>
        </w:rPr>
        <w:t>こうした背景を踏まえ、八街市</w:t>
      </w:r>
      <w:r>
        <w:rPr>
          <w:rFonts w:hint="eastAsia"/>
        </w:rPr>
        <w:t>では</w:t>
      </w:r>
      <w:r>
        <w:rPr>
          <w:rFonts w:hint="default"/>
        </w:rPr>
        <w:t>、</w:t>
      </w:r>
      <w:r>
        <w:rPr>
          <w:rFonts w:hint="eastAsia"/>
        </w:rPr>
        <w:t>被保険者の健康課題を的確に捉え、課題に応じた保健事業を実施することにより、健康の保持増進、生活の質（</w:t>
      </w:r>
      <w:r>
        <w:rPr>
          <w:rFonts w:hint="eastAsia"/>
        </w:rPr>
        <w:t>QOL</w:t>
      </w:r>
      <w:r>
        <w:rPr>
          <w:rFonts w:hint="default"/>
        </w:rPr>
        <w:t>）の維持及び向</w:t>
      </w:r>
      <w:r>
        <w:rPr>
          <w:rFonts w:hint="eastAsia"/>
        </w:rPr>
        <w:t>上を図り、結果として医療費の適正化</w:t>
      </w:r>
      <w:r>
        <w:rPr>
          <w:rFonts w:hint="default"/>
        </w:rPr>
        <w:t>に</w:t>
      </w:r>
      <w:r>
        <w:rPr>
          <w:rFonts w:hint="eastAsia"/>
        </w:rPr>
        <w:t>も</w:t>
      </w:r>
      <w:r>
        <w:rPr>
          <w:rFonts w:hint="default"/>
        </w:rPr>
        <w:t>資する</w:t>
      </w:r>
      <w:r>
        <w:rPr>
          <w:rFonts w:hint="eastAsia"/>
        </w:rPr>
        <w:t>ことを目的とし、データヘルス計画を策定し</w:t>
      </w:r>
      <w:r>
        <w:rPr>
          <w:rFonts w:hint="default"/>
        </w:rPr>
        <w:t>保健事業の実施、評価、改善等を行うこととする。</w:t>
      </w:r>
    </w:p>
    <w:p>
      <w:pPr>
        <w:pStyle w:val="39"/>
        <w:ind w:firstLine="200"/>
        <w:rPr>
          <w:rFonts w:hint="default"/>
        </w:rPr>
      </w:pPr>
    </w:p>
    <w:p>
      <w:pPr>
        <w:pStyle w:val="0"/>
        <w:rPr>
          <w:rFonts w:hint="default"/>
        </w:rPr>
      </w:pPr>
      <w:r>
        <w:rPr>
          <w:rFonts w:hint="default"/>
        </w:rPr>
        <w:br w:type="page"/>
      </w:r>
    </w:p>
    <w:p>
      <w:pPr>
        <w:pStyle w:val="2"/>
        <w:rPr>
          <w:rFonts w:hint="default"/>
        </w:rPr>
      </w:pPr>
      <w:bookmarkStart w:id="3" w:name="_4ewv0leer7q2"/>
      <w:bookmarkEnd w:id="3"/>
      <w:bookmarkStart w:id="4" w:name="_Toc162548669"/>
      <w:r>
        <w:rPr>
          <w:rFonts w:hint="default"/>
        </w:rPr>
        <w:t>計画の位置づけ</w:t>
      </w:r>
      <w:bookmarkEnd w:id="4"/>
    </w:p>
    <w:p>
      <w:pPr>
        <w:pStyle w:val="39"/>
        <w:ind w:firstLine="200"/>
        <w:rPr>
          <w:rFonts w:hint="default"/>
        </w:rPr>
      </w:pPr>
      <w:r>
        <w:rPr>
          <w:rFonts w:hint="default"/>
        </w:rPr>
        <w:t>データヘルス計画とは、「被保険者の健康の保持増進に資することを目的として、保険者が効果的・効率的な保健事業の実施を図るため、特定健康診査・特定保健指導の結果、レセプトデータ等の健康・医療情報を活用して、</w:t>
      </w:r>
      <w:r>
        <w:rPr>
          <w:rFonts w:hint="default"/>
        </w:rPr>
        <w:t>PDCA</w:t>
      </w:r>
      <w:r>
        <w:rPr>
          <w:rFonts w:hint="default"/>
        </w:rPr>
        <w:t>サイクルに沿って運用するもの」とデータヘルス計画策定の手引きにおいて定義されている。（以下、特定健康診査を「特定健診」という。）</w:t>
      </w:r>
    </w:p>
    <w:p>
      <w:pPr>
        <w:pStyle w:val="39"/>
        <w:ind w:firstLine="200"/>
        <w:rPr>
          <w:rFonts w:hint="default"/>
        </w:rPr>
      </w:pPr>
      <w:r>
        <w:rPr>
          <w:rFonts w:hint="default"/>
        </w:rPr>
        <w:t>また、同手引きにおいて、「計画は、健康増進法（平成</w:t>
      </w:r>
      <w:r>
        <w:rPr>
          <w:rFonts w:hint="default"/>
        </w:rPr>
        <w:t>14</w:t>
      </w:r>
      <w:r>
        <w:rPr>
          <w:rFonts w:hint="default"/>
        </w:rPr>
        <w:t>年法律第</w:t>
      </w:r>
      <w:r>
        <w:rPr>
          <w:rFonts w:hint="default"/>
        </w:rPr>
        <w:t>103</w:t>
      </w:r>
      <w:r>
        <w:rPr>
          <w:rFonts w:hint="default"/>
        </w:rPr>
        <w:t>号）に基づく基本方針を踏まえるとともに、都道府県健康増進計画、都道府県医療費適正化計画、介護保険事業（支援）計画、高齢者保健事業の実施計画（以下「後期高齢者データヘルス計画」という。）、国民健康保険運営方針、特定健康診査等実施計画と調和のとれたものとする」ことが求められている。</w:t>
      </w:r>
    </w:p>
    <w:p>
      <w:pPr>
        <w:pStyle w:val="39"/>
        <w:ind w:firstLine="200"/>
        <w:rPr>
          <w:rFonts w:hint="default"/>
        </w:rPr>
      </w:pPr>
      <w:r>
        <w:rPr>
          <w:rFonts w:hint="eastAsia"/>
        </w:rPr>
        <w:t>八街市</w:t>
      </w:r>
      <w:r>
        <w:rPr>
          <w:rFonts w:hint="default"/>
        </w:rPr>
        <w:t>においても、下記の他の計画との整合を図り、各計画における関連事項及び関連目標を踏まえ、データヘルス計画において推進、強化する取組等について検討していく。</w:t>
      </w:r>
    </w:p>
    <w:p>
      <w:pPr>
        <w:pStyle w:val="0"/>
        <w:rPr>
          <w:rFonts w:hint="default"/>
        </w:rPr>
      </w:pPr>
    </w:p>
    <w:tbl>
      <w:tblPr>
        <w:tblStyle w:val="11"/>
        <w:tblW w:w="5000" w:type="pct"/>
        <w:tblInd w:w="0" w:type="dxa"/>
        <w:tblBorders>
          <w:top w:val="single" w:color="00000A" w:sz="4" w:space="0"/>
          <w:left w:val="single" w:color="00000A" w:sz="4" w:space="0"/>
          <w:bottom w:val="single" w:color="00000A" w:sz="4" w:space="0"/>
          <w:right w:val="single" w:color="00000A" w:sz="4" w:space="0"/>
          <w:insideH w:val="single" w:color="00000A" w:sz="4" w:space="0"/>
          <w:insideV w:val="single" w:color="00000A" w:sz="4" w:space="0"/>
        </w:tblBorders>
        <w:tblLayout w:type="fixed"/>
        <w:tblCellMar>
          <w:left w:w="94" w:type="dxa"/>
          <w:right w:w="99" w:type="dxa"/>
        </w:tblCellMar>
        <w:tblLook w:firstRow="1" w:lastRow="1" w:firstColumn="1" w:lastColumn="1" w:noHBand="0" w:noVBand="0" w:val="01E0"/>
      </w:tblPr>
      <w:tblGrid>
        <w:gridCol w:w="352"/>
        <w:gridCol w:w="737"/>
        <w:gridCol w:w="738"/>
        <w:gridCol w:w="738"/>
        <w:gridCol w:w="739"/>
        <w:gridCol w:w="738"/>
        <w:gridCol w:w="739"/>
        <w:gridCol w:w="738"/>
        <w:gridCol w:w="739"/>
        <w:gridCol w:w="738"/>
        <w:gridCol w:w="738"/>
        <w:gridCol w:w="190"/>
        <w:gridCol w:w="549"/>
        <w:gridCol w:w="902"/>
      </w:tblGrid>
      <w:tr>
        <w:trPr>
          <w:trHeight w:val="390" w:hRule="atLeast"/>
        </w:trPr>
        <w:tc>
          <w:tcPr>
            <w:tcW w:w="352" w:type="dxa"/>
            <w:vMerge w:val="restart"/>
            <w:tcBorders>
              <w:top w:val="single" w:color="00000A" w:sz="4" w:space="0"/>
              <w:left w:val="single" w:color="00000A" w:sz="4" w:space="0"/>
              <w:bottom w:val="single" w:color="00000A" w:sz="4" w:space="0"/>
              <w:right w:val="single" w:color="00000A" w:sz="4" w:space="0"/>
              <w:tl2br w:val="none" w:color="auto" w:sz="0" w:space="0"/>
              <w:tr2bl w:val="none" w:color="auto" w:sz="0" w:space="0"/>
            </w:tcBorders>
            <w:shd w:val="clear" w:color="auto" w:fill="CCD6FF"/>
            <w:tcMar>
              <w:left w:w="94" w:type="dxa"/>
            </w:tcMar>
            <w:vAlign w:val="center"/>
          </w:tcPr>
          <w:p>
            <w:pPr>
              <w:pStyle w:val="0"/>
              <w:spacing w:line="240" w:lineRule="auto"/>
              <w:jc w:val="center"/>
              <w:rPr>
                <w:rFonts w:hint="default"/>
                <w:b w:val="1"/>
                <w:color w:val="000000"/>
              </w:rPr>
            </w:pPr>
            <w:r>
              <w:rPr>
                <w:rFonts w:hint="default"/>
                <w:b w:val="1"/>
                <w:color w:val="000000"/>
              </w:rPr>
              <w:t>年度</w:t>
            </w:r>
          </w:p>
        </w:tc>
        <w:tc>
          <w:tcPr>
            <w:tcW w:w="737"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H30</w:t>
            </w:r>
          </w:p>
        </w:tc>
        <w:tc>
          <w:tcPr>
            <w:tcW w:w="738"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R1</w:t>
            </w:r>
          </w:p>
        </w:tc>
        <w:tc>
          <w:tcPr>
            <w:tcW w:w="738"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R2</w:t>
            </w:r>
          </w:p>
        </w:tc>
        <w:tc>
          <w:tcPr>
            <w:tcW w:w="739"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R3</w:t>
            </w:r>
          </w:p>
        </w:tc>
        <w:tc>
          <w:tcPr>
            <w:tcW w:w="738"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R4</w:t>
            </w:r>
          </w:p>
        </w:tc>
        <w:tc>
          <w:tcPr>
            <w:tcW w:w="739"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R5</w:t>
            </w:r>
          </w:p>
        </w:tc>
        <w:tc>
          <w:tcPr>
            <w:tcW w:w="738"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R6</w:t>
            </w:r>
          </w:p>
        </w:tc>
        <w:tc>
          <w:tcPr>
            <w:tcW w:w="739"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R7</w:t>
            </w:r>
          </w:p>
        </w:tc>
        <w:tc>
          <w:tcPr>
            <w:tcW w:w="738"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R8</w:t>
            </w:r>
          </w:p>
        </w:tc>
        <w:tc>
          <w:tcPr>
            <w:tcW w:w="738"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R9</w:t>
            </w:r>
          </w:p>
        </w:tc>
        <w:tc>
          <w:tcPr>
            <w:tcW w:w="739" w:type="dxa"/>
            <w:gridSpan w:val="2"/>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R10</w:t>
            </w:r>
          </w:p>
        </w:tc>
        <w:tc>
          <w:tcPr>
            <w:tcW w:w="902" w:type="dxa"/>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R11</w:t>
            </w:r>
          </w:p>
        </w:tc>
      </w:tr>
      <w:tr>
        <w:trPr>
          <w:trHeight w:val="390" w:hRule="atLeast"/>
        </w:trPr>
        <w:tc>
          <w:tcPr>
            <w:tcW w:w="352" w:type="dxa"/>
            <w:vMerge w:val="continue"/>
            <w:tcBorders>
              <w:top w:val="single" w:color="00000A" w:sz="4" w:space="0"/>
              <w:left w:val="single" w:color="00000A" w:sz="4" w:space="0"/>
              <w:bottom w:val="single" w:color="00000A" w:sz="4" w:space="0"/>
              <w:right w:val="single" w:color="00000A" w:sz="4" w:space="0"/>
              <w:tl2br w:val="none" w:color="auto" w:sz="0" w:space="0"/>
              <w:tr2bl w:val="none" w:color="auto" w:sz="0" w:space="0"/>
            </w:tcBorders>
            <w:shd w:val="clear" w:color="auto" w:fill="CCD6FF"/>
            <w:tcMar>
              <w:left w:w="94" w:type="dxa"/>
            </w:tcMar>
            <w:vAlign w:val="center"/>
          </w:tcPr>
          <w:p>
            <w:pPr>
              <w:pStyle w:val="0"/>
              <w:rPr>
                <w:rFonts w:hint="default"/>
              </w:rPr>
            </w:pPr>
          </w:p>
        </w:tc>
        <w:tc>
          <w:tcPr>
            <w:tcW w:w="737"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2018</w:t>
            </w:r>
          </w:p>
        </w:tc>
        <w:tc>
          <w:tcPr>
            <w:tcW w:w="738"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2019</w:t>
            </w:r>
          </w:p>
        </w:tc>
        <w:tc>
          <w:tcPr>
            <w:tcW w:w="738"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2020</w:t>
            </w:r>
          </w:p>
        </w:tc>
        <w:tc>
          <w:tcPr>
            <w:tcW w:w="739"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2021</w:t>
            </w:r>
          </w:p>
        </w:tc>
        <w:tc>
          <w:tcPr>
            <w:tcW w:w="738"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2022</w:t>
            </w:r>
          </w:p>
        </w:tc>
        <w:tc>
          <w:tcPr>
            <w:tcW w:w="739"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2023</w:t>
            </w:r>
          </w:p>
        </w:tc>
        <w:tc>
          <w:tcPr>
            <w:tcW w:w="738"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2024</w:t>
            </w:r>
          </w:p>
        </w:tc>
        <w:tc>
          <w:tcPr>
            <w:tcW w:w="739"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2025</w:t>
            </w:r>
          </w:p>
        </w:tc>
        <w:tc>
          <w:tcPr>
            <w:tcW w:w="738"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2026</w:t>
            </w:r>
          </w:p>
        </w:tc>
        <w:tc>
          <w:tcPr>
            <w:tcW w:w="738"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2027</w:t>
            </w:r>
          </w:p>
        </w:tc>
        <w:tc>
          <w:tcPr>
            <w:tcW w:w="739" w:type="dxa"/>
            <w:gridSpan w:val="2"/>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2028</w:t>
            </w:r>
          </w:p>
        </w:tc>
        <w:tc>
          <w:tcPr>
            <w:tcW w:w="902" w:type="dxa"/>
            <w:tcBorders>
              <w:top w:val="none" w:color="auto" w:sz="0" w:space="0"/>
              <w:left w:val="none" w:color="auto" w:sz="0" w:space="0"/>
              <w:bottom w:val="single" w:color="00000A" w:sz="4" w:space="0"/>
              <w:right w:val="single" w:color="00000A" w:sz="4" w:space="0"/>
              <w:tl2br w:val="none" w:color="auto" w:sz="0" w:space="0"/>
              <w:tr2bl w:val="none" w:color="auto" w:sz="0" w:space="0"/>
            </w:tcBorders>
            <w:shd w:val="clear" w:color="auto" w:fill="CCD6FF"/>
            <w:vAlign w:val="center"/>
          </w:tcPr>
          <w:p>
            <w:pPr>
              <w:pStyle w:val="0"/>
              <w:spacing w:line="240" w:lineRule="auto"/>
              <w:jc w:val="center"/>
              <w:rPr>
                <w:rFonts w:hint="default"/>
                <w:b w:val="1"/>
                <w:color w:val="000000"/>
              </w:rPr>
            </w:pPr>
            <w:r>
              <w:rPr>
                <w:rFonts w:hint="default"/>
                <w:b w:val="1"/>
                <w:color w:val="000000"/>
              </w:rPr>
              <w:t>2029</w:t>
            </w:r>
          </w:p>
        </w:tc>
      </w:tr>
      <w:tr>
        <w:trPr>
          <w:trHeight w:val="645" w:hRule="atLeast"/>
        </w:trPr>
        <w:tc>
          <w:tcPr>
            <w:tcW w:w="352" w:type="dxa"/>
            <w:vMerge w:val="restart"/>
            <w:tcBorders>
              <w:top w:val="none" w:color="auto" w:sz="0" w:space="0"/>
              <w:left w:val="single" w:color="00000A" w:sz="4" w:space="0"/>
              <w:bottom w:val="single" w:color="00000A" w:sz="4" w:space="0"/>
              <w:right w:val="single" w:color="00000A" w:sz="4" w:space="0"/>
              <w:tl2br w:val="none" w:color="auto" w:sz="0" w:space="0"/>
              <w:tr2bl w:val="none" w:color="auto" w:sz="0" w:space="0"/>
            </w:tcBorders>
            <w:shd w:val="clear" w:color="auto" w:fill="EDEDED"/>
            <w:tcMar>
              <w:left w:w="94" w:type="dxa"/>
            </w:tcMar>
            <w:vAlign w:val="center"/>
          </w:tcPr>
          <w:p>
            <w:pPr>
              <w:pStyle w:val="0"/>
              <w:spacing w:line="240" w:lineRule="auto"/>
              <w:rPr>
                <w:rFonts w:hint="default"/>
              </w:rPr>
            </w:pPr>
            <w:r>
              <w:rPr>
                <w:rFonts w:hint="eastAsia"/>
                <w:b w:val="1"/>
                <w:color w:val="000000"/>
              </w:rPr>
              <w:t>八街市</w:t>
            </w:r>
            <w:r>
              <w:rPr>
                <w:rFonts w:hint="default"/>
                <w:b w:val="1"/>
                <w:color w:val="000000"/>
              </w:rPr>
              <w:t>国保</w:t>
            </w:r>
          </w:p>
        </w:tc>
        <w:tc>
          <w:tcPr>
            <w:tcW w:w="4429" w:type="dxa"/>
            <w:gridSpan w:val="6"/>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2</w:t>
            </w:r>
            <w:r>
              <w:rPr>
                <w:rFonts w:hint="default"/>
                <w:color w:val="000000"/>
              </w:rPr>
              <w:t>期データヘルス計画</w:t>
            </w:r>
          </w:p>
        </w:tc>
        <w:tc>
          <w:tcPr>
            <w:tcW w:w="4594" w:type="dxa"/>
            <w:gridSpan w:val="7"/>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3</w:t>
            </w:r>
            <w:r>
              <w:rPr>
                <w:rFonts w:hint="default"/>
                <w:color w:val="000000"/>
              </w:rPr>
              <w:t>期データヘルス計画</w:t>
            </w:r>
          </w:p>
        </w:tc>
      </w:tr>
      <w:tr>
        <w:trPr>
          <w:trHeight w:val="645" w:hRule="atLeast"/>
        </w:trPr>
        <w:tc>
          <w:tcPr>
            <w:tcW w:w="352" w:type="dxa"/>
            <w:vMerge w:val="continue"/>
            <w:tcBorders>
              <w:top w:val="none" w:color="auto" w:sz="0" w:space="0"/>
              <w:left w:val="single" w:color="00000A" w:sz="4" w:space="0"/>
              <w:bottom w:val="single" w:color="00000A" w:sz="4" w:space="0"/>
              <w:right w:val="single" w:color="00000A" w:sz="4" w:space="0"/>
              <w:tl2br w:val="none" w:color="auto" w:sz="0" w:space="0"/>
              <w:tr2bl w:val="none" w:color="auto" w:sz="0" w:space="0"/>
            </w:tcBorders>
            <w:shd w:val="clear" w:color="auto" w:fill="EDEDED"/>
            <w:tcMar>
              <w:left w:w="94" w:type="dxa"/>
            </w:tcMar>
            <w:vAlign w:val="center"/>
          </w:tcPr>
          <w:p>
            <w:pPr>
              <w:pStyle w:val="0"/>
              <w:rPr>
                <w:rFonts w:hint="default"/>
              </w:rPr>
            </w:pPr>
          </w:p>
        </w:tc>
        <w:tc>
          <w:tcPr>
            <w:tcW w:w="4429" w:type="dxa"/>
            <w:gridSpan w:val="6"/>
            <w:tcBorders>
              <w:top w:val="single" w:color="00000A" w:sz="4" w:space="0"/>
              <w:left w:val="none" w:color="auto" w:sz="0" w:space="0"/>
              <w:bottom w:val="single" w:color="auto"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3</w:t>
            </w:r>
            <w:r>
              <w:rPr>
                <w:rFonts w:hint="default"/>
                <w:color w:val="000000"/>
              </w:rPr>
              <w:t>期特定健康診査等実施計画</w:t>
            </w:r>
          </w:p>
        </w:tc>
        <w:tc>
          <w:tcPr>
            <w:tcW w:w="4594" w:type="dxa"/>
            <w:gridSpan w:val="7"/>
            <w:tcBorders>
              <w:top w:val="single" w:color="00000A" w:sz="4" w:space="0"/>
              <w:left w:val="none" w:color="auto" w:sz="0" w:space="0"/>
              <w:bottom w:val="single" w:color="auto"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4</w:t>
            </w:r>
            <w:r>
              <w:rPr>
                <w:rFonts w:hint="default"/>
                <w:color w:val="000000"/>
              </w:rPr>
              <w:t>期特定健康診査等実施計画</w:t>
            </w:r>
          </w:p>
        </w:tc>
      </w:tr>
      <w:tr>
        <w:trPr>
          <w:trHeight w:val="645" w:hRule="atLeast"/>
        </w:trPr>
        <w:tc>
          <w:tcPr>
            <w:tcW w:w="352" w:type="dxa"/>
            <w:vMerge w:val="restart"/>
            <w:tcBorders>
              <w:top w:val="none" w:color="auto" w:sz="0" w:space="0"/>
              <w:left w:val="single" w:color="00000A" w:sz="4" w:space="0"/>
              <w:bottom w:val="single" w:color="00000A" w:sz="4" w:space="0"/>
              <w:right w:val="single" w:color="auto" w:sz="4" w:space="0"/>
              <w:tl2br w:val="none" w:color="auto" w:sz="0" w:space="0"/>
              <w:tr2bl w:val="none" w:color="auto" w:sz="0" w:space="0"/>
            </w:tcBorders>
            <w:shd w:val="clear" w:color="auto" w:fill="EDEDED"/>
            <w:tcMar>
              <w:left w:w="94" w:type="dxa"/>
            </w:tcMar>
            <w:vAlign w:val="center"/>
          </w:tcPr>
          <w:p>
            <w:pPr>
              <w:pStyle w:val="0"/>
              <w:spacing w:line="240" w:lineRule="auto"/>
              <w:jc w:val="center"/>
              <w:rPr>
                <w:rFonts w:hint="default"/>
                <w:b w:val="1"/>
                <w:color w:val="000000"/>
                <w:highlight w:val="yellow"/>
              </w:rPr>
            </w:pPr>
            <w:r>
              <w:rPr>
                <w:rFonts w:hint="eastAsia"/>
                <w:b w:val="1"/>
                <w:color w:val="000000"/>
              </w:rPr>
              <w:t>八街市</w:t>
            </w:r>
          </w:p>
        </w:tc>
        <w:tc>
          <w:tcPr>
            <w:tcW w:w="7572" w:type="dxa"/>
            <w:gridSpan w:val="11"/>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pStyle w:val="0"/>
              <w:spacing w:line="240" w:lineRule="auto"/>
              <w:jc w:val="center"/>
              <w:rPr>
                <w:rFonts w:hint="default"/>
                <w:color w:val="000000"/>
              </w:rPr>
            </w:pPr>
            <w:r>
              <w:rPr>
                <w:rFonts w:hint="eastAsia"/>
                <w:color w:val="000000"/>
              </w:rPr>
              <w:t>健康プラン</w:t>
            </w:r>
          </w:p>
        </w:tc>
        <w:tc>
          <w:tcPr>
            <w:tcW w:w="1451" w:type="dxa"/>
            <w:gridSpan w:val="2"/>
            <w:tcBorders>
              <w:top w:val="single" w:color="auto" w:sz="4" w:space="0"/>
              <w:left w:val="single" w:color="auto" w:sz="4" w:space="0"/>
              <w:bottom w:val="single" w:color="00000A" w:sz="4" w:space="0"/>
              <w:right w:val="single" w:color="00000A" w:sz="4" w:space="0"/>
              <w:tl2br w:val="none" w:color="auto" w:sz="0" w:space="0"/>
              <w:tr2bl w:val="none" w:color="auto" w:sz="0" w:space="0"/>
            </w:tcBorders>
            <w:shd w:val="clear" w:color="auto" w:fill="FFFFFF"/>
            <w:vAlign w:val="center"/>
          </w:tcPr>
          <w:p>
            <w:pPr>
              <w:pStyle w:val="0"/>
              <w:rPr>
                <w:rFonts w:hint="default"/>
              </w:rPr>
            </w:pPr>
          </w:p>
        </w:tc>
      </w:tr>
      <w:tr>
        <w:trPr>
          <w:trHeight w:val="645" w:hRule="atLeast"/>
        </w:trPr>
        <w:tc>
          <w:tcPr>
            <w:tcW w:w="352" w:type="dxa"/>
            <w:vMerge w:val="continue"/>
            <w:tcBorders>
              <w:top w:val="none" w:color="auto" w:sz="0" w:space="0"/>
              <w:left w:val="single" w:color="00000A" w:sz="4" w:space="0"/>
              <w:bottom w:val="single" w:color="00000A" w:sz="4" w:space="0"/>
              <w:right w:val="single" w:color="auto" w:sz="4" w:space="0"/>
              <w:tl2br w:val="none" w:color="auto" w:sz="0" w:space="0"/>
              <w:tr2bl w:val="none" w:color="auto" w:sz="0" w:space="0"/>
            </w:tcBorders>
            <w:shd w:val="clear" w:color="auto" w:fill="EDEDED"/>
            <w:tcMar>
              <w:left w:w="94" w:type="dxa"/>
            </w:tcMar>
            <w:vAlign w:val="center"/>
          </w:tcPr>
          <w:p>
            <w:pPr>
              <w:pStyle w:val="0"/>
              <w:rPr>
                <w:rFonts w:hint="default"/>
              </w:rPr>
            </w:pPr>
          </w:p>
        </w:tc>
        <w:tc>
          <w:tcPr>
            <w:tcW w:w="2213" w:type="dxa"/>
            <w:gridSpan w:val="3"/>
            <w:tcBorders>
              <w:top w:val="single" w:color="auto" w:sz="4" w:space="0"/>
              <w:left w:val="single" w:color="auto" w:sz="4"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7</w:t>
            </w:r>
            <w:r>
              <w:rPr>
                <w:rFonts w:hint="default"/>
                <w:color w:val="000000"/>
              </w:rPr>
              <w:t>期</w:t>
            </w:r>
            <w:r>
              <w:rPr>
                <w:rFonts w:hint="default"/>
                <w:color w:val="000000"/>
              </w:rPr>
              <w:t xml:space="preserve"> </w:t>
            </w:r>
            <w:r>
              <w:rPr>
                <w:rFonts w:hint="default"/>
                <w:color w:val="000000"/>
              </w:rPr>
              <w:t>介護保険事業計画</w:t>
            </w:r>
          </w:p>
        </w:tc>
        <w:tc>
          <w:tcPr>
            <w:tcW w:w="2216" w:type="dxa"/>
            <w:gridSpan w:val="3"/>
            <w:tcBorders>
              <w:top w:val="single" w:color="auto"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8</w:t>
            </w:r>
            <w:r>
              <w:rPr>
                <w:rFonts w:hint="default"/>
                <w:color w:val="000000"/>
              </w:rPr>
              <w:t>期</w:t>
            </w:r>
            <w:r>
              <w:rPr>
                <w:rFonts w:hint="default"/>
                <w:color w:val="000000"/>
              </w:rPr>
              <w:t xml:space="preserve"> </w:t>
            </w:r>
            <w:r>
              <w:rPr>
                <w:rFonts w:hint="default"/>
                <w:color w:val="000000"/>
              </w:rPr>
              <w:t>介護保険事業計画</w:t>
            </w:r>
          </w:p>
        </w:tc>
        <w:tc>
          <w:tcPr>
            <w:tcW w:w="2215" w:type="dxa"/>
            <w:gridSpan w:val="3"/>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9</w:t>
            </w:r>
            <w:r>
              <w:rPr>
                <w:rFonts w:hint="default"/>
                <w:color w:val="000000"/>
              </w:rPr>
              <w:t>期</w:t>
            </w:r>
            <w:r>
              <w:rPr>
                <w:rFonts w:hint="default"/>
                <w:color w:val="000000"/>
              </w:rPr>
              <w:t xml:space="preserve"> </w:t>
            </w:r>
            <w:r>
              <w:rPr>
                <w:rFonts w:hint="default"/>
                <w:color w:val="000000"/>
              </w:rPr>
              <w:t>介護保険事業計画</w:t>
            </w:r>
          </w:p>
        </w:tc>
        <w:tc>
          <w:tcPr>
            <w:tcW w:w="2379" w:type="dxa"/>
            <w:gridSpan w:val="4"/>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rPr>
            </w:pPr>
            <w:r>
              <w:rPr>
                <w:rFonts w:hint="default"/>
              </w:rPr>
              <w:t>　</w:t>
            </w:r>
          </w:p>
        </w:tc>
      </w:tr>
      <w:tr>
        <w:trPr>
          <w:trHeight w:val="645" w:hRule="atLeast"/>
        </w:trPr>
        <w:tc>
          <w:tcPr>
            <w:tcW w:w="352" w:type="dxa"/>
            <w:vMerge w:val="restart"/>
            <w:tcBorders>
              <w:top w:val="none" w:color="auto" w:sz="0" w:space="0"/>
              <w:left w:val="single" w:color="00000A" w:sz="4" w:space="0"/>
              <w:bottom w:val="single" w:color="00000A" w:sz="4" w:space="0"/>
              <w:right w:val="single" w:color="00000A" w:sz="4" w:space="0"/>
              <w:tl2br w:val="none" w:color="auto" w:sz="0" w:space="0"/>
              <w:tr2bl w:val="none" w:color="auto" w:sz="0" w:space="0"/>
            </w:tcBorders>
            <w:shd w:val="clear" w:color="auto" w:fill="EDEDED"/>
            <w:tcMar>
              <w:left w:w="94" w:type="dxa"/>
            </w:tcMar>
            <w:vAlign w:val="center"/>
          </w:tcPr>
          <w:p>
            <w:pPr>
              <w:pStyle w:val="0"/>
              <w:spacing w:line="240" w:lineRule="auto"/>
              <w:jc w:val="center"/>
              <w:rPr>
                <w:rFonts w:hint="default"/>
                <w:b w:val="1"/>
                <w:color w:val="000000"/>
              </w:rPr>
            </w:pPr>
            <w:r>
              <w:rPr>
                <w:rFonts w:hint="default"/>
                <w:b w:val="1"/>
                <w:color w:val="000000"/>
              </w:rPr>
              <w:t>県</w:t>
            </w:r>
          </w:p>
        </w:tc>
        <w:tc>
          <w:tcPr>
            <w:tcW w:w="4429" w:type="dxa"/>
            <w:gridSpan w:val="6"/>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県健康増進計画（第</w:t>
            </w:r>
            <w:r>
              <w:rPr>
                <w:rFonts w:hint="default"/>
                <w:color w:val="000000"/>
              </w:rPr>
              <w:t>2</w:t>
            </w:r>
            <w:r>
              <w:rPr>
                <w:rFonts w:hint="default"/>
                <w:color w:val="000000"/>
              </w:rPr>
              <w:t>次）</w:t>
            </w:r>
          </w:p>
        </w:tc>
        <w:tc>
          <w:tcPr>
            <w:tcW w:w="4594" w:type="dxa"/>
            <w:gridSpan w:val="7"/>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県健康増進計画（第</w:t>
            </w:r>
            <w:r>
              <w:rPr>
                <w:rFonts w:hint="default"/>
                <w:color w:val="000000"/>
              </w:rPr>
              <w:t>3</w:t>
            </w:r>
            <w:r>
              <w:rPr>
                <w:rFonts w:hint="default"/>
                <w:color w:val="000000"/>
              </w:rPr>
              <w:t>次）</w:t>
            </w:r>
          </w:p>
        </w:tc>
      </w:tr>
      <w:tr>
        <w:trPr>
          <w:trHeight w:val="645" w:hRule="atLeast"/>
        </w:trPr>
        <w:tc>
          <w:tcPr>
            <w:tcW w:w="352" w:type="dxa"/>
            <w:vMerge w:val="continue"/>
            <w:tcBorders>
              <w:top w:val="none" w:color="auto" w:sz="0" w:space="0"/>
              <w:left w:val="single" w:color="00000A" w:sz="4" w:space="0"/>
              <w:bottom w:val="single" w:color="00000A" w:sz="4" w:space="0"/>
              <w:right w:val="single" w:color="00000A" w:sz="4" w:space="0"/>
              <w:tl2br w:val="none" w:color="auto" w:sz="0" w:space="0"/>
              <w:tr2bl w:val="none" w:color="auto" w:sz="0" w:space="0"/>
            </w:tcBorders>
            <w:shd w:val="clear" w:color="auto" w:fill="EDEDED"/>
            <w:tcMar>
              <w:left w:w="94" w:type="dxa"/>
            </w:tcMar>
            <w:vAlign w:val="center"/>
          </w:tcPr>
          <w:p>
            <w:pPr>
              <w:pStyle w:val="0"/>
              <w:rPr>
                <w:rFonts w:hint="default"/>
              </w:rPr>
            </w:pPr>
          </w:p>
        </w:tc>
        <w:tc>
          <w:tcPr>
            <w:tcW w:w="4429" w:type="dxa"/>
            <w:gridSpan w:val="6"/>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県医療費適正化計画（第</w:t>
            </w:r>
            <w:r>
              <w:rPr>
                <w:rFonts w:hint="default"/>
                <w:color w:val="000000"/>
              </w:rPr>
              <w:t>3</w:t>
            </w:r>
            <w:r>
              <w:rPr>
                <w:rFonts w:hint="default"/>
                <w:color w:val="000000"/>
              </w:rPr>
              <w:t>期）</w:t>
            </w:r>
          </w:p>
        </w:tc>
        <w:tc>
          <w:tcPr>
            <w:tcW w:w="4594" w:type="dxa"/>
            <w:gridSpan w:val="7"/>
            <w:tcBorders>
              <w:top w:val="single" w:color="00000A" w:sz="4" w:space="0"/>
              <w:left w:val="none" w:color="auto" w:sz="0" w:space="0"/>
              <w:bottom w:val="single" w:color="00000A" w:sz="4" w:space="0"/>
              <w:right w:val="single" w:color="00000A"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県医療費適正化計画（第</w:t>
            </w:r>
            <w:r>
              <w:rPr>
                <w:rFonts w:hint="default"/>
                <w:color w:val="000000"/>
              </w:rPr>
              <w:t>4</w:t>
            </w:r>
            <w:r>
              <w:rPr>
                <w:rFonts w:hint="default"/>
                <w:color w:val="000000"/>
              </w:rPr>
              <w:t>期）</w:t>
            </w:r>
          </w:p>
        </w:tc>
      </w:tr>
      <w:tr>
        <w:trPr>
          <w:trHeight w:val="645" w:hRule="atLeast"/>
        </w:trPr>
        <w:tc>
          <w:tcPr>
            <w:tcW w:w="352" w:type="dxa"/>
            <w:vMerge w:val="continue"/>
            <w:tcBorders>
              <w:top w:val="none" w:color="auto" w:sz="0" w:space="0"/>
              <w:left w:val="single" w:color="00000A" w:sz="4" w:space="0"/>
              <w:bottom w:val="single" w:color="00000A" w:sz="4" w:space="0"/>
              <w:right w:val="single" w:color="00000A" w:sz="4" w:space="0"/>
              <w:tl2br w:val="none" w:color="auto" w:sz="0" w:space="0"/>
              <w:tr2bl w:val="none" w:color="auto" w:sz="0" w:space="0"/>
            </w:tcBorders>
            <w:shd w:val="clear" w:color="auto" w:fill="EDEDED"/>
            <w:tcMar>
              <w:left w:w="94" w:type="dxa"/>
            </w:tcMar>
            <w:vAlign w:val="center"/>
          </w:tcPr>
          <w:p>
            <w:pPr>
              <w:pStyle w:val="0"/>
              <w:rPr>
                <w:rFonts w:hint="default"/>
              </w:rPr>
            </w:pPr>
          </w:p>
        </w:tc>
        <w:tc>
          <w:tcPr>
            <w:tcW w:w="4429" w:type="dxa"/>
            <w:gridSpan w:val="6"/>
            <w:tcBorders>
              <w:top w:val="single" w:color="00000A" w:sz="4" w:space="0"/>
              <w:left w:val="none" w:color="auto" w:sz="0" w:space="0"/>
              <w:bottom w:val="single" w:color="00000A" w:sz="4" w:space="0"/>
              <w:right w:val="single" w:color="000001"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県国民健康保険運営方針</w:t>
            </w:r>
          </w:p>
        </w:tc>
        <w:tc>
          <w:tcPr>
            <w:tcW w:w="4594" w:type="dxa"/>
            <w:gridSpan w:val="7"/>
            <w:tcBorders>
              <w:top w:val="single" w:color="00000A" w:sz="4" w:space="0"/>
              <w:left w:val="none" w:color="auto" w:sz="0" w:space="0"/>
              <w:bottom w:val="single" w:color="00000A" w:sz="4" w:space="0"/>
              <w:right w:val="single" w:color="000001"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eastAsia"/>
                <w:color w:val="000000"/>
              </w:rPr>
              <w:t>2</w:t>
            </w:r>
            <w:r>
              <w:rPr>
                <w:rFonts w:hint="default"/>
                <w:color w:val="000000"/>
              </w:rPr>
              <w:t>期県国民健康保険運営方針</w:t>
            </w:r>
          </w:p>
        </w:tc>
      </w:tr>
      <w:tr>
        <w:trPr>
          <w:trHeight w:val="645" w:hRule="atLeast"/>
        </w:trPr>
        <w:tc>
          <w:tcPr>
            <w:tcW w:w="352" w:type="dxa"/>
            <w:tcBorders>
              <w:top w:val="single" w:color="00000A" w:sz="4" w:space="0"/>
              <w:left w:val="single" w:color="00000A" w:sz="4" w:space="0"/>
              <w:bottom w:val="single" w:color="00000A" w:sz="4" w:space="0"/>
              <w:right w:val="single" w:color="00000A" w:sz="4" w:space="0"/>
              <w:tl2br w:val="none" w:color="auto" w:sz="0" w:space="0"/>
              <w:tr2bl w:val="none" w:color="auto" w:sz="0" w:space="0"/>
            </w:tcBorders>
            <w:shd w:val="clear" w:color="auto" w:fill="F2F2F2"/>
            <w:tcMar>
              <w:left w:w="94" w:type="dxa"/>
            </w:tcMar>
            <w:vAlign w:val="center"/>
          </w:tcPr>
          <w:p>
            <w:pPr>
              <w:pStyle w:val="0"/>
              <w:spacing w:line="240" w:lineRule="auto"/>
              <w:rPr>
                <w:rFonts w:hint="default"/>
                <w:b w:val="1"/>
                <w:color w:val="000000"/>
              </w:rPr>
            </w:pPr>
            <w:r>
              <w:rPr>
                <w:rFonts w:hint="default"/>
                <w:b w:val="1"/>
                <w:color w:val="000000"/>
              </w:rPr>
              <w:t>後期</w:t>
            </w:r>
          </w:p>
        </w:tc>
        <w:tc>
          <w:tcPr>
            <w:tcW w:w="4429" w:type="dxa"/>
            <w:gridSpan w:val="6"/>
            <w:tcBorders>
              <w:top w:val="single" w:color="00000A" w:sz="4" w:space="0"/>
              <w:left w:val="none" w:color="auto" w:sz="0" w:space="0"/>
              <w:bottom w:val="single" w:color="00000A" w:sz="4" w:space="0"/>
              <w:right w:val="single" w:color="000001"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2</w:t>
            </w:r>
            <w:r>
              <w:rPr>
                <w:rFonts w:hint="default"/>
                <w:color w:val="000000"/>
              </w:rPr>
              <w:t>期データヘルス計画</w:t>
            </w:r>
          </w:p>
        </w:tc>
        <w:tc>
          <w:tcPr>
            <w:tcW w:w="4594" w:type="dxa"/>
            <w:gridSpan w:val="7"/>
            <w:tcBorders>
              <w:top w:val="single" w:color="00000A" w:sz="4" w:space="0"/>
              <w:left w:val="none" w:color="auto" w:sz="0" w:space="0"/>
              <w:bottom w:val="single" w:color="00000A" w:sz="4" w:space="0"/>
              <w:right w:val="single" w:color="000001" w:sz="4" w:space="0"/>
              <w:tl2br w:val="none" w:color="auto" w:sz="0" w:space="0"/>
              <w:tr2bl w:val="none" w:color="auto" w:sz="0" w:space="0"/>
            </w:tcBorders>
            <w:shd w:val="clear" w:color="auto" w:fill="FFFFFF"/>
            <w:vAlign w:val="center"/>
          </w:tcPr>
          <w:p>
            <w:pPr>
              <w:pStyle w:val="0"/>
              <w:spacing w:line="240" w:lineRule="auto"/>
              <w:jc w:val="center"/>
              <w:rPr>
                <w:rFonts w:hint="default"/>
                <w:color w:val="000000"/>
              </w:rPr>
            </w:pPr>
            <w:r>
              <w:rPr>
                <w:rFonts w:hint="default"/>
                <w:color w:val="000000"/>
              </w:rPr>
              <w:t>第</w:t>
            </w:r>
            <w:r>
              <w:rPr>
                <w:rFonts w:hint="default"/>
                <w:color w:val="000000"/>
              </w:rPr>
              <w:t>3</w:t>
            </w:r>
            <w:r>
              <w:rPr>
                <w:rFonts w:hint="default"/>
                <w:color w:val="000000"/>
              </w:rPr>
              <w:t>期データヘルス計画</w:t>
            </w:r>
          </w:p>
        </w:tc>
      </w:tr>
    </w:tbl>
    <w:p>
      <w:pPr>
        <w:pStyle w:val="0"/>
        <w:rPr>
          <w:rFonts w:hint="default"/>
        </w:rPr>
      </w:pPr>
    </w:p>
    <w:p>
      <w:pPr>
        <w:pStyle w:val="2"/>
        <w:rPr>
          <w:rFonts w:hint="default"/>
        </w:rPr>
      </w:pPr>
      <w:bookmarkStart w:id="5" w:name="_Toc162548670"/>
      <w:r>
        <w:rPr>
          <w:rFonts w:hint="default"/>
        </w:rPr>
        <w:t>標準化の推進</w:t>
      </w:r>
      <w:bookmarkEnd w:id="5"/>
    </w:p>
    <w:p>
      <w:pPr>
        <w:pStyle w:val="39"/>
        <w:ind w:firstLine="200"/>
        <w:rPr>
          <w:rFonts w:hint="default"/>
        </w:rPr>
      </w:pPr>
      <w:r>
        <w:rPr>
          <w:rFonts w:hint="eastAsia"/>
        </w:rPr>
        <w:t>データヘルス計画が都道府県レベルで標準化されることにより、共通の評価指標による</w:t>
      </w:r>
      <w:r>
        <w:rPr>
          <w:rFonts w:hint="default"/>
        </w:rPr>
        <w:t>域内保険者</w:t>
      </w:r>
      <w:r>
        <w:rPr>
          <w:rFonts w:hint="eastAsia"/>
        </w:rPr>
        <w:t>の経年的なモニタリングができるようになるほか、地域の健康状況や健康課題の分析方法、計画策定、評価等の一連の流れを共通化することで、これらの業務負担が軽減されることが期待されている。八街市では、千葉県等</w:t>
      </w:r>
      <w:r>
        <w:rPr>
          <w:rFonts w:hint="default"/>
        </w:rPr>
        <w:t>の方針を踏まえ、</w:t>
      </w:r>
      <w:r>
        <w:rPr>
          <w:rFonts w:hint="eastAsia"/>
        </w:rPr>
        <w:t>データヘルス</w:t>
      </w:r>
      <w:r>
        <w:rPr>
          <w:rFonts w:hint="default"/>
        </w:rPr>
        <w:t>計画</w:t>
      </w:r>
      <w:r>
        <w:rPr>
          <w:rFonts w:hint="eastAsia"/>
        </w:rPr>
        <w:t>を運用する</w:t>
      </w:r>
      <w:r>
        <w:rPr>
          <w:rFonts w:hint="default"/>
        </w:rPr>
        <w:t>こととする。</w:t>
      </w:r>
    </w:p>
    <w:p>
      <w:pPr>
        <w:pStyle w:val="0"/>
        <w:ind w:left="3600" w:leftChars="2250"/>
        <w:rPr>
          <w:rFonts w:hint="default"/>
        </w:rPr>
      </w:pPr>
    </w:p>
    <w:p>
      <w:pPr>
        <w:pStyle w:val="2"/>
        <w:rPr>
          <w:rFonts w:hint="default"/>
        </w:rPr>
      </w:pPr>
      <w:bookmarkStart w:id="6" w:name="_Toc162548671"/>
      <w:r>
        <w:rPr>
          <w:rFonts w:hint="default"/>
        </w:rPr>
        <w:t>計画期間</w:t>
      </w:r>
      <w:bookmarkEnd w:id="6"/>
    </w:p>
    <w:p>
      <w:pPr>
        <w:pStyle w:val="39"/>
        <w:ind w:firstLine="200"/>
        <w:rPr>
          <w:rFonts w:hint="default"/>
        </w:rPr>
      </w:pPr>
      <w:r>
        <w:rPr>
          <w:rFonts w:hint="default"/>
        </w:rPr>
        <w:t>本計画の期間は、令和</w:t>
      </w:r>
      <w:r>
        <w:rPr>
          <w:rFonts w:hint="default"/>
        </w:rPr>
        <w:t>6</w:t>
      </w:r>
      <w:r>
        <w:rPr>
          <w:rFonts w:hint="default"/>
        </w:rPr>
        <w:t>年度（</w:t>
      </w:r>
      <w:r>
        <w:rPr>
          <w:rFonts w:hint="default"/>
        </w:rPr>
        <w:t>2024</w:t>
      </w:r>
      <w:r>
        <w:rPr>
          <w:rFonts w:hint="default"/>
        </w:rPr>
        <w:t>年）から令和</w:t>
      </w:r>
      <w:r>
        <w:rPr>
          <w:rFonts w:hint="default"/>
        </w:rPr>
        <w:t>11</w:t>
      </w:r>
      <w:r>
        <w:rPr>
          <w:rFonts w:hint="default"/>
        </w:rPr>
        <w:t>年度（</w:t>
      </w:r>
      <w:r>
        <w:rPr>
          <w:rFonts w:hint="default"/>
        </w:rPr>
        <w:t>2029</w:t>
      </w:r>
      <w:r>
        <w:rPr>
          <w:rFonts w:hint="default"/>
        </w:rPr>
        <w:t>年）までの</w:t>
      </w:r>
      <w:r>
        <w:rPr>
          <w:rFonts w:hint="default"/>
        </w:rPr>
        <w:t>6</w:t>
      </w:r>
      <w:r>
        <w:rPr>
          <w:rFonts w:hint="default"/>
        </w:rPr>
        <w:t>年間である。</w:t>
      </w:r>
    </w:p>
    <w:p>
      <w:pPr>
        <w:pStyle w:val="0"/>
        <w:rPr>
          <w:rFonts w:hint="default"/>
        </w:rPr>
      </w:pPr>
    </w:p>
    <w:p>
      <w:pPr>
        <w:pStyle w:val="2"/>
        <w:rPr>
          <w:rFonts w:hint="default"/>
        </w:rPr>
      </w:pPr>
      <w:bookmarkStart w:id="7" w:name="_Toc162548672"/>
      <w:r>
        <w:rPr>
          <w:rFonts w:hint="default"/>
        </w:rPr>
        <w:t>実施体制・関係者連携</w:t>
      </w:r>
      <w:bookmarkEnd w:id="7"/>
    </w:p>
    <w:p>
      <w:pPr>
        <w:pStyle w:val="3"/>
        <w:rPr>
          <w:rFonts w:hint="default"/>
        </w:rPr>
      </w:pPr>
      <w:bookmarkStart w:id="8" w:name="_Toc162548673"/>
      <w:r>
        <w:rPr>
          <w:rFonts w:hint="default"/>
        </w:rPr>
        <w:t>関係部局との連携</w:t>
      </w:r>
      <w:bookmarkEnd w:id="8"/>
    </w:p>
    <w:p>
      <w:pPr>
        <w:pStyle w:val="39"/>
        <w:ind w:firstLine="200"/>
        <w:rPr>
          <w:rFonts w:hint="default"/>
        </w:rPr>
      </w:pPr>
      <w:r>
        <w:rPr>
          <w:rFonts w:hint="default"/>
        </w:rPr>
        <w:t xml:space="preserve"> </w:t>
      </w:r>
      <w:r>
        <w:rPr>
          <w:rFonts w:hint="default"/>
        </w:rPr>
        <w:t>本計画は、市民部国保年金課が主体となり、健康子ども部健康増進課、福祉部高齢者福祉課と連携しながら保険者の健康課題を分析し、計画を策定する。</w:t>
      </w:r>
    </w:p>
    <w:p>
      <w:pPr>
        <w:pStyle w:val="39"/>
        <w:ind w:firstLine="200"/>
        <w:rPr>
          <w:rFonts w:hint="default"/>
        </w:rPr>
      </w:pPr>
      <w:r>
        <w:rPr>
          <w:rFonts w:hint="eastAsia"/>
        </w:rPr>
        <w:t>計画策定後は、計画に基づき効果的・効率的な保健事業を実施して、個別の保健事業の評価や計画の評価をし、必要に応じて計画の見直しや次期計画に反映させる。</w:t>
      </w:r>
    </w:p>
    <w:p>
      <w:pPr>
        <w:pStyle w:val="39"/>
        <w:ind w:firstLine="200"/>
        <w:rPr>
          <w:rFonts w:hint="default"/>
        </w:rPr>
      </w:pPr>
    </w:p>
    <w:p>
      <w:pPr>
        <w:pStyle w:val="3"/>
        <w:rPr>
          <w:rFonts w:hint="default"/>
        </w:rPr>
      </w:pPr>
      <w:bookmarkStart w:id="9" w:name="_Toc162548674"/>
      <w:r>
        <w:rPr>
          <w:rFonts w:hint="default"/>
        </w:rPr>
        <w:t>関係機関との連携</w:t>
      </w:r>
      <w:bookmarkEnd w:id="9"/>
    </w:p>
    <w:p>
      <w:pPr>
        <w:pStyle w:val="39"/>
        <w:ind w:firstLine="200"/>
        <w:rPr>
          <w:rFonts w:hint="default"/>
        </w:rPr>
      </w:pPr>
      <w:r>
        <w:rPr>
          <w:rFonts w:hint="default"/>
        </w:rPr>
        <w:t xml:space="preserve"> </w:t>
      </w:r>
      <w:r>
        <w:rPr>
          <w:rFonts w:hint="default"/>
        </w:rPr>
        <w:t>計画の実効性を高めるには、策定から評価までの一連のプロセスにおいて関係機関（印旛市郡医師会、印旛郡市歯科医師会、印旛郡市薬剤師会、千葉県健康福祉部保健指導課、国民健康保険団体連合会等）の助言や支援等の協力を得ながら連携を図り、取り組んでいきます。</w:t>
      </w:r>
    </w:p>
    <w:p>
      <w:pPr>
        <w:pStyle w:val="39"/>
        <w:ind w:firstLine="200"/>
        <w:rPr>
          <w:rFonts w:hint="default"/>
        </w:rPr>
      </w:pPr>
    </w:p>
    <w:p>
      <w:pPr>
        <w:pStyle w:val="3"/>
        <w:rPr>
          <w:rFonts w:hint="default"/>
        </w:rPr>
      </w:pPr>
      <w:bookmarkStart w:id="10" w:name="_Toc162548675"/>
      <w:r>
        <w:rPr>
          <w:rFonts w:hint="default"/>
        </w:rPr>
        <w:t>被保険者の役割</w:t>
      </w:r>
      <w:bookmarkEnd w:id="10"/>
    </w:p>
    <w:p>
      <w:pPr>
        <w:pStyle w:val="39"/>
        <w:ind w:firstLine="200"/>
        <w:rPr>
          <w:rFonts w:hint="default"/>
        </w:rPr>
      </w:pPr>
      <w:r>
        <w:rPr>
          <w:rFonts w:hint="eastAsia"/>
        </w:rPr>
        <w:t>本計画は、被保険者の健康の保持増進が最終的な目的であり、その実効性を高める上では、被保険者自身が状況を理解して主体的かつ積極的に健康増進に取り組むことが重要である。</w:t>
      </w:r>
    </w:p>
    <w:p>
      <w:pPr>
        <w:pStyle w:val="39"/>
        <w:ind w:firstLine="200"/>
        <w:rPr>
          <w:rFonts w:hint="default"/>
        </w:rPr>
      </w:pPr>
      <w:r>
        <w:rPr>
          <w:rFonts w:hint="eastAsia"/>
        </w:rPr>
        <w:t>八街市国民健康保険運営協議会等の場を通じて、議論に参画する場を設け、意見を反映できるよう努める。</w:t>
      </w:r>
    </w:p>
    <w:p>
      <w:pPr>
        <w:pStyle w:val="0"/>
        <w:rPr>
          <w:rFonts w:hint="default"/>
        </w:rPr>
      </w:pPr>
      <w:r>
        <w:rPr>
          <w:rFonts w:hint="default"/>
        </w:rPr>
        <mc:AlternateContent>
          <mc:Choice Requires="wps">
            <w:drawing>
              <wp:anchor distT="0" distB="0" distL="114300" distR="114300" simplePos="0" relativeHeight="7" behindDoc="0" locked="0" layoutInCell="1" hidden="0" allowOverlap="1">
                <wp:simplePos x="0" y="0"/>
                <wp:positionH relativeFrom="column">
                  <wp:posOffset>3450590</wp:posOffset>
                </wp:positionH>
                <wp:positionV relativeFrom="paragraph">
                  <wp:posOffset>1595120</wp:posOffset>
                </wp:positionV>
                <wp:extent cx="1547495" cy="503555"/>
                <wp:effectExtent l="45720" t="22225" r="73660" b="83820"/>
                <wp:wrapNone/>
                <wp:docPr id="1027" name="四角形: 角を丸くする 1"/>
                <a:graphic xmlns:a="http://schemas.openxmlformats.org/drawingml/2006/main">
                  <a:graphicData uri="http://schemas.microsoft.com/office/word/2010/wordprocessingShape">
                    <wps:wsp>
                      <wps:cNvPr id="1027" name="四角形: 角を丸くする 1"/>
                      <wps:cNvSpPr/>
                      <wps:spPr>
                        <a:xfrm>
                          <a:off x="0" y="0"/>
                          <a:ext cx="1547495" cy="503555"/>
                        </a:xfrm>
                        <a:prstGeom prst="roundRect">
                          <a:avLst/>
                        </a:prstGeom>
                        <a:solidFill>
                          <a:srgbClr val="99ACFF"/>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color w:val="000000"/>
                                <w:sz w:val="20"/>
                              </w:rPr>
                            </w:pPr>
                            <w:r>
                              <w:rPr>
                                <w:rFonts w:hint="eastAsia"/>
                                <w:color w:val="000000"/>
                                <w:sz w:val="20"/>
                              </w:rPr>
                              <w:t>企画政策課</w:t>
                            </w:r>
                            <w:r>
                              <w:rPr>
                                <w:rFonts w:hint="eastAsia"/>
                                <w:color w:val="000000"/>
                                <w:sz w:val="20"/>
                              </w:rPr>
                              <w:t>(</w:t>
                            </w:r>
                            <w:r>
                              <w:rPr>
                                <w:rFonts w:hint="eastAsia"/>
                                <w:color w:val="000000"/>
                                <w:sz w:val="20"/>
                              </w:rPr>
                              <w:t>計画関係</w:t>
                            </w:r>
                            <w:r>
                              <w:rPr>
                                <w:rFonts w:hint="eastAsia"/>
                                <w:color w:val="000000"/>
                                <w:sz w:val="20"/>
                              </w:rPr>
                              <w:t>)</w:t>
                            </w:r>
                          </w:p>
                          <w:p>
                            <w:pPr>
                              <w:pStyle w:val="0"/>
                              <w:jc w:val="center"/>
                              <w:rPr>
                                <w:rFonts w:hint="default"/>
                              </w:rPr>
                            </w:pPr>
                            <w:r>
                              <w:rPr>
                                <w:rFonts w:hint="eastAsia"/>
                                <w:color w:val="000000"/>
                                <w:sz w:val="20"/>
                              </w:rPr>
                              <w:t>財政課</w:t>
                            </w:r>
                            <w:r>
                              <w:rPr>
                                <w:rFonts w:hint="eastAsia"/>
                                <w:color w:val="000000"/>
                                <w:sz w:val="20"/>
                              </w:rPr>
                              <w:t>(</w:t>
                            </w:r>
                            <w:r>
                              <w:rPr>
                                <w:rFonts w:hint="eastAsia"/>
                                <w:color w:val="000000"/>
                                <w:sz w:val="20"/>
                              </w:rPr>
                              <w:t>交付金等</w:t>
                            </w:r>
                            <w:r>
                              <w:rPr>
                                <w:rFonts w:hint="eastAsia"/>
                                <w:color w:val="000000"/>
                                <w:sz w:val="20"/>
                              </w:rPr>
                              <w:t>)</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7;mso-wrap-distance-left:9pt;width:121.85pt;height:39.65pt;mso-position-horizontal-relative:text;position:absolute;margin-left:271.7pt;margin-top:125.6pt;mso-wrap-distance-bottom:0pt;mso-wrap-distance-right:9pt;mso-wrap-distance-top:0pt;v-text-anchor:middle;" o:spid="_x0000_s1027" o:allowincell="t" o:allowoverlap="t" filled="t" fillcolor="#99acff"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color w:val="000000"/>
                          <w:sz w:val="20"/>
                        </w:rPr>
                      </w:pPr>
                      <w:r>
                        <w:rPr>
                          <w:rFonts w:hint="eastAsia"/>
                          <w:color w:val="000000"/>
                          <w:sz w:val="20"/>
                        </w:rPr>
                        <w:t>企画政策課</w:t>
                      </w:r>
                      <w:r>
                        <w:rPr>
                          <w:rFonts w:hint="eastAsia"/>
                          <w:color w:val="000000"/>
                          <w:sz w:val="20"/>
                        </w:rPr>
                        <w:t>(</w:t>
                      </w:r>
                      <w:r>
                        <w:rPr>
                          <w:rFonts w:hint="eastAsia"/>
                          <w:color w:val="000000"/>
                          <w:sz w:val="20"/>
                        </w:rPr>
                        <w:t>計画関係</w:t>
                      </w:r>
                      <w:r>
                        <w:rPr>
                          <w:rFonts w:hint="eastAsia"/>
                          <w:color w:val="000000"/>
                          <w:sz w:val="20"/>
                        </w:rPr>
                        <w:t>)</w:t>
                      </w:r>
                    </w:p>
                    <w:p>
                      <w:pPr>
                        <w:pStyle w:val="0"/>
                        <w:jc w:val="center"/>
                        <w:rPr>
                          <w:rFonts w:hint="default"/>
                        </w:rPr>
                      </w:pPr>
                      <w:r>
                        <w:rPr>
                          <w:rFonts w:hint="eastAsia"/>
                          <w:color w:val="000000"/>
                          <w:sz w:val="20"/>
                        </w:rPr>
                        <w:t>財政課</w:t>
                      </w:r>
                      <w:r>
                        <w:rPr>
                          <w:rFonts w:hint="eastAsia"/>
                          <w:color w:val="000000"/>
                          <w:sz w:val="20"/>
                        </w:rPr>
                        <w:t>(</w:t>
                      </w:r>
                      <w:r>
                        <w:rPr>
                          <w:rFonts w:hint="eastAsia"/>
                          <w:color w:val="000000"/>
                          <w:sz w:val="20"/>
                        </w:rPr>
                        <w:t>交付金等</w:t>
                      </w:r>
                      <w:r>
                        <w:rPr>
                          <w:rFonts w:hint="eastAsia"/>
                          <w:color w:val="000000"/>
                          <w:sz w:val="20"/>
                        </w:rPr>
                        <w:t>)</w:t>
                      </w:r>
                    </w:p>
                  </w:txbxContent>
                </v:textbox>
                <v:imagedata o:title=""/>
                <w10:wrap type="none" anchorx="text" anchory="text"/>
              </v:roundrect>
            </w:pict>
          </mc:Fallback>
        </mc:AlternateContent>
      </w:r>
      <w:r>
        <w:rPr>
          <w:rFonts w:hint="eastAsia"/>
          <w:color w:val="000000"/>
        </w:rPr>
        <mc:AlternateContent>
          <mc:Choice Requires="wps">
            <w:drawing>
              <wp:anchor distT="0" distB="0" distL="114300" distR="114300" simplePos="0" relativeHeight="36" behindDoc="0" locked="0" layoutInCell="1" hidden="0" allowOverlap="1">
                <wp:simplePos x="0" y="0"/>
                <wp:positionH relativeFrom="column">
                  <wp:posOffset>1691640</wp:posOffset>
                </wp:positionH>
                <wp:positionV relativeFrom="paragraph">
                  <wp:posOffset>1558925</wp:posOffset>
                </wp:positionV>
                <wp:extent cx="757555" cy="273685"/>
                <wp:effectExtent l="0" t="0" r="635" b="635"/>
                <wp:wrapNone/>
                <wp:docPr id="1028" name="テキスト ボックス 3"/>
                <a:graphic xmlns:a="http://schemas.openxmlformats.org/drawingml/2006/main">
                  <a:graphicData uri="http://schemas.microsoft.com/office/word/2010/wordprocessingShape">
                    <wps:wsp>
                      <wps:cNvPr id="1028" name="テキスト ボックス 3"/>
                      <wps:cNvSpPr txBox="1"/>
                      <wps:spPr>
                        <a:xfrm>
                          <a:off x="0" y="0"/>
                          <a:ext cx="757555" cy="273685"/>
                        </a:xfrm>
                        <a:prstGeom prst="rect">
                          <a:avLst/>
                        </a:prstGeom>
                        <a:noFill/>
                        <a:ln w="6350">
                          <a:noFill/>
                        </a:ln>
                      </wps:spPr>
                      <wps:txbx>
                        <w:txbxContent>
                          <w:p>
                            <w:pPr>
                              <w:pStyle w:val="0"/>
                              <w:rPr>
                                <w:rFonts w:hint="default"/>
                                <w:b w:val="1"/>
                                <w:sz w:val="20"/>
                              </w:rPr>
                            </w:pPr>
                            <w:r>
                              <w:rPr>
                                <w:rFonts w:hint="eastAsia"/>
                                <w:b w:val="1"/>
                                <w:color w:val="0070C0"/>
                                <w:sz w:val="20"/>
                              </w:rPr>
                              <w:t>情報共有</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6;mso-wrap-distance-left:9pt;width:59.65pt;height:21.55pt;mso-position-horizontal-relative:text;position:absolute;margin-left:133.19pt;margin-top:122.75pt;mso-wrap-distance-bottom:0pt;mso-wrap-distance-right:9pt;mso-wrap-distance-top:0pt;v-text-anchor:top;" o:spid="_x0000_s1028" o:allowincell="t" o:allowoverlap="t" filled="f" stroked="f" strokeweight="0.5pt" o:spt="202" type="#_x0000_t202">
                <v:fill/>
                <v:textbox style="layout-flow:horizontal;">
                  <w:txbxContent>
                    <w:p>
                      <w:pPr>
                        <w:pStyle w:val="0"/>
                        <w:rPr>
                          <w:rFonts w:hint="default"/>
                          <w:b w:val="1"/>
                          <w:sz w:val="20"/>
                        </w:rPr>
                      </w:pPr>
                      <w:r>
                        <w:rPr>
                          <w:rFonts w:hint="eastAsia"/>
                          <w:b w:val="1"/>
                          <w:color w:val="0070C0"/>
                          <w:sz w:val="20"/>
                        </w:rPr>
                        <w:t>情報共有</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25" behindDoc="0" locked="0" layoutInCell="1" hidden="0" allowOverlap="1">
                <wp:simplePos x="0" y="0"/>
                <wp:positionH relativeFrom="column">
                  <wp:posOffset>2521585</wp:posOffset>
                </wp:positionH>
                <wp:positionV relativeFrom="paragraph">
                  <wp:posOffset>1888490</wp:posOffset>
                </wp:positionV>
                <wp:extent cx="698500" cy="278765"/>
                <wp:effectExtent l="0" t="0" r="635" b="635"/>
                <wp:wrapNone/>
                <wp:docPr id="1029" name="テキスト ボックス 3"/>
                <a:graphic xmlns:a="http://schemas.openxmlformats.org/drawingml/2006/main">
                  <a:graphicData uri="http://schemas.microsoft.com/office/word/2010/wordprocessingShape">
                    <wps:wsp>
                      <wps:cNvPr id="1029" name="テキスト ボックス 3"/>
                      <wps:cNvSpPr txBox="1"/>
                      <wps:spPr>
                        <a:xfrm>
                          <a:off x="0" y="0"/>
                          <a:ext cx="698500" cy="278765"/>
                        </a:xfrm>
                        <a:prstGeom prst="rect">
                          <a:avLst/>
                        </a:prstGeom>
                        <a:noFill/>
                        <a:ln w="6350">
                          <a:noFill/>
                        </a:ln>
                      </wps:spPr>
                      <wps:txbx>
                        <w:txbxContent>
                          <w:p>
                            <w:pPr>
                              <w:pStyle w:val="0"/>
                              <w:rPr>
                                <w:rFonts w:hint="default"/>
                                <w:b w:val="1"/>
                                <w:sz w:val="20"/>
                              </w:rPr>
                            </w:pPr>
                            <w:r>
                              <w:rPr>
                                <w:rFonts w:hint="eastAsia"/>
                                <w:b w:val="1"/>
                                <w:color w:val="0070C0"/>
                                <w:sz w:val="20"/>
                              </w:rPr>
                              <w:t>情報共有</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5;mso-wrap-distance-left:9pt;width:55pt;height:21.95pt;mso-position-horizontal-relative:text;position:absolute;margin-left:198.55pt;margin-top:148.69pt;mso-wrap-distance-bottom:0pt;mso-wrap-distance-right:9pt;mso-wrap-distance-top:0pt;v-text-anchor:top;" o:spid="_x0000_s1029" o:allowincell="t" o:allowoverlap="t" filled="f" stroked="f" strokeweight="0.5pt" o:spt="202" type="#_x0000_t202">
                <v:fill/>
                <v:textbox style="layout-flow:horizontal;">
                  <w:txbxContent>
                    <w:p>
                      <w:pPr>
                        <w:pStyle w:val="0"/>
                        <w:rPr>
                          <w:rFonts w:hint="default"/>
                          <w:b w:val="1"/>
                          <w:sz w:val="20"/>
                        </w:rPr>
                      </w:pPr>
                      <w:r>
                        <w:rPr>
                          <w:rFonts w:hint="eastAsia"/>
                          <w:b w:val="1"/>
                          <w:color w:val="0070C0"/>
                          <w:sz w:val="20"/>
                        </w:rPr>
                        <w:t>情報共有</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40" behindDoc="0" locked="0" layoutInCell="1" hidden="0" allowOverlap="1">
                <wp:simplePos x="0" y="0"/>
                <wp:positionH relativeFrom="column">
                  <wp:posOffset>1965960</wp:posOffset>
                </wp:positionH>
                <wp:positionV relativeFrom="paragraph">
                  <wp:posOffset>3379470</wp:posOffset>
                </wp:positionV>
                <wp:extent cx="1979930" cy="1115695"/>
                <wp:effectExtent l="46990" t="25400" r="78105" b="87630"/>
                <wp:wrapNone/>
                <wp:docPr id="1030" name="四角形: 角を丸くする 4"/>
                <a:graphic xmlns:a="http://schemas.openxmlformats.org/drawingml/2006/main">
                  <a:graphicData uri="http://schemas.microsoft.com/office/word/2010/wordprocessingShape">
                    <wps:wsp>
                      <wps:cNvPr id="1030" name="四角形: 角を丸くする 4"/>
                      <wps:cNvSpPr/>
                      <wps:spPr>
                        <a:xfrm>
                          <a:off x="0" y="0"/>
                          <a:ext cx="1979930" cy="1115695"/>
                        </a:xfrm>
                        <a:prstGeom prst="roundRect">
                          <a:avLst/>
                        </a:prstGeom>
                        <a:noFill/>
                        <a:ln w="1905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roundrect id="四角形: 角を丸くする 4" style="mso-position-vertical-relative:text;z-index:40;mso-wrap-distance-left:9pt;width:155.9pt;height:87.85pt;mso-position-horizontal-relative:text;position:absolute;margin-left:154.80000000000001pt;margin-top:266.10000000000002pt;mso-wrap-distance-bottom:0pt;mso-wrap-distance-right:9pt;mso-wrap-distance-top:0pt;" o:spid="_x0000_s1030" o:allowincell="t" o:allowoverlap="t" filled="f" stroked="t" strokecolor="#000000" strokeweight="1.5pt" o:spt="2" arcsize="10923f">
                <v:fill/>
                <v:stroke linestyle="single" endcap="flat" dashstyle="solid" filltype="solid"/>
                <v:shadow on="t" color="#000000" opacity="22937f" offset="0pt,1.811023622047244pt" origin=",0.5" matrix="65536f,,,65536f,,"/>
                <v:textbox style="layout-flow:horizontal;"/>
                <v:imagedata o:title=""/>
                <w10:wrap type="none" anchorx="text" anchory="text"/>
              </v:roundrect>
            </w:pict>
          </mc:Fallback>
        </mc:AlternateContent>
      </w:r>
      <w:r>
        <w:rPr>
          <w:rFonts w:hint="eastAsia"/>
          <w:color w:val="000000"/>
        </w:rPr>
        <mc:AlternateContent>
          <mc:Choice Requires="wps">
            <w:drawing>
              <wp:anchor distT="0" distB="0" distL="114300" distR="114300" simplePos="0" relativeHeight="26" behindDoc="0" locked="0" layoutInCell="1" hidden="0" allowOverlap="1">
                <wp:simplePos x="0" y="0"/>
                <wp:positionH relativeFrom="column">
                  <wp:posOffset>2182495</wp:posOffset>
                </wp:positionH>
                <wp:positionV relativeFrom="paragraph">
                  <wp:posOffset>3427095</wp:posOffset>
                </wp:positionV>
                <wp:extent cx="1508125" cy="436245"/>
                <wp:effectExtent l="0" t="0" r="635" b="635"/>
                <wp:wrapNone/>
                <wp:docPr id="1031" name="テキスト ボックス 3"/>
                <a:graphic xmlns:a="http://schemas.openxmlformats.org/drawingml/2006/main">
                  <a:graphicData uri="http://schemas.microsoft.com/office/word/2010/wordprocessingShape">
                    <wps:wsp>
                      <wps:cNvPr id="1031" name="テキスト ボックス 3"/>
                      <wps:cNvSpPr txBox="1"/>
                      <wps:spPr>
                        <a:xfrm>
                          <a:off x="0" y="0"/>
                          <a:ext cx="1508125" cy="436245"/>
                        </a:xfrm>
                        <a:prstGeom prst="rect">
                          <a:avLst/>
                        </a:prstGeom>
                        <a:noFill/>
                        <a:ln w="6350">
                          <a:noFill/>
                        </a:ln>
                      </wps:spPr>
                      <wps:txbx>
                        <w:txbxContent>
                          <w:p>
                            <w:pPr>
                              <w:pStyle w:val="0"/>
                              <w:ind w:left="200" w:hanging="200" w:hangingChars="100"/>
                              <w:rPr>
                                <w:rFonts w:hint="default"/>
                                <w:sz w:val="20"/>
                              </w:rPr>
                            </w:pPr>
                            <w:r>
                              <w:rPr>
                                <w:rFonts w:hint="eastAsia"/>
                                <w:sz w:val="20"/>
                              </w:rPr>
                              <w:t>〇千葉県国民健康保険団体連合会</w:t>
                            </w:r>
                          </w:p>
                          <w:p>
                            <w:pPr>
                              <w:pStyle w:val="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6;mso-wrap-distance-left:9pt;width:118.75pt;height:34.35pt;mso-position-horizontal-relative:text;position:absolute;margin-left:171.85pt;margin-top:269.85000000000002pt;mso-wrap-distance-bottom:0pt;mso-wrap-distance-right:9pt;mso-wrap-distance-top:0pt;v-text-anchor:top;" o:spid="_x0000_s1031" o:allowincell="t" o:allowoverlap="t" filled="f" stroked="f" strokeweight="0.5pt" o:spt="202" type="#_x0000_t202">
                <v:fill/>
                <v:textbox style="layout-flow:horizontal;">
                  <w:txbxContent>
                    <w:p>
                      <w:pPr>
                        <w:pStyle w:val="0"/>
                        <w:ind w:left="200" w:hanging="200" w:hangingChars="100"/>
                        <w:rPr>
                          <w:rFonts w:hint="default"/>
                          <w:sz w:val="20"/>
                        </w:rPr>
                      </w:pPr>
                      <w:r>
                        <w:rPr>
                          <w:rFonts w:hint="eastAsia"/>
                          <w:sz w:val="20"/>
                        </w:rPr>
                        <w:t>〇千葉県国民健康保険団体連合会</w:t>
                      </w:r>
                    </w:p>
                    <w:p>
                      <w:pPr>
                        <w:pStyle w:val="0"/>
                        <w:rPr>
                          <w:rFonts w:hint="default"/>
                        </w:rPr>
                      </w:pP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28" behindDoc="0" locked="0" layoutInCell="1" hidden="0" allowOverlap="1">
                <wp:simplePos x="0" y="0"/>
                <wp:positionH relativeFrom="column">
                  <wp:posOffset>5039360</wp:posOffset>
                </wp:positionH>
                <wp:positionV relativeFrom="paragraph">
                  <wp:posOffset>2602230</wp:posOffset>
                </wp:positionV>
                <wp:extent cx="502920" cy="319405"/>
                <wp:effectExtent l="0" t="0" r="635" b="635"/>
                <wp:wrapNone/>
                <wp:docPr id="1032" name="テキスト ボックス 3"/>
                <a:graphic xmlns:a="http://schemas.openxmlformats.org/drawingml/2006/main">
                  <a:graphicData uri="http://schemas.microsoft.com/office/word/2010/wordprocessingShape">
                    <wps:wsp>
                      <wps:cNvPr id="1032" name="テキスト ボックス 3"/>
                      <wps:cNvSpPr txBox="1"/>
                      <wps:spPr>
                        <a:xfrm>
                          <a:off x="0" y="0"/>
                          <a:ext cx="502920" cy="319405"/>
                        </a:xfrm>
                        <a:prstGeom prst="rect">
                          <a:avLst/>
                        </a:prstGeom>
                        <a:noFill/>
                        <a:ln w="6350">
                          <a:noFill/>
                        </a:ln>
                      </wps:spPr>
                      <wps:txbx>
                        <w:txbxContent>
                          <w:p>
                            <w:pPr>
                              <w:pStyle w:val="0"/>
                              <w:rPr>
                                <w:rFonts w:hint="default"/>
                                <w:b w:val="1"/>
                                <w:sz w:val="20"/>
                              </w:rPr>
                            </w:pPr>
                            <w:r>
                              <w:rPr>
                                <w:rFonts w:hint="eastAsia"/>
                                <w:b w:val="1"/>
                                <w:color w:val="00B050"/>
                                <w:sz w:val="20"/>
                              </w:rPr>
                              <w:t>相談</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8;mso-wrap-distance-left:9pt;width:39.6pt;height:25.15pt;mso-position-horizontal-relative:text;position:absolute;margin-left:396.8pt;margin-top:204.9pt;mso-wrap-distance-bottom:0pt;mso-wrap-distance-right:9pt;mso-wrap-distance-top:0pt;v-text-anchor:top;" o:spid="_x0000_s1032" o:allowincell="t" o:allowoverlap="t" filled="f" stroked="f" strokeweight="0.5pt" o:spt="202" type="#_x0000_t202">
                <v:fill/>
                <v:textbox style="layout-flow:horizontal;">
                  <w:txbxContent>
                    <w:p>
                      <w:pPr>
                        <w:pStyle w:val="0"/>
                        <w:rPr>
                          <w:rFonts w:hint="default"/>
                          <w:b w:val="1"/>
                          <w:sz w:val="20"/>
                        </w:rPr>
                      </w:pPr>
                      <w:r>
                        <w:rPr>
                          <w:rFonts w:hint="eastAsia"/>
                          <w:b w:val="1"/>
                          <w:color w:val="00B050"/>
                          <w:sz w:val="20"/>
                        </w:rPr>
                        <w:t>相談</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1" behindDoc="0" locked="0" layoutInCell="1" hidden="0" allowOverlap="1">
                <wp:simplePos x="0" y="0"/>
                <wp:positionH relativeFrom="column">
                  <wp:posOffset>4245610</wp:posOffset>
                </wp:positionH>
                <wp:positionV relativeFrom="paragraph">
                  <wp:posOffset>2887980</wp:posOffset>
                </wp:positionV>
                <wp:extent cx="502920" cy="254635"/>
                <wp:effectExtent l="0" t="0" r="635" b="635"/>
                <wp:wrapNone/>
                <wp:docPr id="1033" name="テキスト ボックス 3"/>
                <a:graphic xmlns:a="http://schemas.openxmlformats.org/drawingml/2006/main">
                  <a:graphicData uri="http://schemas.microsoft.com/office/word/2010/wordprocessingShape">
                    <wps:wsp>
                      <wps:cNvPr id="1033" name="テキスト ボックス 3"/>
                      <wps:cNvSpPr txBox="1"/>
                      <wps:spPr>
                        <a:xfrm>
                          <a:off x="0" y="0"/>
                          <a:ext cx="502920" cy="254635"/>
                        </a:xfrm>
                        <a:prstGeom prst="rect">
                          <a:avLst/>
                        </a:prstGeom>
                        <a:noFill/>
                        <a:ln w="6350">
                          <a:noFill/>
                        </a:ln>
                      </wps:spPr>
                      <wps:txbx>
                        <w:txbxContent>
                          <w:p>
                            <w:pPr>
                              <w:pStyle w:val="0"/>
                              <w:rPr>
                                <w:rFonts w:hint="default"/>
                                <w:b w:val="1"/>
                                <w:sz w:val="20"/>
                              </w:rPr>
                            </w:pPr>
                            <w:r>
                              <w:rPr>
                                <w:rFonts w:hint="eastAsia"/>
                                <w:b w:val="1"/>
                                <w:color w:val="FFC000"/>
                                <w:sz w:val="20"/>
                              </w:rPr>
                              <w:t>助言</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1;mso-wrap-distance-left:9pt;width:39.6pt;height:20.05pt;mso-position-horizontal-relative:text;position:absolute;margin-left:334.3pt;margin-top:227.4pt;mso-wrap-distance-bottom:0pt;mso-wrap-distance-right:9pt;mso-wrap-distance-top:0pt;v-text-anchor:top;" o:spid="_x0000_s1033" o:allowincell="t" o:allowoverlap="t" filled="f" stroked="f" strokeweight="0.5pt" o:spt="202" type="#_x0000_t202">
                <v:fill/>
                <v:textbox style="layout-flow:horizontal;">
                  <w:txbxContent>
                    <w:p>
                      <w:pPr>
                        <w:pStyle w:val="0"/>
                        <w:rPr>
                          <w:rFonts w:hint="default"/>
                          <w:b w:val="1"/>
                          <w:sz w:val="20"/>
                        </w:rPr>
                      </w:pPr>
                      <w:r>
                        <w:rPr>
                          <w:rFonts w:hint="eastAsia"/>
                          <w:b w:val="1"/>
                          <w:color w:val="FFC000"/>
                          <w:sz w:val="20"/>
                        </w:rPr>
                        <w:t>助言</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2" behindDoc="0" locked="0" layoutInCell="1" hidden="0" allowOverlap="1">
                <wp:simplePos x="0" y="0"/>
                <wp:positionH relativeFrom="column">
                  <wp:posOffset>4650740</wp:posOffset>
                </wp:positionH>
                <wp:positionV relativeFrom="paragraph">
                  <wp:posOffset>2713355</wp:posOffset>
                </wp:positionV>
                <wp:extent cx="502920" cy="300355"/>
                <wp:effectExtent l="0" t="0" r="635" b="635"/>
                <wp:wrapNone/>
                <wp:docPr id="1034" name="テキスト ボックス 3"/>
                <a:graphic xmlns:a="http://schemas.openxmlformats.org/drawingml/2006/main">
                  <a:graphicData uri="http://schemas.microsoft.com/office/word/2010/wordprocessingShape">
                    <wps:wsp>
                      <wps:cNvPr id="1034" name="テキスト ボックス 3"/>
                      <wps:cNvSpPr txBox="1"/>
                      <wps:spPr>
                        <a:xfrm>
                          <a:off x="0" y="0"/>
                          <a:ext cx="502920" cy="300355"/>
                        </a:xfrm>
                        <a:prstGeom prst="rect">
                          <a:avLst/>
                        </a:prstGeom>
                        <a:noFill/>
                        <a:ln w="6350">
                          <a:noFill/>
                        </a:ln>
                      </wps:spPr>
                      <wps:txbx>
                        <w:txbxContent>
                          <w:p>
                            <w:pPr>
                              <w:pStyle w:val="0"/>
                              <w:rPr>
                                <w:rFonts w:hint="default"/>
                                <w:b w:val="1"/>
                                <w:sz w:val="20"/>
                              </w:rPr>
                            </w:pPr>
                            <w:r>
                              <w:rPr>
                                <w:rFonts w:hint="eastAsia"/>
                                <w:b w:val="1"/>
                                <w:color w:val="FFC000"/>
                                <w:sz w:val="20"/>
                              </w:rPr>
                              <w:t>支援</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2;mso-wrap-distance-left:9pt;width:39.6pt;height:23.65pt;mso-position-horizontal-relative:text;position:absolute;margin-left:366.2pt;margin-top:213.65pt;mso-wrap-distance-bottom:0pt;mso-wrap-distance-right:9pt;mso-wrap-distance-top:0pt;v-text-anchor:top;" o:spid="_x0000_s1034" o:allowincell="t" o:allowoverlap="t" filled="f" stroked="f" strokeweight="0.5pt" o:spt="202" type="#_x0000_t202">
                <v:fill/>
                <v:textbox style="layout-flow:horizontal;">
                  <w:txbxContent>
                    <w:p>
                      <w:pPr>
                        <w:pStyle w:val="0"/>
                        <w:rPr>
                          <w:rFonts w:hint="default"/>
                          <w:b w:val="1"/>
                          <w:sz w:val="20"/>
                        </w:rPr>
                      </w:pPr>
                      <w:r>
                        <w:rPr>
                          <w:rFonts w:hint="eastAsia"/>
                          <w:b w:val="1"/>
                          <w:color w:val="FFC000"/>
                          <w:sz w:val="20"/>
                        </w:rPr>
                        <w:t>支援</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10" behindDoc="0" locked="0" layoutInCell="1" hidden="0" allowOverlap="1">
                <wp:simplePos x="0" y="0"/>
                <wp:positionH relativeFrom="column">
                  <wp:posOffset>82550</wp:posOffset>
                </wp:positionH>
                <wp:positionV relativeFrom="paragraph">
                  <wp:posOffset>3642995</wp:posOffset>
                </wp:positionV>
                <wp:extent cx="1187450" cy="323850"/>
                <wp:effectExtent l="40005" t="22225" r="67945" b="82550"/>
                <wp:wrapNone/>
                <wp:docPr id="1035" name="四角形: 角を丸くする 1"/>
                <a:graphic xmlns:a="http://schemas.openxmlformats.org/drawingml/2006/main">
                  <a:graphicData uri="http://schemas.microsoft.com/office/word/2010/wordprocessingShape">
                    <wps:wsp>
                      <wps:cNvPr id="1035" name="四角形: 角を丸くする 1"/>
                      <wps:cNvSpPr/>
                      <wps:spPr>
                        <a:xfrm>
                          <a:off x="0" y="0"/>
                          <a:ext cx="1187450" cy="323850"/>
                        </a:xfrm>
                        <a:prstGeom prst="roundRect">
                          <a:avLst/>
                        </a:prstGeom>
                        <a:solidFill>
                          <a:srgbClr val="FF7463"/>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rPr>
                            </w:pPr>
                            <w:r>
                              <w:rPr>
                                <w:rFonts w:hint="eastAsia"/>
                                <w:color w:val="000000"/>
                                <w:sz w:val="20"/>
                              </w:rPr>
                              <w:t>印旛市郡医師会</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10;mso-wrap-distance-left:9pt;width:93.5pt;height:25.5pt;mso-position-horizontal-relative:text;position:absolute;margin-left:6.5pt;margin-top:286.85000000000002pt;mso-wrap-distance-bottom:0pt;mso-wrap-distance-right:9pt;mso-wrap-distance-top:0pt;v-text-anchor:middle;" o:spid="_x0000_s1035" o:allowincell="t" o:allowoverlap="t" filled="t" fillcolor="#ff7463"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rPr>
                      </w:pPr>
                      <w:r>
                        <w:rPr>
                          <w:rFonts w:hint="eastAsia"/>
                          <w:color w:val="000000"/>
                          <w:sz w:val="20"/>
                        </w:rPr>
                        <w:t>印旛市郡医師会</w:t>
                      </w:r>
                    </w:p>
                  </w:txbxContent>
                </v:textbox>
                <v:imagedata o:title=""/>
                <w10:wrap type="none" anchorx="text" anchory="text"/>
              </v:roundrect>
            </w:pict>
          </mc:Fallback>
        </mc:AlternateContent>
      </w:r>
      <w:r>
        <w:rPr>
          <w:rFonts w:hint="default"/>
        </w:rPr>
        <mc:AlternateContent>
          <mc:Choice Requires="wps">
            <w:drawing>
              <wp:anchor distT="0" distB="0" distL="114300" distR="114300" simplePos="0" relativeHeight="11" behindDoc="0" locked="0" layoutInCell="1" hidden="0" allowOverlap="1">
                <wp:simplePos x="0" y="0"/>
                <wp:positionH relativeFrom="column">
                  <wp:posOffset>-25400</wp:posOffset>
                </wp:positionH>
                <wp:positionV relativeFrom="paragraph">
                  <wp:posOffset>4054475</wp:posOffset>
                </wp:positionV>
                <wp:extent cx="1403985" cy="323850"/>
                <wp:effectExtent l="46355" t="14605" r="73660" b="80645"/>
                <wp:wrapNone/>
                <wp:docPr id="1036" name="四角形: 角を丸くする 1"/>
                <a:graphic xmlns:a="http://schemas.openxmlformats.org/drawingml/2006/main">
                  <a:graphicData uri="http://schemas.microsoft.com/office/word/2010/wordprocessingShape">
                    <wps:wsp>
                      <wps:cNvPr id="1036" name="四角形: 角を丸くする 1"/>
                      <wps:cNvSpPr/>
                      <wps:spPr>
                        <a:xfrm>
                          <a:off x="0" y="0"/>
                          <a:ext cx="1403985" cy="323850"/>
                        </a:xfrm>
                        <a:prstGeom prst="roundRect">
                          <a:avLst/>
                        </a:prstGeom>
                        <a:solidFill>
                          <a:srgbClr val="FF7463"/>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rPr>
                            </w:pPr>
                            <w:r>
                              <w:rPr>
                                <w:rFonts w:hint="eastAsia"/>
                                <w:color w:val="000000"/>
                                <w:sz w:val="20"/>
                              </w:rPr>
                              <w:t>印旛郡市歯科医師会</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11;mso-wrap-distance-left:9pt;width:110.55pt;height:25.5pt;mso-position-horizontal-relative:text;position:absolute;margin-left:-2pt;margin-top:319.25pt;mso-wrap-distance-bottom:0pt;mso-wrap-distance-right:9pt;mso-wrap-distance-top:0pt;v-text-anchor:middle;" o:spid="_x0000_s1036" o:allowincell="t" o:allowoverlap="t" filled="t" fillcolor="#ff7463"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rPr>
                      </w:pPr>
                      <w:r>
                        <w:rPr>
                          <w:rFonts w:hint="eastAsia"/>
                          <w:color w:val="000000"/>
                          <w:sz w:val="20"/>
                        </w:rPr>
                        <w:t>印旛郡市歯科医師会</w:t>
                      </w:r>
                    </w:p>
                  </w:txbxContent>
                </v:textbox>
                <v:imagedata o:title=""/>
                <w10:wrap type="none" anchorx="text" anchory="text"/>
              </v:roundrect>
            </w:pict>
          </mc:Fallback>
        </mc:AlternateContent>
      </w:r>
      <w:r>
        <w:rPr>
          <w:rFonts w:hint="default"/>
        </w:rPr>
        <mc:AlternateContent>
          <mc:Choice Requires="wps">
            <w:drawing>
              <wp:anchor distT="0" distB="0" distL="114300" distR="114300" simplePos="0" relativeHeight="12" behindDoc="0" locked="0" layoutInCell="1" hidden="0" allowOverlap="1">
                <wp:simplePos x="0" y="0"/>
                <wp:positionH relativeFrom="column">
                  <wp:posOffset>-54610</wp:posOffset>
                </wp:positionH>
                <wp:positionV relativeFrom="paragraph">
                  <wp:posOffset>4476750</wp:posOffset>
                </wp:positionV>
                <wp:extent cx="1403985" cy="323850"/>
                <wp:effectExtent l="45720" t="17780" r="74295" b="86995"/>
                <wp:wrapNone/>
                <wp:docPr id="1037" name="四角形: 角を丸くする 1"/>
                <a:graphic xmlns:a="http://schemas.openxmlformats.org/drawingml/2006/main">
                  <a:graphicData uri="http://schemas.microsoft.com/office/word/2010/wordprocessingShape">
                    <wps:wsp>
                      <wps:cNvPr id="1037" name="四角形: 角を丸くする 1"/>
                      <wps:cNvSpPr/>
                      <wps:spPr>
                        <a:xfrm>
                          <a:off x="0" y="0"/>
                          <a:ext cx="1403985" cy="323850"/>
                        </a:xfrm>
                        <a:prstGeom prst="roundRect">
                          <a:avLst/>
                        </a:prstGeom>
                        <a:solidFill>
                          <a:srgbClr val="FF7463"/>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rPr>
                            </w:pPr>
                            <w:r>
                              <w:rPr>
                                <w:rFonts w:hint="eastAsia"/>
                                <w:color w:val="000000"/>
                                <w:sz w:val="20"/>
                              </w:rPr>
                              <w:t>印旛郡市薬剤師会</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12;mso-wrap-distance-left:9pt;width:110.55pt;height:25.5pt;mso-position-horizontal-relative:text;position:absolute;margin-left:-4.3pt;margin-top:352.5pt;mso-wrap-distance-bottom:0pt;mso-wrap-distance-right:9pt;mso-wrap-distance-top:0pt;v-text-anchor:middle;" o:spid="_x0000_s1037" o:allowincell="t" o:allowoverlap="t" filled="t" fillcolor="#ff7463"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rPr>
                      </w:pPr>
                      <w:r>
                        <w:rPr>
                          <w:rFonts w:hint="eastAsia"/>
                          <w:color w:val="000000"/>
                          <w:sz w:val="20"/>
                        </w:rPr>
                        <w:t>印旛郡市薬剤師会</w:t>
                      </w:r>
                    </w:p>
                  </w:txbxContent>
                </v:textbox>
                <v:imagedata o:title=""/>
                <w10:wrap type="none" anchorx="text" anchory="text"/>
              </v:roundrect>
            </w:pict>
          </mc:Fallback>
        </mc:AlternateContent>
      </w:r>
      <w:r>
        <w:rPr>
          <w:rFonts w:hint="eastAsia"/>
          <w:color w:val="000000"/>
        </w:rPr>
        <mc:AlternateContent>
          <mc:Choice Requires="wps">
            <w:drawing>
              <wp:anchor distT="0" distB="0" distL="114300" distR="114300" simplePos="0" relativeHeight="38" behindDoc="0" locked="0" layoutInCell="1" hidden="0" allowOverlap="1">
                <wp:simplePos x="0" y="0"/>
                <wp:positionH relativeFrom="column">
                  <wp:posOffset>-15875</wp:posOffset>
                </wp:positionH>
                <wp:positionV relativeFrom="paragraph">
                  <wp:posOffset>3380740</wp:posOffset>
                </wp:positionV>
                <wp:extent cx="1288415" cy="242570"/>
                <wp:effectExtent l="0" t="0" r="635" b="635"/>
                <wp:wrapNone/>
                <wp:docPr id="1038" name="テキスト ボックス 3"/>
                <a:graphic xmlns:a="http://schemas.openxmlformats.org/drawingml/2006/main">
                  <a:graphicData uri="http://schemas.microsoft.com/office/word/2010/wordprocessingShape">
                    <wps:wsp>
                      <wps:cNvPr id="1038" name="テキスト ボックス 3"/>
                      <wps:cNvSpPr txBox="1"/>
                      <wps:spPr>
                        <a:xfrm>
                          <a:off x="0" y="0"/>
                          <a:ext cx="1288415" cy="242570"/>
                        </a:xfrm>
                        <a:prstGeom prst="rect">
                          <a:avLst/>
                        </a:prstGeom>
                        <a:noFill/>
                        <a:ln w="6350">
                          <a:noFill/>
                        </a:ln>
                      </wps:spPr>
                      <wps:txbx>
                        <w:txbxContent>
                          <w:p>
                            <w:pPr>
                              <w:pStyle w:val="0"/>
                              <w:ind w:left="200" w:hanging="200" w:hangingChars="100"/>
                              <w:rPr>
                                <w:rFonts w:hint="default"/>
                              </w:rPr>
                            </w:pPr>
                            <w:r>
                              <w:rPr>
                                <w:rFonts w:hint="eastAsia"/>
                                <w:sz w:val="20"/>
                              </w:rPr>
                              <w:t>〇外部有識者団体</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8;mso-wrap-distance-left:9pt;width:101.45pt;height:19.100000000000001pt;mso-position-horizontal-relative:text;position:absolute;margin-left:-1.25pt;margin-top:266.2pt;mso-wrap-distance-bottom:0pt;mso-wrap-distance-right:9pt;mso-wrap-distance-top:0pt;v-text-anchor:top;" o:spid="_x0000_s1038" o:allowincell="t" o:allowoverlap="t" filled="f" stroked="f" strokeweight="0.5pt" o:spt="202" type="#_x0000_t202">
                <v:fill/>
                <v:textbox style="layout-flow:horizontal;">
                  <w:txbxContent>
                    <w:p>
                      <w:pPr>
                        <w:pStyle w:val="0"/>
                        <w:ind w:left="200" w:hanging="200" w:hangingChars="100"/>
                        <w:rPr>
                          <w:rFonts w:hint="default"/>
                        </w:rPr>
                      </w:pPr>
                      <w:r>
                        <w:rPr>
                          <w:rFonts w:hint="eastAsia"/>
                          <w:sz w:val="20"/>
                        </w:rPr>
                        <w:t>〇外部有識者団体</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9" behindDoc="0" locked="0" layoutInCell="1" hidden="0" allowOverlap="1">
                <wp:simplePos x="0" y="0"/>
                <wp:positionH relativeFrom="column">
                  <wp:posOffset>-290195</wp:posOffset>
                </wp:positionH>
                <wp:positionV relativeFrom="paragraph">
                  <wp:posOffset>3363595</wp:posOffset>
                </wp:positionV>
                <wp:extent cx="1979930" cy="1547495"/>
                <wp:effectExtent l="48260" t="19050" r="76835" b="90805"/>
                <wp:wrapNone/>
                <wp:docPr id="1039" name="四角形: 角を丸くする 4"/>
                <a:graphic xmlns:a="http://schemas.openxmlformats.org/drawingml/2006/main">
                  <a:graphicData uri="http://schemas.microsoft.com/office/word/2010/wordprocessingShape">
                    <wps:wsp>
                      <wps:cNvPr id="1039" name="四角形: 角を丸くする 4"/>
                      <wps:cNvSpPr/>
                      <wps:spPr>
                        <a:xfrm>
                          <a:off x="0" y="0"/>
                          <a:ext cx="1979930" cy="1547495"/>
                        </a:xfrm>
                        <a:prstGeom prst="roundRect">
                          <a:avLst/>
                        </a:prstGeom>
                        <a:noFill/>
                        <a:ln w="1905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roundrect id="四角形: 角を丸くする 4" style="mso-position-vertical-relative:text;z-index:39;mso-wrap-distance-left:9pt;width:155.9pt;height:121.85pt;mso-position-horizontal-relative:text;position:absolute;margin-left:-22.85pt;margin-top:264.85000000000002pt;mso-wrap-distance-bottom:0pt;mso-wrap-distance-right:9pt;mso-wrap-distance-top:0pt;" o:spid="_x0000_s1039" o:allowincell="t" o:allowoverlap="t" filled="f" stroked="t" strokecolor="#000000" strokeweight="1.5pt" o:spt="2" arcsize="10923f">
                <v:fill/>
                <v:stroke linestyle="single" endcap="flat" dashstyle="solid" filltype="solid"/>
                <v:shadow on="t" color="#000000" opacity="22937f" offset="0pt,1.811023622047244pt" origin=",0.5" matrix="65536f,,,65536f,,"/>
                <v:textbox style="layout-flow:horizontal;"/>
                <v:imagedata o:title=""/>
                <w10:wrap type="none" anchorx="text" anchory="text"/>
              </v:roundrect>
            </w:pict>
          </mc:Fallback>
        </mc:AlternateContent>
      </w:r>
      <w:r>
        <w:rPr>
          <w:rFonts w:hint="default"/>
        </w:rPr>
        <mc:AlternateContent>
          <mc:Choice Requires="wps">
            <w:drawing>
              <wp:anchor distT="0" distB="0" distL="114300" distR="114300" simplePos="0" relativeHeight="15" behindDoc="0" locked="0" layoutInCell="1" hidden="0" allowOverlap="1">
                <wp:simplePos x="0" y="0"/>
                <wp:positionH relativeFrom="column">
                  <wp:posOffset>4601845</wp:posOffset>
                </wp:positionH>
                <wp:positionV relativeFrom="paragraph">
                  <wp:posOffset>4051300</wp:posOffset>
                </wp:positionV>
                <wp:extent cx="1259840" cy="323850"/>
                <wp:effectExtent l="44450" t="20955" r="67310" b="83820"/>
                <wp:wrapNone/>
                <wp:docPr id="1040" name="四角形: 角を丸くする 1"/>
                <a:graphic xmlns:a="http://schemas.openxmlformats.org/drawingml/2006/main">
                  <a:graphicData uri="http://schemas.microsoft.com/office/word/2010/wordprocessingShape">
                    <wps:wsp>
                      <wps:cNvPr id="1040" name="四角形: 角を丸くする 1"/>
                      <wps:cNvSpPr/>
                      <wps:spPr>
                        <a:xfrm>
                          <a:off x="0" y="0"/>
                          <a:ext cx="1259840" cy="323850"/>
                        </a:xfrm>
                        <a:prstGeom prst="roundRect">
                          <a:avLst/>
                        </a:prstGeom>
                        <a:solidFill>
                          <a:srgbClr val="FFC000"/>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rPr>
                            </w:pPr>
                            <w:r>
                              <w:rPr>
                                <w:rFonts w:hint="eastAsia"/>
                                <w:color w:val="000000"/>
                                <w:sz w:val="20"/>
                              </w:rPr>
                              <w:t>千葉県保健指導課</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15;mso-wrap-distance-left:9pt;width:99.2pt;height:25.5pt;mso-position-horizontal-relative:text;position:absolute;margin-left:362.35pt;margin-top:319pt;mso-wrap-distance-bottom:0pt;mso-wrap-distance-right:9pt;mso-wrap-distance-top:0pt;v-text-anchor:middle;" o:spid="_x0000_s1040" o:allowincell="t" o:allowoverlap="t" filled="t" fillcolor="#ffc000"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rPr>
                      </w:pPr>
                      <w:r>
                        <w:rPr>
                          <w:rFonts w:hint="eastAsia"/>
                          <w:color w:val="000000"/>
                          <w:sz w:val="20"/>
                        </w:rPr>
                        <w:t>千葉県保健指導課</w:t>
                      </w:r>
                    </w:p>
                  </w:txbxContent>
                </v:textbox>
                <v:imagedata o:title=""/>
                <w10:wrap type="none" anchorx="text" anchory="text"/>
              </v:roundrect>
            </w:pict>
          </mc:Fallback>
        </mc:AlternateContent>
      </w:r>
      <w:r>
        <w:rPr>
          <w:rFonts w:hint="default"/>
        </w:rPr>
        <mc:AlternateContent>
          <mc:Choice Requires="wps">
            <w:drawing>
              <wp:anchor distT="0" distB="0" distL="114300" distR="114300" simplePos="0" relativeHeight="14" behindDoc="0" locked="0" layoutInCell="1" hidden="0" allowOverlap="1">
                <wp:simplePos x="0" y="0"/>
                <wp:positionH relativeFrom="column">
                  <wp:posOffset>4334510</wp:posOffset>
                </wp:positionH>
                <wp:positionV relativeFrom="paragraph">
                  <wp:posOffset>3466465</wp:posOffset>
                </wp:positionV>
                <wp:extent cx="1799590" cy="503555"/>
                <wp:effectExtent l="43815" t="17145" r="71120" b="88900"/>
                <wp:wrapNone/>
                <wp:docPr id="1041" name="四角形: 角を丸くする 1"/>
                <a:graphic xmlns:a="http://schemas.openxmlformats.org/drawingml/2006/main">
                  <a:graphicData uri="http://schemas.microsoft.com/office/word/2010/wordprocessingShape">
                    <wps:wsp>
                      <wps:cNvPr id="1041" name="四角形: 角を丸くする 1"/>
                      <wps:cNvSpPr/>
                      <wps:spPr>
                        <a:xfrm>
                          <a:off x="0" y="0"/>
                          <a:ext cx="1799590" cy="503555"/>
                        </a:xfrm>
                        <a:prstGeom prst="roundRect">
                          <a:avLst/>
                        </a:prstGeom>
                        <a:solidFill>
                          <a:srgbClr val="FFC000"/>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rPr>
                            </w:pPr>
                            <w:r>
                              <w:rPr>
                                <w:rFonts w:hint="eastAsia"/>
                                <w:color w:val="000000"/>
                                <w:sz w:val="20"/>
                              </w:rPr>
                              <w:t>八街市国民健康保険事業の運営に関する協議会</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14;mso-wrap-distance-left:9pt;width:141.69pt;height:39.65pt;mso-position-horizontal-relative:text;position:absolute;margin-left:341.3pt;margin-top:272.95pt;mso-wrap-distance-bottom:0pt;mso-wrap-distance-right:9pt;mso-wrap-distance-top:0pt;v-text-anchor:middle;" o:spid="_x0000_s1041" o:allowincell="t" o:allowoverlap="t" filled="t" fillcolor="#ffc000"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rPr>
                      </w:pPr>
                      <w:r>
                        <w:rPr>
                          <w:rFonts w:hint="eastAsia"/>
                          <w:color w:val="000000"/>
                          <w:sz w:val="20"/>
                        </w:rPr>
                        <w:t>八街市国民健康保険事業の運営に関する協議会</w:t>
                      </w:r>
                    </w:p>
                  </w:txbxContent>
                </v:textbox>
                <v:imagedata o:title=""/>
                <w10:wrap type="none" anchorx="text" anchory="text"/>
              </v:roundrect>
            </w:pict>
          </mc:Fallback>
        </mc:AlternateContent>
      </w:r>
      <w:r>
        <w:rPr>
          <w:rFonts w:hint="eastAsia"/>
          <w:color w:val="000000"/>
        </w:rPr>
        <mc:AlternateContent>
          <mc:Choice Requires="wps">
            <w:drawing>
              <wp:anchor distT="0" distB="0" distL="114300" distR="114300" simplePos="0" relativeHeight="41" behindDoc="0" locked="0" layoutInCell="1" hidden="0" allowOverlap="1">
                <wp:simplePos x="0" y="0"/>
                <wp:positionH relativeFrom="column">
                  <wp:posOffset>4208780</wp:posOffset>
                </wp:positionH>
                <wp:positionV relativeFrom="paragraph">
                  <wp:posOffset>3357245</wp:posOffset>
                </wp:positionV>
                <wp:extent cx="1979930" cy="1115695"/>
                <wp:effectExtent l="41910" t="22225" r="73660" b="90805"/>
                <wp:wrapNone/>
                <wp:docPr id="1042" name="四角形: 角を丸くする 4"/>
                <a:graphic xmlns:a="http://schemas.openxmlformats.org/drawingml/2006/main">
                  <a:graphicData uri="http://schemas.microsoft.com/office/word/2010/wordprocessingShape">
                    <wps:wsp>
                      <wps:cNvPr id="1042" name="四角形: 角を丸くする 4"/>
                      <wps:cNvSpPr/>
                      <wps:spPr>
                        <a:xfrm>
                          <a:off x="0" y="0"/>
                          <a:ext cx="1979930" cy="1115695"/>
                        </a:xfrm>
                        <a:prstGeom prst="roundRect">
                          <a:avLst/>
                        </a:prstGeom>
                        <a:noFill/>
                        <a:ln w="1905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roundrect id="四角形: 角を丸くする 4" style="mso-position-vertical-relative:text;z-index:41;mso-wrap-distance-left:9pt;width:155.9pt;height:87.85pt;mso-position-horizontal-relative:text;position:absolute;margin-left:331.4pt;margin-top:264.35000000000002pt;mso-wrap-distance-bottom:0pt;mso-wrap-distance-right:9pt;mso-wrap-distance-top:0pt;" o:spid="_x0000_s1042" o:allowincell="t" o:allowoverlap="t" filled="f" stroked="t" strokecolor="#000000" strokeweight="1.5pt" o:spt="2" arcsize="10923f">
                <v:fill/>
                <v:stroke linestyle="single" endcap="flat" dashstyle="solid" filltype="solid"/>
                <v:shadow on="t" color="#000000" opacity="22937f" offset="0pt,1.811023622047244pt" origin=",0.5" matrix="65536f,,,65536f,,"/>
                <v:textbox style="layout-flow:horizontal;"/>
                <v:imagedata o:title=""/>
                <w10:wrap type="none" anchorx="text" anchory="text"/>
              </v:roundrect>
            </w:pict>
          </mc:Fallback>
        </mc:AlternateContent>
      </w:r>
      <w:r>
        <w:rPr>
          <w:rFonts w:hint="default"/>
        </w:rPr>
        <mc:AlternateContent>
          <mc:Choice Requires="wps">
            <w:drawing>
              <wp:anchor distT="0" distB="0" distL="114300" distR="114300" simplePos="0" relativeHeight="13" behindDoc="0" locked="0" layoutInCell="1" hidden="0" allowOverlap="1">
                <wp:simplePos x="0" y="0"/>
                <wp:positionH relativeFrom="column">
                  <wp:posOffset>2047240</wp:posOffset>
                </wp:positionH>
                <wp:positionV relativeFrom="paragraph">
                  <wp:posOffset>3865880</wp:posOffset>
                </wp:positionV>
                <wp:extent cx="1799590" cy="503555"/>
                <wp:effectExtent l="42545" t="16510" r="72390" b="80010"/>
                <wp:wrapNone/>
                <wp:docPr id="1043" name="四角形: 角を丸くする 1"/>
                <a:graphic xmlns:a="http://schemas.openxmlformats.org/drawingml/2006/main">
                  <a:graphicData uri="http://schemas.microsoft.com/office/word/2010/wordprocessingShape">
                    <wps:wsp>
                      <wps:cNvPr id="1043" name="四角形: 角を丸くする 1"/>
                      <wps:cNvSpPr/>
                      <wps:spPr>
                        <a:xfrm>
                          <a:off x="0" y="0"/>
                          <a:ext cx="1799590" cy="503555"/>
                        </a:xfrm>
                        <a:prstGeom prst="roundRect">
                          <a:avLst/>
                        </a:prstGeom>
                        <a:solidFill>
                          <a:srgbClr val="00B050"/>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color w:val="000000"/>
                                <w:sz w:val="20"/>
                              </w:rPr>
                            </w:pPr>
                            <w:r>
                              <w:rPr>
                                <w:rFonts w:hint="eastAsia"/>
                                <w:color w:val="000000"/>
                                <w:sz w:val="20"/>
                              </w:rPr>
                              <w:t>学識経験者・有識者</w:t>
                            </w:r>
                          </w:p>
                          <w:p>
                            <w:pPr>
                              <w:pStyle w:val="0"/>
                              <w:jc w:val="center"/>
                              <w:rPr>
                                <w:rFonts w:hint="default"/>
                              </w:rPr>
                            </w:pPr>
                            <w:r>
                              <w:rPr>
                                <w:rFonts w:hint="eastAsia"/>
                                <w:color w:val="000000"/>
                                <w:sz w:val="20"/>
                              </w:rPr>
                              <w:t>保険事業支援・評価委員会</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13;mso-wrap-distance-left:9pt;width:141.69pt;height:39.65pt;mso-position-horizontal-relative:text;position:absolute;margin-left:161.19pt;margin-top:304.39pt;mso-wrap-distance-bottom:0pt;mso-wrap-distance-right:9pt;mso-wrap-distance-top:0pt;v-text-anchor:middle;" o:spid="_x0000_s1043" o:allowincell="t" o:allowoverlap="t" filled="t" fillcolor="#00b050"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color w:val="000000"/>
                          <w:sz w:val="20"/>
                        </w:rPr>
                      </w:pPr>
                      <w:r>
                        <w:rPr>
                          <w:rFonts w:hint="eastAsia"/>
                          <w:color w:val="000000"/>
                          <w:sz w:val="20"/>
                        </w:rPr>
                        <w:t>学識経験者・有識者</w:t>
                      </w:r>
                    </w:p>
                    <w:p>
                      <w:pPr>
                        <w:pStyle w:val="0"/>
                        <w:jc w:val="center"/>
                        <w:rPr>
                          <w:rFonts w:hint="default"/>
                        </w:rPr>
                      </w:pPr>
                      <w:r>
                        <w:rPr>
                          <w:rFonts w:hint="eastAsia"/>
                          <w:color w:val="000000"/>
                          <w:sz w:val="20"/>
                        </w:rPr>
                        <w:t>保険事業支援・評価委員会</w:t>
                      </w:r>
                    </w:p>
                  </w:txbxContent>
                </v:textbox>
                <v:imagedata o:title=""/>
                <w10:wrap type="none" anchorx="text" anchory="text"/>
              </v:roundrect>
            </w:pict>
          </mc:Fallback>
        </mc:AlternateContent>
      </w:r>
      <w:r>
        <w:rPr>
          <w:rFonts w:hint="default"/>
        </w:rPr>
        <mc:AlternateContent>
          <mc:Choice Requires="wps">
            <w:drawing>
              <wp:anchor distT="0" distB="0" distL="114300" distR="114300" simplePos="0" relativeHeight="20" behindDoc="0" locked="0" layoutInCell="1" hidden="0" allowOverlap="1">
                <wp:simplePos x="0" y="0"/>
                <wp:positionH relativeFrom="column">
                  <wp:posOffset>2711450</wp:posOffset>
                </wp:positionH>
                <wp:positionV relativeFrom="paragraph">
                  <wp:posOffset>2406650</wp:posOffset>
                </wp:positionV>
                <wp:extent cx="503555" cy="899795"/>
                <wp:effectExtent l="40005" t="14605" r="66040" b="76200"/>
                <wp:wrapNone/>
                <wp:docPr id="1044" name="矢印: 上下 2"/>
                <a:graphic xmlns:a="http://schemas.openxmlformats.org/drawingml/2006/main">
                  <a:graphicData uri="http://schemas.microsoft.com/office/word/2010/wordprocessingShape">
                    <wps:wsp>
                      <wps:cNvPr id="1044" name="矢印: 上下 2"/>
                      <wps:cNvSpPr/>
                      <wps:spPr>
                        <a:xfrm>
                          <a:off x="0" y="0"/>
                          <a:ext cx="503555" cy="899795"/>
                        </a:xfrm>
                        <a:prstGeom prst="upDownArrow">
                          <a:avLst/>
                        </a:prstGeom>
                        <a:solidFill>
                          <a:srgbClr val="CCD6FF"/>
                        </a:solidFill>
                        <a:ln w="1270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2" style="mso-position-vertical-relative:text;z-index:20;mso-wrap-distance-left:9pt;width:39.65pt;height:70.84pt;mso-position-horizontal-relative:text;position:absolute;margin-left:213.5pt;margin-top:189.5pt;mso-wrap-distance-bottom:0pt;mso-wrap-distance-right:9pt;mso-wrap-distance-top:0pt;" o:spid="_x0000_s1044" o:allowincell="t" o:allowoverlap="t" filled="t" fillcolor="#ccd6ff" stroked="t" strokecolor="#000000" strokeweight="1pt" o:spt="70" type="#_x0000_t70" adj="5400,10800">
                <v:fill/>
                <v:stroke linestyle="single" endcap="flat" dashstyle="solid" filltype="solid"/>
                <v:shadow on="t" color="#000000" opacity="22937f" offset="0pt,1.811023622047244pt" origin=",0.5" matrix="65536f,,,65536f,,"/>
                <v:textbox style="layout-flow:horizontal;"/>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4" behindDoc="0" locked="0" layoutInCell="1" hidden="0" allowOverlap="1">
                <wp:simplePos x="0" y="0"/>
                <wp:positionH relativeFrom="column">
                  <wp:posOffset>813435</wp:posOffset>
                </wp:positionH>
                <wp:positionV relativeFrom="paragraph">
                  <wp:posOffset>2759075</wp:posOffset>
                </wp:positionV>
                <wp:extent cx="750570" cy="449580"/>
                <wp:effectExtent l="0" t="0" r="635" b="635"/>
                <wp:wrapNone/>
                <wp:docPr id="1045" name="テキスト ボックス 3"/>
                <a:graphic xmlns:a="http://schemas.openxmlformats.org/drawingml/2006/main">
                  <a:graphicData uri="http://schemas.microsoft.com/office/word/2010/wordprocessingShape">
                    <wps:wsp>
                      <wps:cNvPr id="1045" name="テキスト ボックス 3"/>
                      <wps:cNvSpPr txBox="1"/>
                      <wps:spPr>
                        <a:xfrm>
                          <a:off x="0" y="0"/>
                          <a:ext cx="750570" cy="449580"/>
                        </a:xfrm>
                        <a:prstGeom prst="rect">
                          <a:avLst/>
                        </a:prstGeom>
                        <a:noFill/>
                        <a:ln w="6350">
                          <a:noFill/>
                        </a:ln>
                      </wps:spPr>
                      <wps:txbx>
                        <w:txbxContent>
                          <w:p>
                            <w:pPr>
                              <w:pStyle w:val="0"/>
                              <w:jc w:val="center"/>
                              <w:rPr>
                                <w:rFonts w:hint="default"/>
                                <w:b w:val="1"/>
                                <w:sz w:val="20"/>
                              </w:rPr>
                            </w:pPr>
                            <w:r>
                              <w:rPr>
                                <w:rFonts w:hint="eastAsia"/>
                                <w:b w:val="1"/>
                                <w:color w:val="FFC000"/>
                                <w:sz w:val="20"/>
                              </w:rPr>
                              <w:t>助言</w:t>
                            </w:r>
                          </w:p>
                          <w:p>
                            <w:pPr>
                              <w:pStyle w:val="0"/>
                              <w:rPr>
                                <w:rFonts w:hint="default"/>
                                <w:b w:val="1"/>
                                <w:sz w:val="20"/>
                              </w:rPr>
                            </w:pPr>
                            <w:r>
                              <w:rPr>
                                <w:rFonts w:hint="eastAsia"/>
                                <w:b w:val="1"/>
                                <w:color w:val="0070C0"/>
                                <w:sz w:val="20"/>
                              </w:rPr>
                              <w:t>情報共有</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4;mso-wrap-distance-left:9pt;width:59.1pt;height:35.4pt;mso-position-horizontal-relative:text;position:absolute;margin-left:64.05pt;margin-top:217.25pt;mso-wrap-distance-bottom:0pt;mso-wrap-distance-right:9pt;mso-wrap-distance-top:0pt;v-text-anchor:top;" o:spid="_x0000_s1045" o:allowincell="t" o:allowoverlap="t" filled="f" stroked="f" strokeweight="0.5pt" o:spt="202" type="#_x0000_t202">
                <v:fill/>
                <v:textbox style="layout-flow:horizontal;">
                  <w:txbxContent>
                    <w:p>
                      <w:pPr>
                        <w:pStyle w:val="0"/>
                        <w:jc w:val="center"/>
                        <w:rPr>
                          <w:rFonts w:hint="default"/>
                          <w:b w:val="1"/>
                          <w:sz w:val="20"/>
                        </w:rPr>
                      </w:pPr>
                      <w:r>
                        <w:rPr>
                          <w:rFonts w:hint="eastAsia"/>
                          <w:b w:val="1"/>
                          <w:color w:val="FFC000"/>
                          <w:sz w:val="20"/>
                        </w:rPr>
                        <w:t>助言</w:t>
                      </w:r>
                    </w:p>
                    <w:p>
                      <w:pPr>
                        <w:pStyle w:val="0"/>
                        <w:rPr>
                          <w:rFonts w:hint="default"/>
                          <w:b w:val="1"/>
                          <w:sz w:val="20"/>
                        </w:rPr>
                      </w:pPr>
                      <w:r>
                        <w:rPr>
                          <w:rFonts w:hint="eastAsia"/>
                          <w:b w:val="1"/>
                          <w:color w:val="0070C0"/>
                          <w:sz w:val="20"/>
                        </w:rPr>
                        <w:t>情報共有</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29" behindDoc="0" locked="0" layoutInCell="1" hidden="0" allowOverlap="1">
                <wp:simplePos x="0" y="0"/>
                <wp:positionH relativeFrom="column">
                  <wp:posOffset>155575</wp:posOffset>
                </wp:positionH>
                <wp:positionV relativeFrom="paragraph">
                  <wp:posOffset>2559050</wp:posOffset>
                </wp:positionV>
                <wp:extent cx="502920" cy="254635"/>
                <wp:effectExtent l="0" t="0" r="635" b="635"/>
                <wp:wrapNone/>
                <wp:docPr id="1046" name="テキスト ボックス 3"/>
                <a:graphic xmlns:a="http://schemas.openxmlformats.org/drawingml/2006/main">
                  <a:graphicData uri="http://schemas.microsoft.com/office/word/2010/wordprocessingShape">
                    <wps:wsp>
                      <wps:cNvPr id="1046" name="テキスト ボックス 3"/>
                      <wps:cNvSpPr txBox="1"/>
                      <wps:spPr>
                        <a:xfrm>
                          <a:off x="0" y="0"/>
                          <a:ext cx="502920" cy="254635"/>
                        </a:xfrm>
                        <a:prstGeom prst="rect">
                          <a:avLst/>
                        </a:prstGeom>
                        <a:noFill/>
                        <a:ln w="6350">
                          <a:noFill/>
                        </a:ln>
                      </wps:spPr>
                      <wps:txbx>
                        <w:txbxContent>
                          <w:p>
                            <w:pPr>
                              <w:pStyle w:val="0"/>
                              <w:rPr>
                                <w:rFonts w:hint="default"/>
                                <w:b w:val="1"/>
                                <w:sz w:val="20"/>
                              </w:rPr>
                            </w:pPr>
                            <w:r>
                              <w:rPr>
                                <w:rFonts w:hint="eastAsia"/>
                                <w:b w:val="1"/>
                                <w:color w:val="00B050"/>
                                <w:sz w:val="20"/>
                              </w:rPr>
                              <w:t>相談</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9;mso-wrap-distance-left:9pt;width:39.6pt;height:20.05pt;mso-position-horizontal-relative:text;position:absolute;margin-left:12.25pt;margin-top:201.5pt;mso-wrap-distance-bottom:0pt;mso-wrap-distance-right:9pt;mso-wrap-distance-top:0pt;v-text-anchor:top;" o:spid="_x0000_s1046" o:allowincell="t" o:allowoverlap="t" filled="f" stroked="f" strokeweight="0.5pt" o:spt="202" type="#_x0000_t202">
                <v:fill/>
                <v:textbox style="layout-flow:horizontal;">
                  <w:txbxContent>
                    <w:p>
                      <w:pPr>
                        <w:pStyle w:val="0"/>
                        <w:rPr>
                          <w:rFonts w:hint="default"/>
                          <w:b w:val="1"/>
                          <w:sz w:val="20"/>
                        </w:rPr>
                      </w:pPr>
                      <w:r>
                        <w:rPr>
                          <w:rFonts w:hint="eastAsia"/>
                          <w:b w:val="1"/>
                          <w:color w:val="00B050"/>
                          <w:sz w:val="20"/>
                        </w:rPr>
                        <w:t>相談</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3" behindDoc="0" locked="0" layoutInCell="1" hidden="0" allowOverlap="1">
                <wp:simplePos x="0" y="0"/>
                <wp:positionH relativeFrom="column">
                  <wp:posOffset>567690</wp:posOffset>
                </wp:positionH>
                <wp:positionV relativeFrom="paragraph">
                  <wp:posOffset>2665730</wp:posOffset>
                </wp:positionV>
                <wp:extent cx="502920" cy="254635"/>
                <wp:effectExtent l="0" t="0" r="635" b="635"/>
                <wp:wrapNone/>
                <wp:docPr id="1047" name="テキスト ボックス 3"/>
                <a:graphic xmlns:a="http://schemas.openxmlformats.org/drawingml/2006/main">
                  <a:graphicData uri="http://schemas.microsoft.com/office/word/2010/wordprocessingShape">
                    <wps:wsp>
                      <wps:cNvPr id="1047" name="テキスト ボックス 3"/>
                      <wps:cNvSpPr txBox="1"/>
                      <wps:spPr>
                        <a:xfrm>
                          <a:off x="0" y="0"/>
                          <a:ext cx="502920" cy="254635"/>
                        </a:xfrm>
                        <a:prstGeom prst="rect">
                          <a:avLst/>
                        </a:prstGeom>
                        <a:noFill/>
                        <a:ln w="6350">
                          <a:noFill/>
                        </a:ln>
                      </wps:spPr>
                      <wps:txbx>
                        <w:txbxContent>
                          <w:p>
                            <w:pPr>
                              <w:pStyle w:val="0"/>
                              <w:rPr>
                                <w:rFonts w:hint="default"/>
                                <w:b w:val="1"/>
                                <w:color w:val="FF0000"/>
                                <w:sz w:val="20"/>
                              </w:rPr>
                            </w:pPr>
                            <w:r>
                              <w:rPr>
                                <w:rFonts w:hint="eastAsia"/>
                                <w:b w:val="1"/>
                                <w:color w:val="FF0000"/>
                                <w:sz w:val="20"/>
                              </w:rPr>
                              <w:t>連携</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3;mso-wrap-distance-left:9pt;width:39.6pt;height:20.05pt;mso-position-horizontal-relative:text;position:absolute;margin-left:44.7pt;margin-top:209.9pt;mso-wrap-distance-bottom:0pt;mso-wrap-distance-right:9pt;mso-wrap-distance-top:0pt;v-text-anchor:top;" o:spid="_x0000_s1047" o:allowincell="t" o:allowoverlap="t" filled="f" stroked="f" strokeweight="0.5pt" o:spt="202" type="#_x0000_t202">
                <v:fill/>
                <v:textbox style="layout-flow:horizontal;">
                  <w:txbxContent>
                    <w:p>
                      <w:pPr>
                        <w:pStyle w:val="0"/>
                        <w:rPr>
                          <w:rFonts w:hint="default"/>
                          <w:b w:val="1"/>
                          <w:color w:val="FF0000"/>
                          <w:sz w:val="20"/>
                        </w:rPr>
                      </w:pPr>
                      <w:r>
                        <w:rPr>
                          <w:rFonts w:hint="eastAsia"/>
                          <w:b w:val="1"/>
                          <w:color w:val="FF0000"/>
                          <w:sz w:val="20"/>
                        </w:rPr>
                        <w:t>連携</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19" behindDoc="0" locked="0" layoutInCell="1" hidden="0" allowOverlap="1">
                <wp:simplePos x="0" y="0"/>
                <wp:positionH relativeFrom="column">
                  <wp:posOffset>550545</wp:posOffset>
                </wp:positionH>
                <wp:positionV relativeFrom="paragraph">
                  <wp:posOffset>2348230</wp:posOffset>
                </wp:positionV>
                <wp:extent cx="503555" cy="899795"/>
                <wp:effectExtent l="107950" t="0" r="140970" b="1270"/>
                <wp:wrapNone/>
                <wp:docPr id="1048" name="矢印: 上下 2"/>
                <a:graphic xmlns:a="http://schemas.openxmlformats.org/drawingml/2006/main">
                  <a:graphicData uri="http://schemas.microsoft.com/office/word/2010/wordprocessingShape">
                    <wps:wsp>
                      <wps:cNvPr id="1048" name="矢印: 上下 2"/>
                      <wps:cNvSpPr/>
                      <wps:spPr>
                        <a:xfrm rot="2142837">
                          <a:off x="0" y="0"/>
                          <a:ext cx="503555" cy="899795"/>
                        </a:xfrm>
                        <a:prstGeom prst="upDownArrow">
                          <a:avLst/>
                        </a:prstGeom>
                        <a:solidFill>
                          <a:srgbClr val="CCD6FF"/>
                        </a:solidFill>
                        <a:ln w="1270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2" style="rotation:36;mso-position-vertical-relative:text;z-index:19;mso-wrap-distance-left:9pt;width:39.65pt;height:70.84pt;mso-position-horizontal-relative:text;position:absolute;margin-left:43.35pt;margin-top:184.9pt;mso-wrap-distance-bottom:0pt;mso-wrap-distance-right:9pt;mso-wrap-distance-top:0pt;" o:spid="_x0000_s1048" o:allowincell="t" o:allowoverlap="t" filled="t" fillcolor="#ccd6ff" stroked="t" strokecolor="#000000" strokeweight="1pt" o:spt="70" type="#_x0000_t70" adj="5400,10800">
                <v:fill/>
                <v:stroke linestyle="single" endcap="flat" dashstyle="solid" filltype="solid"/>
                <v:shadow on="t" color="#000000" opacity="22937f" offset="0pt,1.811023622047244pt" origin=",0.5" matrix="65536f,,,65536f,,"/>
                <v:textbox style="layout-flow:horizontal;"/>
                <v:imagedata o:title=""/>
                <w10:wrap type="none" anchorx="text" anchory="text"/>
              </v:shape>
            </w:pict>
          </mc:Fallback>
        </mc:AlternateContent>
      </w:r>
      <w:r>
        <w:rPr>
          <w:rFonts w:hint="default"/>
        </w:rPr>
        <mc:AlternateContent>
          <mc:Choice Requires="wps">
            <w:drawing>
              <wp:anchor distT="0" distB="0" distL="114300" distR="114300" simplePos="0" relativeHeight="21" behindDoc="0" locked="0" layoutInCell="1" hidden="0" allowOverlap="1">
                <wp:simplePos x="0" y="0"/>
                <wp:positionH relativeFrom="column">
                  <wp:posOffset>4616450</wp:posOffset>
                </wp:positionH>
                <wp:positionV relativeFrom="paragraph">
                  <wp:posOffset>2357755</wp:posOffset>
                </wp:positionV>
                <wp:extent cx="503555" cy="899795"/>
                <wp:effectExtent l="97155" t="0" r="123190" b="39370"/>
                <wp:wrapNone/>
                <wp:docPr id="1049" name="矢印: 上下 2"/>
                <a:graphic xmlns:a="http://schemas.openxmlformats.org/drawingml/2006/main">
                  <a:graphicData uri="http://schemas.microsoft.com/office/word/2010/wordprocessingShape">
                    <wps:wsp>
                      <wps:cNvPr id="1049" name="矢印: 上下 2"/>
                      <wps:cNvSpPr/>
                      <wps:spPr>
                        <a:xfrm rot="20066505">
                          <a:off x="0" y="0"/>
                          <a:ext cx="503555" cy="899795"/>
                        </a:xfrm>
                        <a:prstGeom prst="upDownArrow">
                          <a:avLst/>
                        </a:prstGeom>
                        <a:solidFill>
                          <a:srgbClr val="CCD6FF"/>
                        </a:solidFill>
                        <a:ln w="1270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2" style="rotation:334;mso-position-vertical-relative:text;z-index:21;mso-wrap-distance-left:9pt;width:39.65pt;height:70.84pt;mso-position-horizontal-relative:text;position:absolute;margin-left:363.5pt;margin-top:185.65pt;mso-wrap-distance-bottom:0pt;mso-wrap-distance-right:9pt;mso-wrap-distance-top:0pt;" o:spid="_x0000_s1049" o:allowincell="t" o:allowoverlap="t" filled="t" fillcolor="#ccd6ff" stroked="t" strokecolor="#000000" strokeweight="1pt" o:spt="70" type="#_x0000_t70" adj="5400,10800">
                <v:fill/>
                <v:stroke linestyle="single" endcap="flat" dashstyle="solid" filltype="solid"/>
                <v:shadow on="t" color="#000000" opacity="22937f" offset="0pt,1.811023622047244pt" origin=",0.5" matrix="65536f,,,65536f,,"/>
                <v:textbox style="layout-flow:horizontal;"/>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24" behindDoc="0" locked="0" layoutInCell="1" hidden="0" allowOverlap="1">
                <wp:simplePos x="0" y="0"/>
                <wp:positionH relativeFrom="column">
                  <wp:posOffset>2507615</wp:posOffset>
                </wp:positionH>
                <wp:positionV relativeFrom="paragraph">
                  <wp:posOffset>941705</wp:posOffset>
                </wp:positionV>
                <wp:extent cx="815975" cy="267335"/>
                <wp:effectExtent l="0" t="0" r="635" b="635"/>
                <wp:wrapNone/>
                <wp:docPr id="1050" name="テキスト ボックス 3"/>
                <a:graphic xmlns:a="http://schemas.openxmlformats.org/drawingml/2006/main">
                  <a:graphicData uri="http://schemas.microsoft.com/office/word/2010/wordprocessingShape">
                    <wps:wsp>
                      <wps:cNvPr id="1050" name="テキスト ボックス 3"/>
                      <wps:cNvSpPr txBox="1"/>
                      <wps:spPr>
                        <a:xfrm>
                          <a:off x="0" y="0"/>
                          <a:ext cx="815975" cy="267335"/>
                        </a:xfrm>
                        <a:prstGeom prst="rect">
                          <a:avLst/>
                        </a:prstGeom>
                        <a:noFill/>
                        <a:ln w="6350">
                          <a:noFill/>
                        </a:ln>
                      </wps:spPr>
                      <wps:txbx>
                        <w:txbxContent>
                          <w:p>
                            <w:pPr>
                              <w:pStyle w:val="0"/>
                              <w:rPr>
                                <w:rFonts w:hint="default"/>
                                <w:b w:val="1"/>
                                <w:sz w:val="20"/>
                              </w:rPr>
                            </w:pPr>
                            <w:r>
                              <w:rPr>
                                <w:rFonts w:hint="eastAsia"/>
                                <w:b w:val="1"/>
                                <w:color w:val="0070C0"/>
                                <w:sz w:val="20"/>
                              </w:rPr>
                              <w:t>情報共有</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4;mso-wrap-distance-left:9pt;width:64.25pt;height:21.05pt;mso-position-horizontal-relative:text;position:absolute;margin-left:197.45pt;margin-top:74.150000000000006pt;mso-wrap-distance-bottom:0pt;mso-wrap-distance-right:9pt;mso-wrap-distance-top:0pt;v-text-anchor:top;" o:spid="_x0000_s1050" o:allowincell="t" o:allowoverlap="t" filled="f" stroked="f" strokeweight="0.5pt" o:spt="202" type="#_x0000_t202">
                <v:fill/>
                <v:textbox style="layout-flow:horizontal;">
                  <w:txbxContent>
                    <w:p>
                      <w:pPr>
                        <w:pStyle w:val="0"/>
                        <w:rPr>
                          <w:rFonts w:hint="default"/>
                          <w:b w:val="1"/>
                          <w:sz w:val="20"/>
                        </w:rPr>
                      </w:pPr>
                      <w:r>
                        <w:rPr>
                          <w:rFonts w:hint="eastAsia"/>
                          <w:b w:val="1"/>
                          <w:color w:val="0070C0"/>
                          <w:sz w:val="20"/>
                        </w:rPr>
                        <w:t>情報共有</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17" behindDoc="0" locked="0" layoutInCell="1" hidden="0" allowOverlap="1">
                <wp:simplePos x="0" y="0"/>
                <wp:positionH relativeFrom="column">
                  <wp:posOffset>2616200</wp:posOffset>
                </wp:positionH>
                <wp:positionV relativeFrom="paragraph">
                  <wp:posOffset>1082675</wp:posOffset>
                </wp:positionV>
                <wp:extent cx="503555" cy="899795"/>
                <wp:effectExtent l="0" t="83185" r="0" b="150495"/>
                <wp:wrapNone/>
                <wp:docPr id="1051" name="矢印: 上下 2"/>
                <a:graphic xmlns:a="http://schemas.openxmlformats.org/drawingml/2006/main">
                  <a:graphicData uri="http://schemas.microsoft.com/office/word/2010/wordprocessingShape">
                    <wps:wsp>
                      <wps:cNvPr id="1051" name="矢印: 上下 2"/>
                      <wps:cNvSpPr/>
                      <wps:spPr>
                        <a:xfrm rot="18165532">
                          <a:off x="0" y="0"/>
                          <a:ext cx="503555" cy="899795"/>
                        </a:xfrm>
                        <a:prstGeom prst="upDownArrow">
                          <a:avLst/>
                        </a:prstGeom>
                        <a:solidFill>
                          <a:srgbClr val="CCD6FF"/>
                        </a:solidFill>
                        <a:ln w="1270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2" style="rotation:303;mso-position-vertical-relative:text;z-index:17;mso-wrap-distance-left:9pt;width:39.65pt;height:70.84pt;mso-position-horizontal-relative:text;position:absolute;margin-left:206pt;margin-top:85.25pt;mso-wrap-distance-bottom:0pt;mso-wrap-distance-right:9pt;mso-wrap-distance-top:0pt;" o:spid="_x0000_s1051" o:allowincell="t" o:allowoverlap="t" filled="t" fillcolor="#ccd6ff" stroked="t" strokecolor="#000000" strokeweight="1pt" o:spt="70" type="#_x0000_t70" adj="5400,10800">
                <v:fill/>
                <v:stroke linestyle="single" endcap="flat" dashstyle="solid" filltype="solid"/>
                <v:shadow on="t" color="#000000" opacity="22937f" offset="0pt,1.811023622047244pt" origin=",0.5" matrix="65536f,,,65536f,,"/>
                <v:textbox style="layout-flow:horizontal;"/>
                <v:imagedata o:title=""/>
                <w10:wrap type="none" anchorx="text" anchory="text"/>
              </v:shape>
            </w:pict>
          </mc:Fallback>
        </mc:AlternateContent>
      </w:r>
      <w:r>
        <w:rPr>
          <w:rFonts w:hint="default"/>
        </w:rPr>
        <mc:AlternateContent>
          <mc:Choice Requires="wps">
            <w:drawing>
              <wp:anchor distT="0" distB="0" distL="114300" distR="114300" simplePos="0" relativeHeight="8" behindDoc="0" locked="0" layoutInCell="1" hidden="0" allowOverlap="1">
                <wp:simplePos x="0" y="0"/>
                <wp:positionH relativeFrom="column">
                  <wp:posOffset>3632835</wp:posOffset>
                </wp:positionH>
                <wp:positionV relativeFrom="paragraph">
                  <wp:posOffset>761365</wp:posOffset>
                </wp:positionV>
                <wp:extent cx="1079500" cy="323850"/>
                <wp:effectExtent l="37465" t="17145" r="73660" b="87630"/>
                <wp:wrapNone/>
                <wp:docPr id="1052" name="四角形: 角を丸くする 1"/>
                <a:graphic xmlns:a="http://schemas.openxmlformats.org/drawingml/2006/main">
                  <a:graphicData uri="http://schemas.microsoft.com/office/word/2010/wordprocessingShape">
                    <wps:wsp>
                      <wps:cNvPr id="1052" name="四角形: 角を丸くする 1"/>
                      <wps:cNvSpPr/>
                      <wps:spPr>
                        <a:xfrm>
                          <a:off x="0" y="0"/>
                          <a:ext cx="1079500" cy="323850"/>
                        </a:xfrm>
                        <a:prstGeom prst="roundRect">
                          <a:avLst/>
                        </a:prstGeom>
                        <a:solidFill>
                          <a:srgbClr val="99ACFF"/>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rPr>
                            </w:pPr>
                            <w:r>
                              <w:rPr>
                                <w:rFonts w:hint="eastAsia"/>
                                <w:color w:val="000000"/>
                                <w:sz w:val="20"/>
                              </w:rPr>
                              <w:t>社会福祉課</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8;mso-wrap-distance-left:9pt;width:85pt;height:25.5pt;mso-position-horizontal-relative:text;position:absolute;margin-left:286.05pt;margin-top:59.95pt;mso-wrap-distance-bottom:0pt;mso-wrap-distance-right:9pt;mso-wrap-distance-top:0pt;v-text-anchor:middle;" o:spid="_x0000_s1052" o:allowincell="t" o:allowoverlap="t" filled="t" fillcolor="#99acff"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rPr>
                      </w:pPr>
                      <w:r>
                        <w:rPr>
                          <w:rFonts w:hint="eastAsia"/>
                          <w:color w:val="000000"/>
                          <w:sz w:val="20"/>
                        </w:rPr>
                        <w:t>社会福祉課</w:t>
                      </w:r>
                    </w:p>
                  </w:txbxContent>
                </v:textbox>
                <v:imagedata o:title=""/>
                <w10:wrap type="none" anchorx="text" anchory="text"/>
              </v:roundrect>
            </w:pict>
          </mc:Fallback>
        </mc:AlternateContent>
      </w:r>
      <w:r>
        <w:rPr>
          <w:rFonts w:hint="default"/>
        </w:rPr>
        <mc:AlternateContent>
          <mc:Choice Requires="wps">
            <w:drawing>
              <wp:anchor distT="0" distB="0" distL="114300" distR="114300" simplePos="0" relativeHeight="9" behindDoc="0" locked="0" layoutInCell="1" hidden="0" allowOverlap="1">
                <wp:simplePos x="0" y="0"/>
                <wp:positionH relativeFrom="column">
                  <wp:posOffset>3629660</wp:posOffset>
                </wp:positionH>
                <wp:positionV relativeFrom="paragraph">
                  <wp:posOffset>341630</wp:posOffset>
                </wp:positionV>
                <wp:extent cx="1079500" cy="323850"/>
                <wp:effectExtent l="43815" t="16510" r="67310" b="88265"/>
                <wp:wrapNone/>
                <wp:docPr id="1053" name="四角形: 角を丸くする 1"/>
                <a:graphic xmlns:a="http://schemas.openxmlformats.org/drawingml/2006/main">
                  <a:graphicData uri="http://schemas.microsoft.com/office/word/2010/wordprocessingShape">
                    <wps:wsp>
                      <wps:cNvPr id="1053" name="四角形: 角を丸くする 1"/>
                      <wps:cNvSpPr/>
                      <wps:spPr>
                        <a:xfrm>
                          <a:off x="0" y="0"/>
                          <a:ext cx="1079500" cy="323850"/>
                        </a:xfrm>
                        <a:prstGeom prst="roundRect">
                          <a:avLst/>
                        </a:prstGeom>
                        <a:solidFill>
                          <a:srgbClr val="99ACFF"/>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color w:val="000000"/>
                                <w:sz w:val="20"/>
                              </w:rPr>
                            </w:pPr>
                            <w:r>
                              <w:rPr>
                                <w:rFonts w:hint="eastAsia"/>
                                <w:color w:val="000000"/>
                                <w:sz w:val="20"/>
                              </w:rPr>
                              <w:t>高齢者福祉課</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9;mso-wrap-distance-left:9pt;width:85pt;height:25.5pt;mso-position-horizontal-relative:text;position:absolute;margin-left:285.8pt;margin-top:26.9pt;mso-wrap-distance-bottom:0pt;mso-wrap-distance-right:9pt;mso-wrap-distance-top:0pt;v-text-anchor:middle;" o:spid="_x0000_s1053" o:allowincell="t" o:allowoverlap="t" filled="t" fillcolor="#99acff"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color w:val="000000"/>
                          <w:sz w:val="20"/>
                        </w:rPr>
                      </w:pPr>
                      <w:r>
                        <w:rPr>
                          <w:rFonts w:hint="eastAsia"/>
                          <w:color w:val="000000"/>
                          <w:sz w:val="20"/>
                        </w:rPr>
                        <w:t>高齢者福祉課</w:t>
                      </w:r>
                    </w:p>
                  </w:txbxContent>
                </v:textbox>
                <v:imagedata o:title=""/>
                <w10:wrap type="none" anchorx="text" anchory="text"/>
              </v:roundrect>
            </w:pict>
          </mc:Fallback>
        </mc:AlternateContent>
      </w:r>
      <w:r>
        <w:rPr>
          <w:rFonts w:hint="default"/>
        </w:rPr>
        <mc:AlternateContent>
          <mc:Choice Requires="wps">
            <w:drawing>
              <wp:anchor distT="0" distB="0" distL="114300" distR="114300" simplePos="0" relativeHeight="6" behindDoc="0" locked="0" layoutInCell="1" hidden="0" allowOverlap="1">
                <wp:simplePos x="0" y="0"/>
                <wp:positionH relativeFrom="column">
                  <wp:posOffset>995680</wp:posOffset>
                </wp:positionH>
                <wp:positionV relativeFrom="paragraph">
                  <wp:posOffset>1895475</wp:posOffset>
                </wp:positionV>
                <wp:extent cx="1079500" cy="323850"/>
                <wp:effectExtent l="38735" t="17780" r="72390" b="86995"/>
                <wp:wrapNone/>
                <wp:docPr id="1054" name="四角形: 角を丸くする 1"/>
                <a:graphic xmlns:a="http://schemas.openxmlformats.org/drawingml/2006/main">
                  <a:graphicData uri="http://schemas.microsoft.com/office/word/2010/wordprocessingShape">
                    <wps:wsp>
                      <wps:cNvPr id="1054" name="四角形: 角を丸くする 1"/>
                      <wps:cNvSpPr/>
                      <wps:spPr>
                        <a:xfrm>
                          <a:off x="0" y="0"/>
                          <a:ext cx="1079500" cy="323850"/>
                        </a:xfrm>
                        <a:prstGeom prst="roundRect">
                          <a:avLst/>
                        </a:prstGeom>
                        <a:solidFill>
                          <a:srgbClr val="99ACFF"/>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color w:val="000000"/>
                                <w:sz w:val="20"/>
                              </w:rPr>
                            </w:pPr>
                            <w:r>
                              <w:rPr>
                                <w:rFonts w:hint="eastAsia"/>
                                <w:color w:val="000000"/>
                                <w:sz w:val="20"/>
                              </w:rPr>
                              <w:t>健康増進課</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6;mso-wrap-distance-left:9pt;width:85pt;height:25.5pt;mso-position-horizontal-relative:text;position:absolute;margin-left:78.400000000000006pt;margin-top:149.25pt;mso-wrap-distance-bottom:0pt;mso-wrap-distance-right:9pt;mso-wrap-distance-top:0pt;v-text-anchor:middle;" o:spid="_x0000_s1054" o:allowincell="t" o:allowoverlap="t" filled="t" fillcolor="#99acff"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color w:val="000000"/>
                          <w:sz w:val="20"/>
                        </w:rPr>
                      </w:pPr>
                      <w:r>
                        <w:rPr>
                          <w:rFonts w:hint="eastAsia"/>
                          <w:color w:val="000000"/>
                          <w:sz w:val="20"/>
                        </w:rPr>
                        <w:t>健康増進課</w:t>
                      </w:r>
                    </w:p>
                  </w:txbxContent>
                </v:textbox>
                <v:imagedata o:title=""/>
                <w10:wrap type="none" anchorx="text" anchory="text"/>
              </v:roundrect>
            </w:pict>
          </mc:Fallback>
        </mc:AlternateContent>
      </w:r>
      <w:r>
        <w:rPr>
          <w:rFonts w:hint="eastAsia"/>
          <w:color w:val="000000"/>
        </w:rPr>
        <mc:AlternateContent>
          <mc:Choice Requires="wps">
            <w:drawing>
              <wp:anchor distT="0" distB="0" distL="114300" distR="114300" simplePos="0" relativeHeight="35" behindDoc="0" locked="0" layoutInCell="1" hidden="0" allowOverlap="1">
                <wp:simplePos x="0" y="0"/>
                <wp:positionH relativeFrom="column">
                  <wp:posOffset>857885</wp:posOffset>
                </wp:positionH>
                <wp:positionV relativeFrom="paragraph">
                  <wp:posOffset>1558290</wp:posOffset>
                </wp:positionV>
                <wp:extent cx="502920" cy="254635"/>
                <wp:effectExtent l="0" t="0" r="635" b="635"/>
                <wp:wrapNone/>
                <wp:docPr id="1055" name="テキスト ボックス 3"/>
                <a:graphic xmlns:a="http://schemas.openxmlformats.org/drawingml/2006/main">
                  <a:graphicData uri="http://schemas.microsoft.com/office/word/2010/wordprocessingShape">
                    <wps:wsp>
                      <wps:cNvPr id="1055" name="テキスト ボックス 3"/>
                      <wps:cNvSpPr txBox="1"/>
                      <wps:spPr>
                        <a:xfrm>
                          <a:off x="0" y="0"/>
                          <a:ext cx="502920" cy="254635"/>
                        </a:xfrm>
                        <a:prstGeom prst="rect">
                          <a:avLst/>
                        </a:prstGeom>
                        <a:noFill/>
                        <a:ln w="6350">
                          <a:noFill/>
                        </a:ln>
                      </wps:spPr>
                      <wps:txbx>
                        <w:txbxContent>
                          <w:p>
                            <w:pPr>
                              <w:pStyle w:val="0"/>
                              <w:rPr>
                                <w:rFonts w:hint="default"/>
                                <w:b w:val="1"/>
                                <w:color w:val="FF0000"/>
                                <w:sz w:val="20"/>
                              </w:rPr>
                            </w:pPr>
                            <w:r>
                              <w:rPr>
                                <w:rFonts w:hint="eastAsia"/>
                                <w:b w:val="1"/>
                                <w:color w:val="FF0000"/>
                                <w:sz w:val="20"/>
                              </w:rPr>
                              <w:t>連携</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5;mso-wrap-distance-left:9pt;width:39.6pt;height:20.05pt;mso-position-horizontal-relative:text;position:absolute;margin-left:67.55pt;margin-top:122.7pt;mso-wrap-distance-bottom:0pt;mso-wrap-distance-right:9pt;mso-wrap-distance-top:0pt;v-text-anchor:top;" o:spid="_x0000_s1055" o:allowincell="t" o:allowoverlap="t" filled="f" stroked="f" strokeweight="0.5pt" o:spt="202" type="#_x0000_t202">
                <v:fill/>
                <v:textbox style="layout-flow:horizontal;">
                  <w:txbxContent>
                    <w:p>
                      <w:pPr>
                        <w:pStyle w:val="0"/>
                        <w:rPr>
                          <w:rFonts w:hint="default"/>
                          <w:b w:val="1"/>
                          <w:color w:val="FF0000"/>
                          <w:sz w:val="20"/>
                        </w:rPr>
                      </w:pPr>
                      <w:r>
                        <w:rPr>
                          <w:rFonts w:hint="eastAsia"/>
                          <w:b w:val="1"/>
                          <w:color w:val="FF0000"/>
                          <w:sz w:val="20"/>
                        </w:rPr>
                        <w:t>連携</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23" behindDoc="0" locked="0" layoutInCell="1" hidden="0" allowOverlap="1">
                <wp:simplePos x="0" y="0"/>
                <wp:positionH relativeFrom="column">
                  <wp:posOffset>2520315</wp:posOffset>
                </wp:positionH>
                <wp:positionV relativeFrom="paragraph">
                  <wp:posOffset>260350</wp:posOffset>
                </wp:positionV>
                <wp:extent cx="652780" cy="285750"/>
                <wp:effectExtent l="0" t="0" r="635" b="635"/>
                <wp:wrapNone/>
                <wp:docPr id="1056" name="テキスト ボックス 3"/>
                <a:graphic xmlns:a="http://schemas.openxmlformats.org/drawingml/2006/main">
                  <a:graphicData uri="http://schemas.microsoft.com/office/word/2010/wordprocessingShape">
                    <wps:wsp>
                      <wps:cNvPr id="1056" name="テキスト ボックス 3"/>
                      <wps:cNvSpPr txBox="1"/>
                      <wps:spPr>
                        <a:xfrm>
                          <a:off x="0" y="0"/>
                          <a:ext cx="652780" cy="285750"/>
                        </a:xfrm>
                        <a:prstGeom prst="rect">
                          <a:avLst/>
                        </a:prstGeom>
                        <a:noFill/>
                        <a:ln w="6350">
                          <a:noFill/>
                        </a:ln>
                      </wps:spPr>
                      <wps:txbx>
                        <w:txbxContent>
                          <w:p>
                            <w:pPr>
                              <w:pStyle w:val="0"/>
                              <w:jc w:val="center"/>
                              <w:rPr>
                                <w:rFonts w:hint="default"/>
                                <w:b w:val="1"/>
                                <w:color w:val="FF0000"/>
                                <w:sz w:val="20"/>
                              </w:rPr>
                            </w:pPr>
                            <w:r>
                              <w:rPr>
                                <w:rFonts w:hint="eastAsia"/>
                                <w:b w:val="1"/>
                                <w:color w:val="FF0000"/>
                                <w:sz w:val="20"/>
                              </w:rPr>
                              <w:t>連携</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3;mso-wrap-distance-left:9pt;width:51.4pt;height:22.5pt;mso-position-horizontal-relative:text;position:absolute;margin-left:198.45pt;margin-top:20.5pt;mso-wrap-distance-bottom:0pt;mso-wrap-distance-right:9pt;mso-wrap-distance-top:0pt;v-text-anchor:top;" o:spid="_x0000_s1056" o:allowincell="t" o:allowoverlap="t" filled="f" stroked="f" strokeweight="0.5pt" o:spt="202" type="#_x0000_t202">
                <v:fill/>
                <v:textbox style="layout-flow:horizontal;">
                  <w:txbxContent>
                    <w:p>
                      <w:pPr>
                        <w:pStyle w:val="0"/>
                        <w:jc w:val="center"/>
                        <w:rPr>
                          <w:rFonts w:hint="default"/>
                          <w:b w:val="1"/>
                          <w:color w:val="FF0000"/>
                          <w:sz w:val="20"/>
                        </w:rPr>
                      </w:pPr>
                      <w:r>
                        <w:rPr>
                          <w:rFonts w:hint="eastAsia"/>
                          <w:b w:val="1"/>
                          <w:color w:val="FF0000"/>
                          <w:sz w:val="20"/>
                        </w:rPr>
                        <w:t>連携</w:t>
                      </w:r>
                    </w:p>
                  </w:txbxContent>
                </v:textbox>
                <v:imagedata o:title=""/>
                <w10:wrap type="none" anchorx="text" anchory="text"/>
              </v:shape>
            </w:pict>
          </mc:Fallback>
        </mc:AlternateContent>
      </w:r>
      <w:r>
        <w:rPr>
          <w:rFonts w:hint="default"/>
        </w:rPr>
        <mc:AlternateContent>
          <mc:Choice Requires="wps">
            <w:drawing>
              <wp:anchor distT="0" distB="0" distL="114300" distR="114300" simplePos="0" relativeHeight="16" behindDoc="0" locked="0" layoutInCell="1" hidden="0" allowOverlap="1">
                <wp:simplePos x="0" y="0"/>
                <wp:positionH relativeFrom="column">
                  <wp:posOffset>2624455</wp:posOffset>
                </wp:positionH>
                <wp:positionV relativeFrom="paragraph">
                  <wp:posOffset>248285</wp:posOffset>
                </wp:positionV>
                <wp:extent cx="503555" cy="899795"/>
                <wp:effectExtent l="31115" t="10795" r="69215" b="80010"/>
                <wp:wrapNone/>
                <wp:docPr id="1057" name="矢印: 上下 2"/>
                <a:graphic xmlns:a="http://schemas.openxmlformats.org/drawingml/2006/main">
                  <a:graphicData uri="http://schemas.microsoft.com/office/word/2010/wordprocessingShape">
                    <wps:wsp>
                      <wps:cNvPr id="1057" name="矢印: 上下 2"/>
                      <wps:cNvSpPr/>
                      <wps:spPr>
                        <a:xfrm rot="5400000">
                          <a:off x="0" y="0"/>
                          <a:ext cx="503555" cy="899795"/>
                        </a:xfrm>
                        <a:prstGeom prst="upDownArrow">
                          <a:avLst/>
                        </a:prstGeom>
                        <a:solidFill>
                          <a:srgbClr val="CCD6FF"/>
                        </a:solidFill>
                        <a:ln w="1270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2" style="rotation:90;mso-position-vertical-relative:text;z-index:16;mso-wrap-distance-left:9pt;width:39.65pt;height:70.84pt;mso-position-horizontal-relative:text;position:absolute;margin-left:206.65pt;margin-top:19.55pt;mso-wrap-distance-bottom:0pt;mso-wrap-distance-right:9pt;mso-wrap-distance-top:0pt;" o:spid="_x0000_s1057" o:allowincell="t" o:allowoverlap="t" filled="t" fillcolor="#ccd6ff" stroked="t" strokecolor="#000000" strokeweight="1pt" o:spt="70" type="#_x0000_t70" adj="5400,10800">
                <v:fill/>
                <v:stroke linestyle="single" endcap="flat" dashstyle="solid" filltype="solid"/>
                <v:shadow on="t" color="#000000" opacity="22937f" offset="0pt,1.811023622047244pt" origin=",0.5" matrix="65536f,,,65536f,,"/>
                <v:textbox style="layout-flow:horizontal;"/>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7" behindDoc="0" locked="0" layoutInCell="1" hidden="0" allowOverlap="1">
                <wp:simplePos x="0" y="0"/>
                <wp:positionH relativeFrom="column">
                  <wp:posOffset>466090</wp:posOffset>
                </wp:positionH>
                <wp:positionV relativeFrom="paragraph">
                  <wp:posOffset>20955</wp:posOffset>
                </wp:positionV>
                <wp:extent cx="4967605" cy="2315210"/>
                <wp:effectExtent l="42545" t="19685" r="76200" b="93980"/>
                <wp:wrapNone/>
                <wp:docPr id="1058" name="四角形: 角を丸くする 4"/>
                <a:graphic xmlns:a="http://schemas.openxmlformats.org/drawingml/2006/main">
                  <a:graphicData uri="http://schemas.microsoft.com/office/word/2010/wordprocessingShape">
                    <wps:wsp>
                      <wps:cNvPr id="1058" name="四角形: 角を丸くする 4"/>
                      <wps:cNvSpPr/>
                      <wps:spPr>
                        <a:xfrm>
                          <a:off x="0" y="0"/>
                          <a:ext cx="4967605" cy="2315210"/>
                        </a:xfrm>
                        <a:prstGeom prst="roundRect">
                          <a:avLst/>
                        </a:prstGeom>
                        <a:noFill/>
                        <a:ln w="1905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roundrect id="四角形: 角を丸くする 4" style="mso-position-vertical-relative:text;z-index:37;mso-wrap-distance-left:9pt;width:391.15pt;height:182.3pt;mso-position-horizontal-relative:text;position:absolute;margin-left:36.700000000000003pt;margin-top:1.65pt;mso-wrap-distance-bottom:0pt;mso-wrap-distance-right:9pt;mso-wrap-distance-top:0pt;" o:spid="_x0000_s1058" o:allowincell="t" o:allowoverlap="t" filled="f" stroked="t" strokecolor="#000000" strokeweight="1.5pt" o:spt="2" arcsize="10923f">
                <v:fill/>
                <v:stroke linestyle="single" endcap="flat" dashstyle="solid" filltype="solid"/>
                <v:shadow on="t" color="#000000" opacity="22937f" offset="0pt,1.811023622047244pt" origin=",0.5" matrix="65536f,,,65536f,,"/>
                <v:textbox style="layout-flow:horizontal;"/>
                <v:imagedata o:title=""/>
                <w10:wrap type="none" anchorx="text" anchory="text"/>
              </v:roundrect>
            </w:pict>
          </mc:Fallback>
        </mc:AlternateContent>
      </w:r>
      <w:r>
        <w:rPr>
          <w:rFonts w:hint="default"/>
        </w:rPr>
        <mc:AlternateContent>
          <mc:Choice Requires="wps">
            <w:drawing>
              <wp:anchor distT="0" distB="0" distL="114300" distR="114300" simplePos="0" relativeHeight="18" behindDoc="0" locked="0" layoutInCell="1" hidden="0" allowOverlap="1">
                <wp:simplePos x="0" y="0"/>
                <wp:positionH relativeFrom="column">
                  <wp:posOffset>1271270</wp:posOffset>
                </wp:positionH>
                <wp:positionV relativeFrom="paragraph">
                  <wp:posOffset>920115</wp:posOffset>
                </wp:positionV>
                <wp:extent cx="503555" cy="899795"/>
                <wp:effectExtent l="38100" t="13970" r="67945" b="76835"/>
                <wp:wrapNone/>
                <wp:docPr id="1059" name="矢印: 上下 2"/>
                <a:graphic xmlns:a="http://schemas.openxmlformats.org/drawingml/2006/main">
                  <a:graphicData uri="http://schemas.microsoft.com/office/word/2010/wordprocessingShape">
                    <wps:wsp>
                      <wps:cNvPr id="1059" name="矢印: 上下 2"/>
                      <wps:cNvSpPr/>
                      <wps:spPr>
                        <a:xfrm>
                          <a:off x="0" y="0"/>
                          <a:ext cx="503555" cy="899795"/>
                        </a:xfrm>
                        <a:prstGeom prst="upDownArrow">
                          <a:avLst/>
                        </a:prstGeom>
                        <a:solidFill>
                          <a:srgbClr val="CCD6FF"/>
                        </a:solidFill>
                        <a:ln w="12700">
                          <a:solidFill>
                            <a:srgbClr val="000000"/>
                          </a:solidFill>
                        </a:ln>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2" style="mso-position-vertical-relative:text;z-index:18;mso-wrap-distance-left:9pt;width:39.65pt;height:70.84pt;mso-position-horizontal-relative:text;position:absolute;margin-left:100.1pt;margin-top:72.45pt;mso-wrap-distance-bottom:0pt;mso-wrap-distance-right:9pt;mso-wrap-distance-top:0pt;" o:spid="_x0000_s1059" o:allowincell="t" o:allowoverlap="t" filled="t" fillcolor="#ccd6ff" stroked="t" strokecolor="#000000" strokeweight="1pt" o:spt="70" type="#_x0000_t70" adj="5400,10800">
                <v:fill/>
                <v:stroke linestyle="single" endcap="flat" dashstyle="solid" filltype="solid"/>
                <v:shadow on="t" color="#000000" opacity="22937f" offset="0pt,1.811023622047244pt" origin=",0.5" matrix="65536f,,,65536f,,"/>
                <v:textbox style="layout-flow:horizontal;"/>
                <v:imagedata o:title=""/>
                <w10:wrap type="none" anchorx="text" anchory="text"/>
              </v:shape>
            </w:pict>
          </mc:Fallback>
        </mc:AlternateContent>
      </w:r>
      <w:r>
        <w:rPr>
          <w:rFonts w:hint="default"/>
        </w:rPr>
        <mc:AlternateContent>
          <mc:Choice Requires="wps">
            <w:drawing>
              <wp:anchor distT="0" distB="0" distL="114300" distR="114300" simplePos="0" relativeHeight="5" behindDoc="0" locked="0" layoutInCell="1" hidden="0" allowOverlap="1">
                <wp:simplePos x="0" y="0"/>
                <wp:positionH relativeFrom="column">
                  <wp:posOffset>1009650</wp:posOffset>
                </wp:positionH>
                <wp:positionV relativeFrom="paragraph">
                  <wp:posOffset>554990</wp:posOffset>
                </wp:positionV>
                <wp:extent cx="1079500" cy="323850"/>
                <wp:effectExtent l="43180" t="20320" r="67945" b="84455"/>
                <wp:wrapNone/>
                <wp:docPr id="1060" name="四角形: 角を丸くする 1"/>
                <a:graphic xmlns:a="http://schemas.openxmlformats.org/drawingml/2006/main">
                  <a:graphicData uri="http://schemas.microsoft.com/office/word/2010/wordprocessingShape">
                    <wps:wsp>
                      <wps:cNvPr id="1060" name="四角形: 角を丸くする 1"/>
                      <wps:cNvSpPr/>
                      <wps:spPr>
                        <a:xfrm>
                          <a:off x="0" y="0"/>
                          <a:ext cx="1079500" cy="323850"/>
                        </a:xfrm>
                        <a:prstGeom prst="roundRect">
                          <a:avLst/>
                        </a:prstGeom>
                        <a:solidFill>
                          <a:srgbClr val="99ACFF"/>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pPr>
                              <w:pStyle w:val="0"/>
                              <w:jc w:val="center"/>
                              <w:rPr>
                                <w:rFonts w:hint="default"/>
                                <w:color w:val="000000"/>
                                <w:sz w:val="24"/>
                              </w:rPr>
                            </w:pPr>
                            <w:r>
                              <w:rPr>
                                <w:rFonts w:hint="eastAsia"/>
                                <w:color w:val="000000"/>
                                <w:sz w:val="21"/>
                              </w:rPr>
                              <w:t>国保年金課</w:t>
                            </w:r>
                          </w:p>
                        </w:txbxContent>
                      </wps:txbx>
                      <wps:bodyPr rot="0" vertOverflow="overflow" horzOverflow="overflow" wrap="square" numCol="1" spcCol="0" rtlCol="0" fromWordArt="0" anchor="ctr" anchorCtr="0" forceAA="0" compatLnSpc="1"/>
                    </wps:wsp>
                  </a:graphicData>
                </a:graphic>
              </wp:anchor>
            </w:drawing>
          </mc:Choice>
          <mc:Fallback>
            <w:pict>
              <v:roundrect id="四角形: 角を丸くする 1" style="mso-position-vertical-relative:text;z-index:5;mso-wrap-distance-left:9pt;width:85pt;height:25.5pt;mso-position-horizontal-relative:text;position:absolute;margin-left:79.5pt;margin-top:43.7pt;mso-wrap-distance-bottom:0pt;mso-wrap-distance-right:9pt;mso-wrap-distance-top:0pt;v-text-anchor:middle;" o:spid="_x0000_s1060" o:allowincell="t" o:allowoverlap="t" filled="t" fillcolor="#99acff" stroked="t" strokecolor="#000000" strokeweight="1pt" o:spt="2" arcsize="10923f">
                <v:fill/>
                <v:stroke linestyle="single" endcap="flat" dashstyle="solid" filltype="solid"/>
                <v:shadow on="t" color="#000000" opacity="22937f" offset="0pt,1.811023622047244pt" origin=",0.5" matrix="65536f,,,65536f,,"/>
                <v:textbox style="layout-flow:horizontal;">
                  <w:txbxContent>
                    <w:p>
                      <w:pPr>
                        <w:pStyle w:val="0"/>
                        <w:jc w:val="center"/>
                        <w:rPr>
                          <w:rFonts w:hint="default"/>
                          <w:color w:val="000000"/>
                          <w:sz w:val="24"/>
                        </w:rPr>
                      </w:pPr>
                      <w:r>
                        <w:rPr>
                          <w:rFonts w:hint="eastAsia"/>
                          <w:color w:val="000000"/>
                          <w:sz w:val="21"/>
                        </w:rPr>
                        <w:t>国保年金課</w:t>
                      </w:r>
                    </w:p>
                  </w:txbxContent>
                </v:textbox>
                <v:imagedata o:title=""/>
                <w10:wrap type="none" anchorx="text" anchory="text"/>
              </v:roundrect>
            </w:pict>
          </mc:Fallback>
        </mc:AlternateContent>
      </w:r>
      <w:r>
        <w:rPr>
          <w:rFonts w:hint="eastAsia"/>
          <w:color w:val="000000"/>
        </w:rPr>
        <mc:AlternateContent>
          <mc:Choice Requires="wps">
            <w:drawing>
              <wp:anchor distT="0" distB="0" distL="114300" distR="114300" simplePos="0" relativeHeight="22" behindDoc="0" locked="0" layoutInCell="1" hidden="0" allowOverlap="1">
                <wp:simplePos x="0" y="0"/>
                <wp:positionH relativeFrom="column">
                  <wp:posOffset>909955</wp:posOffset>
                </wp:positionH>
                <wp:positionV relativeFrom="paragraph">
                  <wp:posOffset>71120</wp:posOffset>
                </wp:positionV>
                <wp:extent cx="1357630" cy="436245"/>
                <wp:effectExtent l="0" t="0" r="635" b="635"/>
                <wp:wrapNone/>
                <wp:docPr id="1061" name="テキスト ボックス 3"/>
                <a:graphic xmlns:a="http://schemas.openxmlformats.org/drawingml/2006/main">
                  <a:graphicData uri="http://schemas.microsoft.com/office/word/2010/wordprocessingShape">
                    <wps:wsp>
                      <wps:cNvPr id="1061" name="テキスト ボックス 3"/>
                      <wps:cNvSpPr txBox="1"/>
                      <wps:spPr>
                        <a:xfrm>
                          <a:off x="0" y="0"/>
                          <a:ext cx="1357630" cy="436245"/>
                        </a:xfrm>
                        <a:prstGeom prst="rect">
                          <a:avLst/>
                        </a:prstGeom>
                        <a:noFill/>
                        <a:ln w="6350">
                          <a:noFill/>
                        </a:ln>
                      </wps:spPr>
                      <wps:txbx>
                        <w:txbxContent>
                          <w:p>
                            <w:pPr>
                              <w:pStyle w:val="0"/>
                              <w:jc w:val="center"/>
                              <w:rPr>
                                <w:rFonts w:hint="default"/>
                                <w:sz w:val="20"/>
                              </w:rPr>
                            </w:pPr>
                            <w:r>
                              <w:rPr>
                                <w:rFonts w:hint="eastAsia"/>
                                <w:sz w:val="20"/>
                              </w:rPr>
                              <w:t>事業実施者</w:t>
                            </w:r>
                          </w:p>
                          <w:p>
                            <w:pPr>
                              <w:pStyle w:val="0"/>
                              <w:rPr>
                                <w:rFonts w:hint="default"/>
                                <w:sz w:val="20"/>
                              </w:rPr>
                            </w:pPr>
                            <w:r>
                              <w:rPr>
                                <w:rFonts w:hint="eastAsia"/>
                                <w:sz w:val="20"/>
                              </w:rPr>
                              <w:t>(</w:t>
                            </w:r>
                            <w:r>
                              <w:rPr>
                                <w:rFonts w:hint="eastAsia"/>
                                <w:sz w:val="20"/>
                              </w:rPr>
                              <w:t>企画・実施・評価</w:t>
                            </w:r>
                            <w:r>
                              <w:rPr>
                                <w:rFonts w:hint="eastAsia"/>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2;mso-wrap-distance-left:9pt;width:106.9pt;height:34.35pt;mso-position-horizontal-relative:text;position:absolute;margin-left:71.650000000000006pt;margin-top:5.6pt;mso-wrap-distance-bottom:0pt;mso-wrap-distance-right:9pt;mso-wrap-distance-top:0pt;v-text-anchor:top;" o:spid="_x0000_s1061" o:allowincell="t" o:allowoverlap="t" filled="f" stroked="f" strokeweight="0.5pt" o:spt="202" type="#_x0000_t202">
                <v:fill/>
                <v:textbox style="layout-flow:horizontal;">
                  <w:txbxContent>
                    <w:p>
                      <w:pPr>
                        <w:pStyle w:val="0"/>
                        <w:jc w:val="center"/>
                        <w:rPr>
                          <w:rFonts w:hint="default"/>
                          <w:sz w:val="20"/>
                        </w:rPr>
                      </w:pPr>
                      <w:r>
                        <w:rPr>
                          <w:rFonts w:hint="eastAsia"/>
                          <w:sz w:val="20"/>
                        </w:rPr>
                        <w:t>事業実施者</w:t>
                      </w:r>
                    </w:p>
                    <w:p>
                      <w:pPr>
                        <w:pStyle w:val="0"/>
                        <w:rPr>
                          <w:rFonts w:hint="default"/>
                          <w:sz w:val="20"/>
                        </w:rPr>
                      </w:pPr>
                      <w:r>
                        <w:rPr>
                          <w:rFonts w:hint="eastAsia"/>
                          <w:sz w:val="20"/>
                        </w:rPr>
                        <w:t>(</w:t>
                      </w:r>
                      <w:r>
                        <w:rPr>
                          <w:rFonts w:hint="eastAsia"/>
                          <w:sz w:val="20"/>
                        </w:rPr>
                        <w:t>企画・実施・評価</w:t>
                      </w:r>
                      <w:r>
                        <w:rPr>
                          <w:rFonts w:hint="eastAsia"/>
                          <w:sz w:val="20"/>
                        </w:rPr>
                        <w:t>)</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30" behindDoc="0" locked="0" layoutInCell="1" hidden="0" allowOverlap="1">
                <wp:simplePos x="0" y="0"/>
                <wp:positionH relativeFrom="column">
                  <wp:posOffset>3124200</wp:posOffset>
                </wp:positionH>
                <wp:positionV relativeFrom="paragraph">
                  <wp:posOffset>2755900</wp:posOffset>
                </wp:positionV>
                <wp:extent cx="502920" cy="254635"/>
                <wp:effectExtent l="0" t="0" r="635" b="635"/>
                <wp:wrapNone/>
                <wp:docPr id="1062" name="テキスト ボックス 3"/>
                <a:graphic xmlns:a="http://schemas.openxmlformats.org/drawingml/2006/main">
                  <a:graphicData uri="http://schemas.microsoft.com/office/word/2010/wordprocessingShape">
                    <wps:wsp>
                      <wps:cNvPr id="1062" name="テキスト ボックス 3"/>
                      <wps:cNvSpPr txBox="1"/>
                      <wps:spPr>
                        <a:xfrm>
                          <a:off x="0" y="0"/>
                          <a:ext cx="502920" cy="254635"/>
                        </a:xfrm>
                        <a:prstGeom prst="rect">
                          <a:avLst/>
                        </a:prstGeom>
                        <a:noFill/>
                        <a:ln w="6350">
                          <a:noFill/>
                        </a:ln>
                      </wps:spPr>
                      <wps:txbx>
                        <w:txbxContent>
                          <w:p>
                            <w:pPr>
                              <w:pStyle w:val="0"/>
                              <w:rPr>
                                <w:rFonts w:hint="default"/>
                                <w:b w:val="1"/>
                                <w:sz w:val="20"/>
                              </w:rPr>
                            </w:pPr>
                            <w:r>
                              <w:rPr>
                                <w:rFonts w:hint="eastAsia"/>
                                <w:b w:val="1"/>
                                <w:color w:val="00B050"/>
                                <w:sz w:val="20"/>
                              </w:rPr>
                              <w:t>相談</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30;mso-wrap-distance-left:9pt;width:39.6pt;height:20.05pt;mso-position-horizontal-relative:text;position:absolute;margin-left:246pt;margin-top:217pt;mso-wrap-distance-bottom:0pt;mso-wrap-distance-right:9pt;mso-wrap-distance-top:0pt;v-text-anchor:top;" o:spid="_x0000_s1062" o:allowincell="t" o:allowoverlap="t" filled="f" stroked="f" strokeweight="0.5pt" o:spt="202" type="#_x0000_t202">
                <v:fill/>
                <v:textbox style="layout-flow:horizontal;">
                  <w:txbxContent>
                    <w:p>
                      <w:pPr>
                        <w:pStyle w:val="0"/>
                        <w:rPr>
                          <w:rFonts w:hint="default"/>
                          <w:b w:val="1"/>
                          <w:sz w:val="20"/>
                        </w:rPr>
                      </w:pPr>
                      <w:r>
                        <w:rPr>
                          <w:rFonts w:hint="eastAsia"/>
                          <w:b w:val="1"/>
                          <w:color w:val="00B050"/>
                          <w:sz w:val="20"/>
                        </w:rPr>
                        <w:t>相談</w:t>
                      </w:r>
                    </w:p>
                  </w:txbxContent>
                </v:textbox>
                <v:imagedata o:title=""/>
                <w10:wrap type="none" anchorx="text" anchory="text"/>
              </v:shape>
            </w:pict>
          </mc:Fallback>
        </mc:AlternateContent>
      </w:r>
      <w:r>
        <w:rPr>
          <w:rFonts w:hint="eastAsia"/>
          <w:color w:val="000000"/>
        </w:rPr>
        <mc:AlternateContent>
          <mc:Choice Requires="wps">
            <w:drawing>
              <wp:anchor distT="0" distB="0" distL="114300" distR="114300" simplePos="0" relativeHeight="27" behindDoc="0" locked="0" layoutInCell="1" hidden="0" allowOverlap="1">
                <wp:simplePos x="0" y="0"/>
                <wp:positionH relativeFrom="column">
                  <wp:posOffset>1769110</wp:posOffset>
                </wp:positionH>
                <wp:positionV relativeFrom="paragraph">
                  <wp:posOffset>2713355</wp:posOffset>
                </wp:positionV>
                <wp:extent cx="827405" cy="436245"/>
                <wp:effectExtent l="0" t="0" r="635" b="635"/>
                <wp:wrapNone/>
                <wp:docPr id="1063" name="テキスト ボックス 3"/>
                <a:graphic xmlns:a="http://schemas.openxmlformats.org/drawingml/2006/main">
                  <a:graphicData uri="http://schemas.microsoft.com/office/word/2010/wordprocessingShape">
                    <wps:wsp>
                      <wps:cNvPr id="1063" name="テキスト ボックス 3"/>
                      <wps:cNvSpPr txBox="1"/>
                      <wps:spPr>
                        <a:xfrm>
                          <a:off x="0" y="0"/>
                          <a:ext cx="827405" cy="436245"/>
                        </a:xfrm>
                        <a:prstGeom prst="rect">
                          <a:avLst/>
                        </a:prstGeom>
                        <a:noFill/>
                        <a:ln w="6350">
                          <a:noFill/>
                        </a:ln>
                      </wps:spPr>
                      <wps:txbx>
                        <w:txbxContent>
                          <w:p>
                            <w:pPr>
                              <w:pStyle w:val="0"/>
                              <w:rPr>
                                <w:rFonts w:hint="default"/>
                                <w:b w:val="1"/>
                                <w:color w:val="FFC000"/>
                                <w:sz w:val="20"/>
                              </w:rPr>
                            </w:pPr>
                            <w:r>
                              <w:rPr>
                                <w:rFonts w:hint="eastAsia"/>
                                <w:b w:val="1"/>
                                <w:color w:val="FFC000"/>
                                <w:sz w:val="20"/>
                              </w:rPr>
                              <w:t>支援・評価</w:t>
                            </w:r>
                          </w:p>
                          <w:p>
                            <w:pPr>
                              <w:pStyle w:val="0"/>
                              <w:rPr>
                                <w:rFonts w:hint="default"/>
                                <w:sz w:val="20"/>
                              </w:rPr>
                            </w:pPr>
                            <w:r>
                              <w:rPr>
                                <w:rFonts w:hint="eastAsia"/>
                                <w:b w:val="1"/>
                                <w:color w:val="FFC000"/>
                                <w:sz w:val="20"/>
                              </w:rPr>
                              <w:t>助言</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27;mso-wrap-distance-left:9pt;width:65.150000000000006pt;height:34.35pt;mso-position-horizontal-relative:text;position:absolute;margin-left:139.30000000000001pt;margin-top:213.65pt;mso-wrap-distance-bottom:0pt;mso-wrap-distance-right:9pt;mso-wrap-distance-top:0pt;v-text-anchor:top;" o:spid="_x0000_s1063" o:allowincell="t" o:allowoverlap="t" filled="f" stroked="f" strokeweight="0.5pt" o:spt="202" type="#_x0000_t202">
                <v:fill/>
                <v:textbox style="layout-flow:horizontal;">
                  <w:txbxContent>
                    <w:p>
                      <w:pPr>
                        <w:pStyle w:val="0"/>
                        <w:rPr>
                          <w:rFonts w:hint="default"/>
                          <w:b w:val="1"/>
                          <w:color w:val="FFC000"/>
                          <w:sz w:val="20"/>
                        </w:rPr>
                      </w:pPr>
                      <w:r>
                        <w:rPr>
                          <w:rFonts w:hint="eastAsia"/>
                          <w:b w:val="1"/>
                          <w:color w:val="FFC000"/>
                          <w:sz w:val="20"/>
                        </w:rPr>
                        <w:t>支援・評価</w:t>
                      </w:r>
                    </w:p>
                    <w:p>
                      <w:pPr>
                        <w:pStyle w:val="0"/>
                        <w:rPr>
                          <w:rFonts w:hint="default"/>
                          <w:sz w:val="20"/>
                        </w:rPr>
                      </w:pPr>
                      <w:r>
                        <w:rPr>
                          <w:rFonts w:hint="eastAsia"/>
                          <w:b w:val="1"/>
                          <w:color w:val="FFC000"/>
                          <w:sz w:val="20"/>
                        </w:rPr>
                        <w:t>助言</w:t>
                      </w:r>
                    </w:p>
                  </w:txbxContent>
                </v:textbox>
                <v:imagedata o:title=""/>
                <w10:wrap type="none" anchorx="text" anchory="text"/>
              </v:shape>
            </w:pict>
          </mc:Fallback>
        </mc:AlternateContent>
      </w:r>
      <w:r>
        <w:rPr>
          <w:rFonts w:hint="default"/>
        </w:rPr>
        <w:br w:type="page"/>
      </w:r>
    </w:p>
    <w:p>
      <w:pPr>
        <w:pStyle w:val="1"/>
        <w:rPr>
          <w:rFonts w:hint="default"/>
        </w:rPr>
      </w:pPr>
      <w:bookmarkStart w:id="11" w:name="_Toc162548676"/>
      <w:r>
        <w:rPr>
          <w:rFonts w:hint="default"/>
        </w:rPr>
        <w:t>現状の整理</w:t>
      </w:r>
      <w:bookmarkEnd w:id="11"/>
    </w:p>
    <w:p>
      <w:pPr>
        <w:pStyle w:val="2"/>
        <w:rPr>
          <w:rFonts w:hint="default"/>
        </w:rPr>
      </w:pPr>
      <w:bookmarkStart w:id="12" w:name="_Toc130896257"/>
      <w:bookmarkStart w:id="13" w:name="_Toc162548677"/>
      <w:r>
        <w:rPr>
          <w:rFonts w:hint="default"/>
        </w:rPr>
        <w:t>八街市の特性</w:t>
      </w:r>
      <w:bookmarkEnd w:id="12"/>
      <w:bookmarkEnd w:id="13"/>
    </w:p>
    <w:p>
      <w:pPr>
        <w:pStyle w:val="3"/>
        <w:rPr>
          <w:rFonts w:hint="default"/>
        </w:rPr>
      </w:pPr>
      <w:bookmarkStart w:id="14" w:name="_Toc162548678"/>
      <w:r>
        <w:rPr>
          <w:rFonts w:hint="default"/>
        </w:rPr>
        <w:t>産業構成</w:t>
      </w:r>
      <w:bookmarkEnd w:id="14"/>
    </w:p>
    <w:p>
      <w:pPr>
        <w:pStyle w:val="39"/>
        <w:ind w:firstLine="200"/>
        <w:rPr>
          <w:rFonts w:hint="default"/>
        </w:rPr>
      </w:pPr>
      <w:r>
        <w:rPr>
          <w:rFonts w:hint="default"/>
        </w:rPr>
        <w:t>産業構成の割合（</w:t>
      </w:r>
      <w:r>
        <w:rPr>
          <w:rFonts w:hint="eastAsia"/>
        </w:rPr>
        <w:fldChar w:fldCharType="begin"/>
      </w:r>
      <w:r>
        <w:rPr>
          <w:rFonts w:hint="eastAsia"/>
        </w:rPr>
        <w:instrText xml:space="preserve">REF _Ref122517958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1</w:t>
      </w:r>
      <w:r>
        <w:rPr>
          <w:rFonts w:hint="eastAsia"/>
        </w:rPr>
        <w:t>-</w:t>
      </w:r>
      <w:r>
        <w:rPr>
          <w:rFonts w:hint="default"/>
        </w:rPr>
        <w:t>1</w:t>
      </w:r>
      <w:r>
        <w:rPr>
          <w:rFonts w:hint="eastAsia"/>
        </w:rPr>
        <w:fldChar w:fldCharType="end"/>
      </w:r>
      <w:r>
        <w:rPr>
          <w:rFonts w:hint="default"/>
        </w:rPr>
        <w:t>）をみると</w:t>
      </w:r>
      <w:r>
        <w:rPr>
          <w:rFonts w:hint="eastAsia"/>
        </w:rPr>
        <w:t>、国・県と比較して</w:t>
      </w:r>
      <w:r>
        <w:rPr>
          <w:rFonts w:hint="default"/>
        </w:rPr>
        <w:t>第一次産業及び第二次産業比率が</w:t>
      </w:r>
      <w:r>
        <w:rPr>
          <w:rFonts w:hint="eastAsia"/>
        </w:rPr>
        <w:t>高い</w:t>
      </w:r>
      <w:r>
        <w:rPr>
          <w:rFonts w:hint="default"/>
        </w:rPr>
        <w:t>。</w:t>
      </w:r>
    </w:p>
    <w:p>
      <w:pPr>
        <w:pStyle w:val="0"/>
        <w:rPr>
          <w:rFonts w:hint="default"/>
        </w:rPr>
      </w:pPr>
    </w:p>
    <w:p>
      <w:pPr>
        <w:pStyle w:val="38"/>
        <w:rPr>
          <w:rFonts w:hint="default"/>
        </w:rPr>
      </w:pPr>
      <w:bookmarkStart w:id="15" w:name="_Ref122517958"/>
      <w:bookmarkStart w:id="16" w:name="_Toc12493681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5"/>
      <w:r>
        <w:rPr>
          <w:rFonts w:hint="default"/>
        </w:rPr>
        <w:t>：産業構成</w:t>
      </w:r>
      <w:bookmarkEnd w:id="16"/>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75"/>
        <w:gridCol w:w="1875"/>
        <w:gridCol w:w="1875"/>
        <w:gridCol w:w="1875"/>
        <w:gridCol w:w="1875"/>
      </w:tblGrid>
      <w:tr>
        <w:trPr>
          <w:trHeight w:val="25" w:hRule="atLeast"/>
        </w:trPr>
        <w:tc>
          <w:tcPr>
            <w:tcW w:w="1000" w:type="pct"/>
            <w:shd w:val="clear" w:color="auto" w:fill="CCD6FF"/>
            <w:tcMar>
              <w:top w:w="28" w:type="dxa"/>
              <w:left w:w="28" w:type="dxa"/>
              <w:bottom w:w="28" w:type="dxa"/>
              <w:right w:w="28" w:type="dxa"/>
            </w:tcMar>
            <w:vAlign w:val="center"/>
          </w:tcPr>
          <w:p>
            <w:pPr>
              <w:pStyle w:val="0"/>
              <w:jc w:val="center"/>
              <w:rPr>
                <w:rFonts w:hint="default"/>
              </w:rPr>
            </w:pPr>
          </w:p>
        </w:tc>
        <w:tc>
          <w:tcPr>
            <w:tcW w:w="100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八街市</w:t>
            </w:r>
          </w:p>
        </w:tc>
        <w:tc>
          <w:tcPr>
            <w:tcW w:w="100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国</w:t>
            </w:r>
          </w:p>
        </w:tc>
        <w:tc>
          <w:tcPr>
            <w:tcW w:w="100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県</w:t>
            </w:r>
          </w:p>
        </w:tc>
        <w:tc>
          <w:tcPr>
            <w:tcW w:w="100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同規模</w:t>
            </w:r>
          </w:p>
        </w:tc>
      </w:tr>
      <w:tr>
        <w:trPr>
          <w:trHeight w:val="88" w:hRule="atLeast"/>
        </w:trPr>
        <w:tc>
          <w:tcPr>
            <w:tcW w:w="1000" w:type="pct"/>
            <w:tcMar>
              <w:top w:w="28" w:type="dxa"/>
              <w:left w:w="28" w:type="dxa"/>
              <w:bottom w:w="28" w:type="dxa"/>
              <w:right w:w="28" w:type="dxa"/>
            </w:tcMar>
            <w:vAlign w:val="center"/>
          </w:tcPr>
          <w:p>
            <w:pPr>
              <w:pStyle w:val="0"/>
              <w:rPr>
                <w:rFonts w:hint="default"/>
              </w:rPr>
            </w:pPr>
            <w:r>
              <w:rPr>
                <w:rFonts w:hint="eastAsia"/>
              </w:rPr>
              <w:t>一次産業</w:t>
            </w:r>
          </w:p>
        </w:tc>
        <w:tc>
          <w:tcPr>
            <w:tcW w:w="1000" w:type="pct"/>
            <w:tcMar>
              <w:top w:w="28" w:type="dxa"/>
              <w:left w:w="28" w:type="dxa"/>
              <w:bottom w:w="28" w:type="dxa"/>
              <w:right w:w="28" w:type="dxa"/>
            </w:tcMar>
            <w:vAlign w:val="center"/>
          </w:tcPr>
          <w:p>
            <w:pPr>
              <w:pStyle w:val="0"/>
              <w:jc w:val="right"/>
              <w:rPr>
                <w:rFonts w:hint="default"/>
              </w:rPr>
            </w:pPr>
            <w:r>
              <w:rPr>
                <w:rFonts w:hint="default"/>
              </w:rPr>
              <w:t>8.1%</w:t>
            </w:r>
          </w:p>
        </w:tc>
        <w:tc>
          <w:tcPr>
            <w:tcW w:w="1000" w:type="pct"/>
            <w:tcMar>
              <w:top w:w="28" w:type="dxa"/>
              <w:left w:w="28" w:type="dxa"/>
              <w:bottom w:w="28" w:type="dxa"/>
              <w:right w:w="28" w:type="dxa"/>
            </w:tcMar>
            <w:vAlign w:val="center"/>
          </w:tcPr>
          <w:p>
            <w:pPr>
              <w:pStyle w:val="0"/>
              <w:jc w:val="right"/>
              <w:rPr>
                <w:rFonts w:hint="default"/>
              </w:rPr>
            </w:pPr>
            <w:r>
              <w:rPr>
                <w:rFonts w:hint="default"/>
              </w:rPr>
              <w:t>4.0%</w:t>
            </w:r>
          </w:p>
        </w:tc>
        <w:tc>
          <w:tcPr>
            <w:tcW w:w="1000" w:type="pct"/>
            <w:tcMar>
              <w:top w:w="28" w:type="dxa"/>
              <w:left w:w="28" w:type="dxa"/>
              <w:bottom w:w="28" w:type="dxa"/>
              <w:right w:w="28" w:type="dxa"/>
            </w:tcMar>
            <w:vAlign w:val="center"/>
          </w:tcPr>
          <w:p>
            <w:pPr>
              <w:pStyle w:val="0"/>
              <w:jc w:val="right"/>
              <w:rPr>
                <w:rFonts w:hint="default"/>
              </w:rPr>
            </w:pPr>
            <w:r>
              <w:rPr>
                <w:rFonts w:hint="default"/>
              </w:rPr>
              <w:t>2.9%</w:t>
            </w:r>
          </w:p>
        </w:tc>
        <w:tc>
          <w:tcPr>
            <w:tcW w:w="1000" w:type="pct"/>
            <w:tcMar>
              <w:top w:w="28" w:type="dxa"/>
              <w:left w:w="28" w:type="dxa"/>
              <w:bottom w:w="28" w:type="dxa"/>
              <w:right w:w="28" w:type="dxa"/>
            </w:tcMar>
            <w:vAlign w:val="center"/>
          </w:tcPr>
          <w:p>
            <w:pPr>
              <w:pStyle w:val="0"/>
              <w:jc w:val="right"/>
              <w:rPr>
                <w:rFonts w:hint="default"/>
              </w:rPr>
            </w:pPr>
            <w:r>
              <w:rPr>
                <w:rFonts w:hint="default"/>
              </w:rPr>
              <w:t>5.6%</w:t>
            </w:r>
          </w:p>
        </w:tc>
      </w:tr>
      <w:tr>
        <w:trPr>
          <w:trHeight w:val="88" w:hRule="atLeast"/>
        </w:trPr>
        <w:tc>
          <w:tcPr>
            <w:tcW w:w="1000" w:type="pct"/>
            <w:tcMar>
              <w:top w:w="28" w:type="dxa"/>
              <w:left w:w="28" w:type="dxa"/>
              <w:bottom w:w="28" w:type="dxa"/>
              <w:right w:w="28" w:type="dxa"/>
            </w:tcMar>
            <w:vAlign w:val="center"/>
          </w:tcPr>
          <w:p>
            <w:pPr>
              <w:pStyle w:val="0"/>
              <w:rPr>
                <w:rFonts w:hint="default"/>
              </w:rPr>
            </w:pPr>
            <w:r>
              <w:rPr>
                <w:rFonts w:hint="eastAsia"/>
              </w:rPr>
              <w:t>二次産業</w:t>
            </w:r>
          </w:p>
        </w:tc>
        <w:tc>
          <w:tcPr>
            <w:tcW w:w="1000" w:type="pct"/>
            <w:tcMar>
              <w:top w:w="28" w:type="dxa"/>
              <w:left w:w="28" w:type="dxa"/>
              <w:bottom w:w="28" w:type="dxa"/>
              <w:right w:w="28" w:type="dxa"/>
            </w:tcMar>
            <w:vAlign w:val="center"/>
          </w:tcPr>
          <w:p>
            <w:pPr>
              <w:pStyle w:val="0"/>
              <w:jc w:val="right"/>
              <w:rPr>
                <w:rFonts w:hint="default"/>
              </w:rPr>
            </w:pPr>
            <w:r>
              <w:rPr>
                <w:rFonts w:hint="default"/>
              </w:rPr>
              <w:t>25.8%</w:t>
            </w:r>
          </w:p>
        </w:tc>
        <w:tc>
          <w:tcPr>
            <w:tcW w:w="1000" w:type="pct"/>
            <w:tcMar>
              <w:top w:w="28" w:type="dxa"/>
              <w:left w:w="28" w:type="dxa"/>
              <w:bottom w:w="28" w:type="dxa"/>
              <w:right w:w="28" w:type="dxa"/>
            </w:tcMar>
            <w:vAlign w:val="center"/>
          </w:tcPr>
          <w:p>
            <w:pPr>
              <w:pStyle w:val="0"/>
              <w:jc w:val="right"/>
              <w:rPr>
                <w:rFonts w:hint="default"/>
              </w:rPr>
            </w:pPr>
            <w:r>
              <w:rPr>
                <w:rFonts w:hint="default"/>
              </w:rPr>
              <w:t>25.0%</w:t>
            </w:r>
          </w:p>
        </w:tc>
        <w:tc>
          <w:tcPr>
            <w:tcW w:w="1000" w:type="pct"/>
            <w:tcMar>
              <w:top w:w="28" w:type="dxa"/>
              <w:left w:w="28" w:type="dxa"/>
              <w:bottom w:w="28" w:type="dxa"/>
              <w:right w:w="28" w:type="dxa"/>
            </w:tcMar>
            <w:vAlign w:val="center"/>
          </w:tcPr>
          <w:p>
            <w:pPr>
              <w:pStyle w:val="0"/>
              <w:jc w:val="right"/>
              <w:rPr>
                <w:rFonts w:hint="default"/>
              </w:rPr>
            </w:pPr>
            <w:r>
              <w:rPr>
                <w:rFonts w:hint="default"/>
              </w:rPr>
              <w:t>20.6%</w:t>
            </w:r>
          </w:p>
        </w:tc>
        <w:tc>
          <w:tcPr>
            <w:tcW w:w="1000" w:type="pct"/>
            <w:tcMar>
              <w:top w:w="28" w:type="dxa"/>
              <w:left w:w="28" w:type="dxa"/>
              <w:bottom w:w="28" w:type="dxa"/>
              <w:right w:w="28" w:type="dxa"/>
            </w:tcMar>
            <w:vAlign w:val="center"/>
          </w:tcPr>
          <w:p>
            <w:pPr>
              <w:pStyle w:val="0"/>
              <w:jc w:val="right"/>
              <w:rPr>
                <w:rFonts w:hint="default"/>
              </w:rPr>
            </w:pPr>
            <w:r>
              <w:rPr>
                <w:rFonts w:hint="default"/>
              </w:rPr>
              <w:t>28.6%</w:t>
            </w:r>
          </w:p>
        </w:tc>
      </w:tr>
      <w:tr>
        <w:trPr>
          <w:trHeight w:val="88" w:hRule="atLeast"/>
        </w:trPr>
        <w:tc>
          <w:tcPr>
            <w:tcW w:w="1000" w:type="pct"/>
            <w:tcMar>
              <w:top w:w="28" w:type="dxa"/>
              <w:left w:w="28" w:type="dxa"/>
              <w:bottom w:w="28" w:type="dxa"/>
              <w:right w:w="28" w:type="dxa"/>
            </w:tcMar>
            <w:vAlign w:val="center"/>
          </w:tcPr>
          <w:p>
            <w:pPr>
              <w:pStyle w:val="0"/>
              <w:rPr>
                <w:rFonts w:hint="default"/>
              </w:rPr>
            </w:pPr>
            <w:r>
              <w:rPr>
                <w:rFonts w:hint="eastAsia"/>
              </w:rPr>
              <w:t>三次産業</w:t>
            </w:r>
          </w:p>
        </w:tc>
        <w:tc>
          <w:tcPr>
            <w:tcW w:w="1000" w:type="pct"/>
            <w:tcMar>
              <w:top w:w="28" w:type="dxa"/>
              <w:left w:w="28" w:type="dxa"/>
              <w:bottom w:w="28" w:type="dxa"/>
              <w:right w:w="28" w:type="dxa"/>
            </w:tcMar>
            <w:vAlign w:val="center"/>
          </w:tcPr>
          <w:p>
            <w:pPr>
              <w:pStyle w:val="0"/>
              <w:jc w:val="right"/>
              <w:rPr>
                <w:rFonts w:hint="default"/>
              </w:rPr>
            </w:pPr>
            <w:r>
              <w:rPr>
                <w:rFonts w:hint="default"/>
              </w:rPr>
              <w:t>66.1%</w:t>
            </w:r>
          </w:p>
        </w:tc>
        <w:tc>
          <w:tcPr>
            <w:tcW w:w="1000" w:type="pct"/>
            <w:tcMar>
              <w:top w:w="28" w:type="dxa"/>
              <w:left w:w="28" w:type="dxa"/>
              <w:bottom w:w="28" w:type="dxa"/>
              <w:right w:w="28" w:type="dxa"/>
            </w:tcMar>
            <w:vAlign w:val="center"/>
          </w:tcPr>
          <w:p>
            <w:pPr>
              <w:pStyle w:val="0"/>
              <w:jc w:val="right"/>
              <w:rPr>
                <w:rFonts w:hint="default"/>
              </w:rPr>
            </w:pPr>
            <w:r>
              <w:rPr>
                <w:rFonts w:hint="default"/>
              </w:rPr>
              <w:t>71.0%</w:t>
            </w:r>
          </w:p>
        </w:tc>
        <w:tc>
          <w:tcPr>
            <w:tcW w:w="1000" w:type="pct"/>
            <w:tcMar>
              <w:top w:w="28" w:type="dxa"/>
              <w:left w:w="28" w:type="dxa"/>
              <w:bottom w:w="28" w:type="dxa"/>
              <w:right w:w="28" w:type="dxa"/>
            </w:tcMar>
            <w:vAlign w:val="center"/>
          </w:tcPr>
          <w:p>
            <w:pPr>
              <w:pStyle w:val="0"/>
              <w:jc w:val="right"/>
              <w:rPr>
                <w:rFonts w:hint="default"/>
              </w:rPr>
            </w:pPr>
            <w:r>
              <w:rPr>
                <w:rFonts w:hint="default"/>
              </w:rPr>
              <w:t>76.5%</w:t>
            </w:r>
          </w:p>
        </w:tc>
        <w:tc>
          <w:tcPr>
            <w:tcW w:w="1000" w:type="pct"/>
            <w:tcMar>
              <w:top w:w="28" w:type="dxa"/>
              <w:left w:w="28" w:type="dxa"/>
              <w:bottom w:w="28" w:type="dxa"/>
              <w:right w:w="28" w:type="dxa"/>
            </w:tcMar>
            <w:vAlign w:val="center"/>
          </w:tcPr>
          <w:p>
            <w:pPr>
              <w:pStyle w:val="0"/>
              <w:jc w:val="right"/>
              <w:rPr>
                <w:rFonts w:hint="default"/>
              </w:rPr>
            </w:pPr>
            <w:r>
              <w:rPr>
                <w:rFonts w:hint="default"/>
              </w:rPr>
              <w:t>65.8%</w:t>
            </w:r>
          </w:p>
        </w:tc>
      </w:tr>
    </w:tbl>
    <w:p>
      <w:pPr>
        <w:pStyle w:val="44"/>
        <w:rPr>
          <w:rFonts w:hint="default"/>
        </w:rPr>
      </w:pPr>
      <w:r>
        <w:rPr>
          <w:rFonts w:hint="default"/>
        </w:rPr>
        <w:t>【出典】</w:t>
      </w:r>
      <w:r>
        <w:rPr>
          <w:rFonts w:hint="default"/>
        </w:rPr>
        <w:t>KDB</w:t>
      </w:r>
      <w:r>
        <w:rPr>
          <w:rFonts w:hint="default"/>
        </w:rPr>
        <w:t>帳票</w:t>
      </w:r>
      <w:r>
        <w:rPr>
          <w:rFonts w:hint="default"/>
        </w:rPr>
        <w:t xml:space="preserve"> </w:t>
      </w:r>
      <w:r>
        <w:rPr>
          <w:rFonts w:hint="default"/>
          <w:highlight w:val="white"/>
        </w:rPr>
        <w:t>S21_003-</w:t>
      </w:r>
      <w:r>
        <w:rPr>
          <w:rFonts w:hint="default"/>
          <w:highlight w:val="white"/>
        </w:rPr>
        <w:t>健診・医療・介護データからみる地域の健康課題</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w:t>
      </w:r>
      <w:r>
        <w:rPr>
          <w:rFonts w:hint="eastAsia"/>
        </w:rPr>
        <w:t>KDB</w:t>
      </w:r>
      <w:r>
        <w:rPr>
          <w:rFonts w:hint="eastAsia"/>
        </w:rPr>
        <w:t>システムでは国勢調査をもとに集計している</w:t>
      </w:r>
    </w:p>
    <w:p>
      <w:pPr>
        <w:pStyle w:val="0"/>
        <w:rPr>
          <w:rFonts w:hint="default"/>
        </w:rPr>
      </w:pPr>
    </w:p>
    <w:p>
      <w:pPr>
        <w:pStyle w:val="3"/>
        <w:rPr>
          <w:rFonts w:hint="default"/>
        </w:rPr>
      </w:pPr>
      <w:bookmarkStart w:id="17" w:name="_Toc162548679"/>
      <w:r>
        <w:rPr>
          <w:rFonts w:hint="default"/>
        </w:rPr>
        <w:t>医療サービス（病院数・診療所数・病床数・医師数）</w:t>
      </w:r>
      <w:bookmarkEnd w:id="17"/>
    </w:p>
    <w:p>
      <w:pPr>
        <w:pStyle w:val="39"/>
        <w:ind w:firstLine="200"/>
        <w:rPr>
          <w:rFonts w:hint="default"/>
        </w:rPr>
      </w:pPr>
      <w:r>
        <w:rPr>
          <w:rFonts w:hint="eastAsia"/>
        </w:rPr>
        <w:t>被保険者千人当たりの医療サービスの状況（</w:t>
      </w:r>
      <w:r>
        <w:rPr>
          <w:rFonts w:hint="eastAsia"/>
        </w:rPr>
        <w:fldChar w:fldCharType="begin"/>
      </w:r>
      <w:r>
        <w:rPr>
          <w:rFonts w:hint="eastAsia"/>
        </w:rPr>
        <w:instrText xml:space="preserve">REF _Ref122518166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2</w:t>
      </w:r>
      <w:r>
        <w:rPr>
          <w:rFonts w:hint="eastAsia"/>
        </w:rPr>
        <w:t>-</w:t>
      </w:r>
      <w:r>
        <w:rPr>
          <w:rFonts w:hint="default"/>
        </w:rPr>
        <w:t>1</w:t>
      </w:r>
      <w:r>
        <w:rPr>
          <w:rFonts w:hint="eastAsia"/>
        </w:rPr>
        <w:fldChar w:fldCharType="end"/>
      </w:r>
      <w:r>
        <w:rPr>
          <w:rFonts w:hint="default"/>
        </w:rPr>
        <w:t>）をみると、国</w:t>
      </w:r>
      <w:r>
        <w:rPr>
          <w:rFonts w:hint="eastAsia"/>
        </w:rPr>
        <w:t>・県</w:t>
      </w:r>
      <w:r>
        <w:rPr>
          <w:rFonts w:hint="default"/>
        </w:rPr>
        <w:t>と比較していずれも少ない。</w:t>
      </w:r>
    </w:p>
    <w:p>
      <w:pPr>
        <w:pStyle w:val="0"/>
        <w:rPr>
          <w:rFonts w:hint="default"/>
        </w:rPr>
      </w:pPr>
    </w:p>
    <w:p>
      <w:pPr>
        <w:pStyle w:val="38"/>
        <w:rPr>
          <w:rFonts w:hint="default"/>
        </w:rPr>
      </w:pPr>
      <w:bookmarkStart w:id="18" w:name="_Ref122518166"/>
      <w:bookmarkStart w:id="19" w:name="_Toc12493681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8"/>
      <w:r>
        <w:rPr>
          <w:rFonts w:hint="default"/>
        </w:rPr>
        <w:t>：医療サービスの状況</w:t>
      </w:r>
      <w:bookmarkEnd w:id="19"/>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75"/>
        <w:gridCol w:w="1875"/>
        <w:gridCol w:w="1875"/>
        <w:gridCol w:w="1875"/>
        <w:gridCol w:w="1875"/>
      </w:tblGrid>
      <w:tr>
        <w:trPr>
          <w:trHeight w:val="20" w:hRule="atLeast"/>
        </w:trPr>
        <w:tc>
          <w:tcPr>
            <w:tcW w:w="1000" w:type="pct"/>
            <w:shd w:val="clear" w:color="auto" w:fill="CCD6FF"/>
            <w:tcMar>
              <w:top w:w="28" w:type="dxa"/>
              <w:left w:w="28" w:type="dxa"/>
              <w:bottom w:w="28" w:type="dxa"/>
              <w:right w:w="28" w:type="dxa"/>
            </w:tcMar>
            <w:vAlign w:val="center"/>
          </w:tcPr>
          <w:p>
            <w:pPr>
              <w:pStyle w:val="0"/>
              <w:jc w:val="center"/>
              <w:rPr>
                <w:rFonts w:hint="default"/>
              </w:rPr>
            </w:pPr>
            <w:r>
              <w:rPr>
                <w:rFonts w:hint="default"/>
              </w:rPr>
              <w:t>（千人当たり）</w:t>
            </w:r>
          </w:p>
        </w:tc>
        <w:tc>
          <w:tcPr>
            <w:tcW w:w="10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八街市</w:t>
            </w:r>
          </w:p>
        </w:tc>
        <w:tc>
          <w:tcPr>
            <w:tcW w:w="10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国</w:t>
            </w:r>
          </w:p>
        </w:tc>
        <w:tc>
          <w:tcPr>
            <w:tcW w:w="10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県</w:t>
            </w:r>
          </w:p>
        </w:tc>
        <w:tc>
          <w:tcPr>
            <w:tcW w:w="10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同規模</w:t>
            </w:r>
          </w:p>
        </w:tc>
      </w:tr>
      <w:tr>
        <w:trPr>
          <w:trHeight w:val="20" w:hRule="atLeast"/>
        </w:trPr>
        <w:tc>
          <w:tcPr>
            <w:tcW w:w="1000" w:type="pct"/>
            <w:tcMar>
              <w:top w:w="28" w:type="dxa"/>
              <w:left w:w="28" w:type="dxa"/>
              <w:bottom w:w="28" w:type="dxa"/>
              <w:right w:w="28" w:type="dxa"/>
            </w:tcMar>
            <w:vAlign w:val="center"/>
          </w:tcPr>
          <w:p>
            <w:pPr>
              <w:pStyle w:val="0"/>
              <w:rPr>
                <w:rFonts w:hint="default"/>
              </w:rPr>
            </w:pPr>
            <w:r>
              <w:rPr>
                <w:rFonts w:hint="default"/>
              </w:rPr>
              <w:t>病院数</w:t>
            </w:r>
          </w:p>
        </w:tc>
        <w:tc>
          <w:tcPr>
            <w:tcW w:w="1000" w:type="pct"/>
            <w:tcMar>
              <w:top w:w="28" w:type="dxa"/>
              <w:left w:w="28" w:type="dxa"/>
              <w:bottom w:w="28" w:type="dxa"/>
              <w:right w:w="28" w:type="dxa"/>
            </w:tcMar>
            <w:vAlign w:val="center"/>
          </w:tcPr>
          <w:p>
            <w:pPr>
              <w:pStyle w:val="0"/>
              <w:jc w:val="right"/>
              <w:rPr>
                <w:rFonts w:hint="default"/>
              </w:rPr>
            </w:pPr>
            <w:r>
              <w:rPr>
                <w:rFonts w:hint="default"/>
              </w:rPr>
              <w:t>0.2</w:t>
            </w:r>
          </w:p>
        </w:tc>
        <w:tc>
          <w:tcPr>
            <w:tcW w:w="1000" w:type="pct"/>
            <w:tcMar>
              <w:top w:w="28" w:type="dxa"/>
              <w:left w:w="28" w:type="dxa"/>
              <w:bottom w:w="28" w:type="dxa"/>
              <w:right w:w="28" w:type="dxa"/>
            </w:tcMar>
            <w:vAlign w:val="center"/>
          </w:tcPr>
          <w:p>
            <w:pPr>
              <w:pStyle w:val="0"/>
              <w:jc w:val="right"/>
              <w:rPr>
                <w:rFonts w:hint="default"/>
              </w:rPr>
            </w:pPr>
            <w:r>
              <w:rPr>
                <w:rFonts w:hint="default"/>
              </w:rPr>
              <w:t>0.3</w:t>
            </w:r>
          </w:p>
        </w:tc>
        <w:tc>
          <w:tcPr>
            <w:tcW w:w="1000" w:type="pct"/>
            <w:tcMar>
              <w:top w:w="28" w:type="dxa"/>
              <w:left w:w="28" w:type="dxa"/>
              <w:bottom w:w="28" w:type="dxa"/>
              <w:right w:w="28" w:type="dxa"/>
            </w:tcMar>
            <w:vAlign w:val="center"/>
          </w:tcPr>
          <w:p>
            <w:pPr>
              <w:pStyle w:val="0"/>
              <w:jc w:val="right"/>
              <w:rPr>
                <w:rFonts w:hint="default"/>
              </w:rPr>
            </w:pPr>
            <w:r>
              <w:rPr>
                <w:rFonts w:hint="default"/>
              </w:rPr>
              <w:t>0.2</w:t>
            </w:r>
          </w:p>
        </w:tc>
        <w:tc>
          <w:tcPr>
            <w:tcW w:w="1000" w:type="pct"/>
            <w:tcMar>
              <w:top w:w="28" w:type="dxa"/>
              <w:left w:w="28" w:type="dxa"/>
              <w:bottom w:w="28" w:type="dxa"/>
              <w:right w:w="28" w:type="dxa"/>
            </w:tcMar>
            <w:vAlign w:val="center"/>
          </w:tcPr>
          <w:p>
            <w:pPr>
              <w:pStyle w:val="0"/>
              <w:jc w:val="right"/>
              <w:rPr>
                <w:rFonts w:hint="default"/>
              </w:rPr>
            </w:pPr>
            <w:r>
              <w:rPr>
                <w:rFonts w:hint="default"/>
              </w:rPr>
              <w:t>0.3</w:t>
            </w:r>
          </w:p>
        </w:tc>
      </w:tr>
      <w:tr>
        <w:trPr>
          <w:trHeight w:val="20" w:hRule="atLeast"/>
        </w:trPr>
        <w:tc>
          <w:tcPr>
            <w:tcW w:w="1000" w:type="pct"/>
            <w:tcMar>
              <w:top w:w="28" w:type="dxa"/>
              <w:left w:w="28" w:type="dxa"/>
              <w:bottom w:w="28" w:type="dxa"/>
              <w:right w:w="28" w:type="dxa"/>
            </w:tcMar>
            <w:vAlign w:val="center"/>
          </w:tcPr>
          <w:p>
            <w:pPr>
              <w:pStyle w:val="0"/>
              <w:rPr>
                <w:rFonts w:hint="default"/>
              </w:rPr>
            </w:pPr>
            <w:r>
              <w:rPr>
                <w:rFonts w:hint="default"/>
              </w:rPr>
              <w:t>診療所数</w:t>
            </w:r>
          </w:p>
        </w:tc>
        <w:tc>
          <w:tcPr>
            <w:tcW w:w="1000" w:type="pct"/>
            <w:tcMar>
              <w:top w:w="28" w:type="dxa"/>
              <w:left w:w="28" w:type="dxa"/>
              <w:bottom w:w="28" w:type="dxa"/>
              <w:right w:w="28" w:type="dxa"/>
            </w:tcMar>
            <w:vAlign w:val="center"/>
          </w:tcPr>
          <w:p>
            <w:pPr>
              <w:pStyle w:val="0"/>
              <w:jc w:val="right"/>
              <w:rPr>
                <w:rFonts w:hint="default"/>
              </w:rPr>
            </w:pPr>
            <w:r>
              <w:rPr>
                <w:rFonts w:hint="default"/>
              </w:rPr>
              <w:t>1.3</w:t>
            </w:r>
          </w:p>
        </w:tc>
        <w:tc>
          <w:tcPr>
            <w:tcW w:w="1000" w:type="pct"/>
            <w:tcMar>
              <w:top w:w="28" w:type="dxa"/>
              <w:left w:w="28" w:type="dxa"/>
              <w:bottom w:w="28" w:type="dxa"/>
              <w:right w:w="28" w:type="dxa"/>
            </w:tcMar>
            <w:vAlign w:val="center"/>
          </w:tcPr>
          <w:p>
            <w:pPr>
              <w:pStyle w:val="0"/>
              <w:jc w:val="right"/>
              <w:rPr>
                <w:rFonts w:hint="default"/>
              </w:rPr>
            </w:pPr>
            <w:r>
              <w:rPr>
                <w:rFonts w:hint="default"/>
              </w:rPr>
              <w:t>4.0</w:t>
            </w:r>
          </w:p>
        </w:tc>
        <w:tc>
          <w:tcPr>
            <w:tcW w:w="1000" w:type="pct"/>
            <w:tcMar>
              <w:top w:w="28" w:type="dxa"/>
              <w:left w:w="28" w:type="dxa"/>
              <w:bottom w:w="28" w:type="dxa"/>
              <w:right w:w="28" w:type="dxa"/>
            </w:tcMar>
            <w:vAlign w:val="center"/>
          </w:tcPr>
          <w:p>
            <w:pPr>
              <w:pStyle w:val="0"/>
              <w:jc w:val="right"/>
              <w:rPr>
                <w:rFonts w:hint="default"/>
              </w:rPr>
            </w:pPr>
            <w:r>
              <w:rPr>
                <w:rFonts w:hint="default"/>
              </w:rPr>
              <w:t>3.0</w:t>
            </w:r>
          </w:p>
        </w:tc>
        <w:tc>
          <w:tcPr>
            <w:tcW w:w="1000" w:type="pct"/>
            <w:tcMar>
              <w:top w:w="28" w:type="dxa"/>
              <w:left w:w="28" w:type="dxa"/>
              <w:bottom w:w="28" w:type="dxa"/>
              <w:right w:w="28" w:type="dxa"/>
            </w:tcMar>
            <w:vAlign w:val="center"/>
          </w:tcPr>
          <w:p>
            <w:pPr>
              <w:pStyle w:val="0"/>
              <w:jc w:val="right"/>
              <w:rPr>
                <w:rFonts w:hint="default"/>
              </w:rPr>
            </w:pPr>
            <w:r>
              <w:rPr>
                <w:rFonts w:hint="default"/>
              </w:rPr>
              <w:t>3.5</w:t>
            </w:r>
          </w:p>
        </w:tc>
      </w:tr>
      <w:tr>
        <w:trPr>
          <w:trHeight w:val="20" w:hRule="atLeast"/>
        </w:trPr>
        <w:tc>
          <w:tcPr>
            <w:tcW w:w="1000" w:type="pct"/>
            <w:tcMar>
              <w:top w:w="28" w:type="dxa"/>
              <w:left w:w="28" w:type="dxa"/>
              <w:bottom w:w="28" w:type="dxa"/>
              <w:right w:w="28" w:type="dxa"/>
            </w:tcMar>
            <w:vAlign w:val="center"/>
          </w:tcPr>
          <w:p>
            <w:pPr>
              <w:pStyle w:val="0"/>
              <w:rPr>
                <w:rFonts w:hint="default"/>
              </w:rPr>
            </w:pPr>
            <w:r>
              <w:rPr>
                <w:rFonts w:hint="default"/>
              </w:rPr>
              <w:t>病床数</w:t>
            </w:r>
          </w:p>
        </w:tc>
        <w:tc>
          <w:tcPr>
            <w:tcW w:w="1000" w:type="pct"/>
            <w:tcMar>
              <w:top w:w="28" w:type="dxa"/>
              <w:left w:w="28" w:type="dxa"/>
              <w:bottom w:w="28" w:type="dxa"/>
              <w:right w:w="28" w:type="dxa"/>
            </w:tcMar>
            <w:vAlign w:val="center"/>
          </w:tcPr>
          <w:p>
            <w:pPr>
              <w:pStyle w:val="0"/>
              <w:jc w:val="right"/>
              <w:rPr>
                <w:rFonts w:hint="default"/>
              </w:rPr>
            </w:pPr>
            <w:r>
              <w:rPr>
                <w:rFonts w:hint="default"/>
              </w:rPr>
              <w:t>26.5</w:t>
            </w:r>
          </w:p>
        </w:tc>
        <w:tc>
          <w:tcPr>
            <w:tcW w:w="1000" w:type="pct"/>
            <w:tcMar>
              <w:top w:w="28" w:type="dxa"/>
              <w:left w:w="28" w:type="dxa"/>
              <w:bottom w:w="28" w:type="dxa"/>
              <w:right w:w="28" w:type="dxa"/>
            </w:tcMar>
            <w:vAlign w:val="center"/>
          </w:tcPr>
          <w:p>
            <w:pPr>
              <w:pStyle w:val="0"/>
              <w:jc w:val="right"/>
              <w:rPr>
                <w:rFonts w:hint="default"/>
              </w:rPr>
            </w:pPr>
            <w:r>
              <w:rPr>
                <w:rFonts w:hint="default"/>
              </w:rPr>
              <w:t>59.4</w:t>
            </w:r>
          </w:p>
        </w:tc>
        <w:tc>
          <w:tcPr>
            <w:tcW w:w="1000" w:type="pct"/>
            <w:tcMar>
              <w:top w:w="28" w:type="dxa"/>
              <w:left w:w="28" w:type="dxa"/>
              <w:bottom w:w="28" w:type="dxa"/>
              <w:right w:w="28" w:type="dxa"/>
            </w:tcMar>
            <w:vAlign w:val="center"/>
          </w:tcPr>
          <w:p>
            <w:pPr>
              <w:pStyle w:val="0"/>
              <w:jc w:val="right"/>
              <w:rPr>
                <w:rFonts w:hint="default"/>
              </w:rPr>
            </w:pPr>
            <w:r>
              <w:rPr>
                <w:rFonts w:hint="default"/>
              </w:rPr>
              <w:t>47.0</w:t>
            </w:r>
          </w:p>
        </w:tc>
        <w:tc>
          <w:tcPr>
            <w:tcW w:w="1000" w:type="pct"/>
            <w:tcMar>
              <w:top w:w="28" w:type="dxa"/>
              <w:left w:w="28" w:type="dxa"/>
              <w:bottom w:w="28" w:type="dxa"/>
              <w:right w:w="28" w:type="dxa"/>
            </w:tcMar>
            <w:vAlign w:val="center"/>
          </w:tcPr>
          <w:p>
            <w:pPr>
              <w:pStyle w:val="0"/>
              <w:jc w:val="right"/>
              <w:rPr>
                <w:rFonts w:hint="default"/>
              </w:rPr>
            </w:pPr>
            <w:r>
              <w:rPr>
                <w:rFonts w:hint="default"/>
              </w:rPr>
              <w:t>57.6</w:t>
            </w:r>
          </w:p>
        </w:tc>
      </w:tr>
      <w:tr>
        <w:trPr>
          <w:trHeight w:val="20" w:hRule="atLeast"/>
        </w:trPr>
        <w:tc>
          <w:tcPr>
            <w:tcW w:w="1000" w:type="pct"/>
            <w:tcMar>
              <w:top w:w="28" w:type="dxa"/>
              <w:left w:w="28" w:type="dxa"/>
              <w:bottom w:w="28" w:type="dxa"/>
              <w:right w:w="28" w:type="dxa"/>
            </w:tcMar>
            <w:vAlign w:val="center"/>
          </w:tcPr>
          <w:p>
            <w:pPr>
              <w:pStyle w:val="0"/>
              <w:rPr>
                <w:rFonts w:hint="default"/>
              </w:rPr>
            </w:pPr>
            <w:r>
              <w:rPr>
                <w:rFonts w:hint="default"/>
              </w:rPr>
              <w:t>医師数</w:t>
            </w:r>
          </w:p>
        </w:tc>
        <w:tc>
          <w:tcPr>
            <w:tcW w:w="1000" w:type="pct"/>
            <w:tcMar>
              <w:top w:w="28" w:type="dxa"/>
              <w:left w:w="28" w:type="dxa"/>
              <w:bottom w:w="28" w:type="dxa"/>
              <w:right w:w="28" w:type="dxa"/>
            </w:tcMar>
            <w:vAlign w:val="center"/>
          </w:tcPr>
          <w:p>
            <w:pPr>
              <w:pStyle w:val="0"/>
              <w:jc w:val="right"/>
              <w:rPr>
                <w:rFonts w:hint="default"/>
              </w:rPr>
            </w:pPr>
            <w:r>
              <w:rPr>
                <w:rFonts w:hint="default"/>
              </w:rPr>
              <w:t>2.2</w:t>
            </w:r>
          </w:p>
        </w:tc>
        <w:tc>
          <w:tcPr>
            <w:tcW w:w="1000" w:type="pct"/>
            <w:tcMar>
              <w:top w:w="28" w:type="dxa"/>
              <w:left w:w="28" w:type="dxa"/>
              <w:bottom w:w="28" w:type="dxa"/>
              <w:right w:w="28" w:type="dxa"/>
            </w:tcMar>
            <w:vAlign w:val="center"/>
          </w:tcPr>
          <w:p>
            <w:pPr>
              <w:pStyle w:val="0"/>
              <w:jc w:val="right"/>
              <w:rPr>
                <w:rFonts w:hint="default"/>
              </w:rPr>
            </w:pPr>
            <w:r>
              <w:rPr>
                <w:rFonts w:hint="default"/>
              </w:rPr>
              <w:t>13.4</w:t>
            </w:r>
          </w:p>
        </w:tc>
        <w:tc>
          <w:tcPr>
            <w:tcW w:w="1000" w:type="pct"/>
            <w:tcMar>
              <w:top w:w="28" w:type="dxa"/>
              <w:left w:w="28" w:type="dxa"/>
              <w:bottom w:w="28" w:type="dxa"/>
              <w:right w:w="28" w:type="dxa"/>
            </w:tcMar>
            <w:vAlign w:val="center"/>
          </w:tcPr>
          <w:p>
            <w:pPr>
              <w:pStyle w:val="0"/>
              <w:jc w:val="right"/>
              <w:rPr>
                <w:rFonts w:hint="default"/>
              </w:rPr>
            </w:pPr>
            <w:r>
              <w:rPr>
                <w:rFonts w:hint="default"/>
              </w:rPr>
              <w:t>10.5</w:t>
            </w:r>
          </w:p>
        </w:tc>
        <w:tc>
          <w:tcPr>
            <w:tcW w:w="1000" w:type="pct"/>
            <w:tcMar>
              <w:top w:w="28" w:type="dxa"/>
              <w:left w:w="28" w:type="dxa"/>
              <w:bottom w:w="28" w:type="dxa"/>
              <w:right w:w="28" w:type="dxa"/>
            </w:tcMar>
            <w:vAlign w:val="center"/>
          </w:tcPr>
          <w:p>
            <w:pPr>
              <w:pStyle w:val="0"/>
              <w:jc w:val="right"/>
              <w:rPr>
                <w:rFonts w:hint="default"/>
              </w:rPr>
            </w:pPr>
            <w:r>
              <w:rPr>
                <w:rFonts w:hint="default"/>
              </w:rPr>
              <w:t>9.7</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※病院数・診療所数・病床数・医師数を各月ごとの被保険者数から算出する年間平均被保険者数で割ったものである</w:t>
      </w:r>
    </w:p>
    <w:p>
      <w:pPr>
        <w:pStyle w:val="42"/>
        <w:rPr>
          <w:rFonts w:hint="default"/>
        </w:rPr>
      </w:pPr>
      <w:r>
        <w:rPr>
          <w:rFonts w:hint="eastAsia"/>
        </w:rPr>
        <w:t>※</w:t>
      </w:r>
      <w:r>
        <w:rPr>
          <w:rFonts w:hint="eastAsia"/>
        </w:rPr>
        <w:t>KDB</w:t>
      </w:r>
      <w:r>
        <w:rPr>
          <w:rFonts w:hint="eastAsia"/>
        </w:rPr>
        <w:t>システムでは医療施設（動態）調査及び医師・歯科医師・薬剤師統計をもとに集計している</w:t>
      </w:r>
    </w:p>
    <w:p>
      <w:pPr>
        <w:pStyle w:val="0"/>
        <w:rPr>
          <w:rFonts w:hint="default"/>
        </w:rPr>
      </w:pPr>
      <w:r>
        <w:rPr>
          <w:rFonts w:hint="default"/>
        </w:rPr>
        <w:br w:type="page"/>
      </w:r>
    </w:p>
    <w:p>
      <w:pPr>
        <w:pStyle w:val="3"/>
        <w:rPr>
          <w:rFonts w:hint="default"/>
        </w:rPr>
      </w:pPr>
      <w:bookmarkStart w:id="20" w:name="_Toc162548680"/>
      <w:r>
        <w:rPr>
          <w:rFonts w:hint="default"/>
        </w:rPr>
        <w:t>人口動態</w:t>
      </w:r>
      <w:bookmarkEnd w:id="20"/>
    </w:p>
    <w:p>
      <w:pPr>
        <w:pStyle w:val="39"/>
        <w:ind w:firstLine="200"/>
        <w:rPr>
          <w:rFonts w:hint="default"/>
        </w:rPr>
      </w:pPr>
      <w:r>
        <w:rPr>
          <w:rFonts w:hint="default"/>
        </w:rPr>
        <w:t>八街市の人口をみると（</w:t>
      </w:r>
      <w:r>
        <w:rPr>
          <w:rFonts w:hint="eastAsia"/>
        </w:rPr>
        <w:fldChar w:fldCharType="begin"/>
      </w:r>
      <w:r>
        <w:rPr>
          <w:rFonts w:hint="eastAsia"/>
        </w:rPr>
        <w:instrText xml:space="preserve">REF _Ref122564314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3</w:t>
      </w:r>
      <w:r>
        <w:rPr>
          <w:rFonts w:hint="eastAsia"/>
        </w:rPr>
        <w:t>-</w:t>
      </w:r>
      <w:r>
        <w:rPr>
          <w:rFonts w:hint="default"/>
        </w:rPr>
        <w:t>1</w:t>
      </w:r>
      <w:r>
        <w:rPr>
          <w:rFonts w:hint="eastAsia"/>
        </w:rPr>
        <w:fldChar w:fldCharType="end"/>
      </w:r>
      <w:r>
        <w:rPr>
          <w:rFonts w:hint="default"/>
        </w:rPr>
        <w:t>）、令和</w:t>
      </w:r>
      <w:r>
        <w:rPr>
          <w:rFonts w:hint="default"/>
        </w:rPr>
        <w:t>4</w:t>
      </w:r>
      <w:r>
        <w:rPr>
          <w:rFonts w:hint="default"/>
        </w:rPr>
        <w:t>年度</w:t>
      </w:r>
      <w:r>
        <w:rPr>
          <w:rFonts w:hint="eastAsia"/>
        </w:rPr>
        <w:t>の人口は</w:t>
      </w:r>
      <w:r>
        <w:rPr>
          <w:rFonts w:hint="default"/>
        </w:rPr>
        <w:t>67,154</w:t>
      </w:r>
      <w:r>
        <w:rPr>
          <w:rFonts w:hint="default"/>
        </w:rPr>
        <w:t>人</w:t>
      </w:r>
      <w:r>
        <w:rPr>
          <w:rFonts w:hint="eastAsia"/>
        </w:rPr>
        <w:t>で</w:t>
      </w:r>
      <w:r>
        <w:rPr>
          <w:rFonts w:hint="default"/>
        </w:rPr>
        <w:t>、令和</w:t>
      </w:r>
      <w:r>
        <w:rPr>
          <w:rFonts w:hint="default"/>
        </w:rPr>
        <w:t>1</w:t>
      </w:r>
      <w:r>
        <w:rPr>
          <w:rFonts w:hint="default"/>
        </w:rPr>
        <w:t>年度（</w:t>
      </w:r>
      <w:r>
        <w:rPr>
          <w:rFonts w:hint="default"/>
        </w:rPr>
        <w:t>69,169</w:t>
      </w:r>
      <w:r>
        <w:rPr>
          <w:rFonts w:hint="default"/>
        </w:rPr>
        <w:t>人）以降</w:t>
      </w:r>
      <w:r>
        <w:rPr>
          <w:rFonts w:hint="default"/>
        </w:rPr>
        <w:t>2,015</w:t>
      </w:r>
      <w:r>
        <w:rPr>
          <w:rFonts w:hint="default"/>
        </w:rPr>
        <w:t>人減少している。</w:t>
      </w:r>
    </w:p>
    <w:p>
      <w:pPr>
        <w:pStyle w:val="39"/>
        <w:ind w:firstLine="200"/>
        <w:rPr>
          <w:rFonts w:hint="default"/>
        </w:rPr>
      </w:pPr>
      <w:r>
        <w:rPr>
          <w:rFonts w:hint="default"/>
        </w:rPr>
        <w:t>令和</w:t>
      </w:r>
      <w:r>
        <w:rPr>
          <w:rFonts w:hint="default"/>
        </w:rPr>
        <w:t>4</w:t>
      </w:r>
      <w:r>
        <w:rPr>
          <w:rFonts w:hint="default"/>
        </w:rPr>
        <w:t>年度の</w:t>
      </w:r>
      <w:r>
        <w:rPr>
          <w:rFonts w:hint="default"/>
        </w:rPr>
        <w:t>65</w:t>
      </w:r>
      <w:r>
        <w:rPr>
          <w:rFonts w:hint="default"/>
        </w:rPr>
        <w:t>歳以上人口の占める割合（高齢化率）は</w:t>
      </w:r>
      <w:r>
        <w:rPr>
          <w:rFonts w:hint="default"/>
        </w:rPr>
        <w:t>32.5%</w:t>
      </w:r>
      <w:r>
        <w:rPr>
          <w:rFonts w:hint="default"/>
        </w:rPr>
        <w:t>で、令和</w:t>
      </w:r>
      <w:r>
        <w:rPr>
          <w:rFonts w:hint="default"/>
        </w:rPr>
        <w:t>1</w:t>
      </w:r>
      <w:r>
        <w:rPr>
          <w:rFonts w:hint="default"/>
        </w:rPr>
        <w:t>年度の割合（</w:t>
      </w:r>
      <w:r>
        <w:rPr>
          <w:rFonts w:hint="default"/>
        </w:rPr>
        <w:t>30.1%</w:t>
      </w:r>
      <w:r>
        <w:rPr>
          <w:rFonts w:hint="default"/>
        </w:rPr>
        <w:t>）と比較して、</w:t>
      </w:r>
      <w:r>
        <w:rPr>
          <w:rFonts w:hint="default"/>
        </w:rPr>
        <w:t>2.4</w:t>
      </w:r>
      <w:r>
        <w:rPr>
          <w:rFonts w:hint="default"/>
        </w:rPr>
        <w:t>ポイント上昇している。国</w:t>
      </w:r>
      <w:r>
        <w:rPr>
          <w:rFonts w:hint="eastAsia"/>
        </w:rPr>
        <w:t>や</w:t>
      </w:r>
      <w:r>
        <w:rPr>
          <w:rFonts w:hint="default"/>
        </w:rPr>
        <w:t>県と比較すると、高齢化率は高い。</w:t>
      </w:r>
    </w:p>
    <w:p>
      <w:pPr>
        <w:pStyle w:val="0"/>
        <w:rPr>
          <w:rFonts w:hint="default"/>
        </w:rPr>
      </w:pPr>
    </w:p>
    <w:p>
      <w:pPr>
        <w:pStyle w:val="38"/>
        <w:rPr>
          <w:rFonts w:hint="default"/>
        </w:rPr>
      </w:pPr>
      <w:bookmarkStart w:id="21" w:name="_Ref122564314"/>
      <w:bookmarkStart w:id="22" w:name="_Ref122510377"/>
      <w:bookmarkStart w:id="23" w:name="_Toc12493680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1"/>
      <w:r>
        <w:rPr>
          <w:rFonts w:hint="default"/>
        </w:rPr>
        <w:t>：</w:t>
      </w:r>
      <w:bookmarkEnd w:id="22"/>
      <w:r>
        <w:rPr>
          <w:rFonts w:hint="default"/>
        </w:rPr>
        <w:t>人口の変化と高齢化率</w:t>
      </w:r>
      <w:bookmarkEnd w:id="23"/>
    </w:p>
    <w:p>
      <w:pPr>
        <w:pStyle w:val="0"/>
        <w:jc w:val="center"/>
        <w:rPr>
          <w:rFonts w:hint="default"/>
        </w:rPr>
      </w:pPr>
      <w:r>
        <w:rPr>
          <w:rFonts w:hint="eastAsia"/>
        </w:rPr>
        <w:drawing>
          <wp:inline distT="0" distB="0" distL="0" distR="0">
            <wp:extent cx="5939790" cy="2879725"/>
            <wp:effectExtent l="0" t="0" r="0" b="0"/>
            <wp:docPr id="1064" name="オブジェクト 0"/>
            <a:graphic xmlns:a="http://schemas.openxmlformats.org/drawingml/2006/main">
              <a:graphicData uri="http://schemas.openxmlformats.org/drawingml/2006/chart">
                <c:chart xmlns:c="http://schemas.openxmlformats.org/drawingml/2006/chart" r:id="rId14"/>
              </a:graphicData>
            </a:graphic>
          </wp:inline>
        </w:drawing>
      </w:r>
    </w:p>
    <w:tbl>
      <w:tblPr>
        <w:tblStyle w:val="11"/>
        <w:tblW w:w="5000" w:type="pct"/>
        <w:jc w:val="center"/>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Look w:firstRow="0" w:lastRow="0" w:firstColumn="0" w:lastColumn="0" w:noHBand="1" w:noVBand="1" w:val="0600"/>
      </w:tblPr>
      <w:tblGrid>
        <w:gridCol w:w="1856"/>
        <w:gridCol w:w="939"/>
        <w:gridCol w:w="943"/>
        <w:gridCol w:w="940"/>
        <w:gridCol w:w="939"/>
        <w:gridCol w:w="940"/>
        <w:gridCol w:w="939"/>
        <w:gridCol w:w="940"/>
        <w:gridCol w:w="939"/>
      </w:tblGrid>
      <w:tr>
        <w:trPr>
          <w:trHeight w:val="37" w:hRule="atLeast"/>
        </w:trPr>
        <w:tc>
          <w:tcPr>
            <w:tcW w:w="1857"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rPr>
                <w:rFonts w:hint="default"/>
              </w:rPr>
            </w:pPr>
          </w:p>
        </w:tc>
        <w:tc>
          <w:tcPr>
            <w:tcW w:w="1883"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w:t>
            </w:r>
            <w:r>
              <w:rPr>
                <w:rFonts w:hint="eastAsia"/>
                <w:b w:val="1"/>
              </w:rPr>
              <w:t>度</w:t>
            </w:r>
          </w:p>
        </w:tc>
        <w:tc>
          <w:tcPr>
            <w:tcW w:w="1875"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w:t>
            </w:r>
            <w:r>
              <w:rPr>
                <w:rFonts w:hint="eastAsia"/>
                <w:b w:val="1"/>
              </w:rPr>
              <w:t>度</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w:t>
            </w:r>
            <w:r>
              <w:rPr>
                <w:rFonts w:hint="eastAsia"/>
                <w:b w:val="1"/>
              </w:rPr>
              <w:t>度</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w:t>
            </w:r>
            <w:r>
              <w:rPr>
                <w:rFonts w:hint="eastAsia"/>
                <w:b w:val="1"/>
              </w:rPr>
              <w:t>度</w:t>
            </w:r>
          </w:p>
        </w:tc>
      </w:tr>
      <w:tr>
        <w:trPr>
          <w:trHeight w:val="20" w:hRule="atLeast"/>
        </w:trPr>
        <w:tc>
          <w:tcPr>
            <w:tcW w:w="1857"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人数（人）</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941"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人数（人）</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941"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人数（人）</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941"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人数（人）</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r>
      <w:tr>
        <w:trPr>
          <w:trHeight w:val="20"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0-39</w:t>
            </w:r>
            <w:r>
              <w:rPr>
                <w:rFonts w:hint="default"/>
              </w:rPr>
              <w:t>歳</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23,488</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34.0%</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22,654</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33.2%</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21,849</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32.4%</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21,599</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32.2%</w:t>
            </w:r>
          </w:p>
        </w:tc>
      </w:tr>
      <w:tr>
        <w:trPr>
          <w:trHeight w:val="20"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40-64</w:t>
            </w:r>
            <w:r>
              <w:rPr>
                <w:rFonts w:hint="default"/>
              </w:rPr>
              <w:t>歳</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24,828</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35.9%</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24,421</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35.8%</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23,999</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35.6%</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23,755</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35.4%</w:t>
            </w:r>
          </w:p>
        </w:tc>
      </w:tr>
      <w:tr>
        <w:trPr>
          <w:trHeight w:val="20"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65-74</w:t>
            </w:r>
            <w:r>
              <w:rPr>
                <w:rFonts w:hint="default"/>
              </w:rPr>
              <w:t>歳</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11,775</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17.0%</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12,041</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17.6%</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11,932</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17.7%</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11,497</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17.1%</w:t>
            </w:r>
          </w:p>
        </w:tc>
      </w:tr>
      <w:tr>
        <w:trPr>
          <w:trHeight w:val="20"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75</w:t>
            </w:r>
            <w:r>
              <w:rPr>
                <w:rFonts w:hint="default"/>
              </w:rPr>
              <w:t>歳以上</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9,078</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13.1%</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9,185</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13.4%</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9,681</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10,303</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15.3%</w:t>
            </w:r>
          </w:p>
        </w:tc>
      </w:tr>
      <w:tr>
        <w:trPr>
          <w:trHeight w:val="25"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合計</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69,169</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68,301</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939"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67,461</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67,154</w:t>
            </w:r>
          </w:p>
        </w:tc>
        <w:tc>
          <w:tcPr>
            <w:tcW w:w="9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25"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八街市</w:t>
            </w:r>
            <w:r>
              <w:rPr>
                <w:rFonts w:hint="default"/>
              </w:rPr>
              <w:t>_</w:t>
            </w:r>
            <w:r>
              <w:rPr>
                <w:rFonts w:hint="default"/>
              </w:rPr>
              <w:t>高齢化率</w:t>
            </w:r>
          </w:p>
        </w:tc>
        <w:tc>
          <w:tcPr>
            <w:tcW w:w="1883"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30.1%</w:t>
            </w:r>
          </w:p>
        </w:tc>
        <w:tc>
          <w:tcPr>
            <w:tcW w:w="1875"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31.1%</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32.0%</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32.5%</w:t>
            </w:r>
          </w:p>
        </w:tc>
      </w:tr>
      <w:tr>
        <w:trPr>
          <w:trHeight w:val="25"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国</w:t>
            </w:r>
            <w:r>
              <w:rPr>
                <w:rFonts w:hint="default"/>
              </w:rPr>
              <w:t>_</w:t>
            </w:r>
            <w:r>
              <w:rPr>
                <w:rFonts w:hint="default"/>
              </w:rPr>
              <w:t>高齢化率</w:t>
            </w:r>
          </w:p>
        </w:tc>
        <w:tc>
          <w:tcPr>
            <w:tcW w:w="1883"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1875"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28.2%</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28.5%</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28.6%</w:t>
            </w:r>
          </w:p>
        </w:tc>
      </w:tr>
      <w:tr>
        <w:trPr>
          <w:trHeight w:val="30" w:hRule="atLeast"/>
        </w:trPr>
        <w:tc>
          <w:tcPr>
            <w:tcW w:w="185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県</w:t>
            </w:r>
            <w:r>
              <w:rPr>
                <w:rFonts w:hint="eastAsia"/>
              </w:rPr>
              <w:t>_</w:t>
            </w:r>
            <w:r>
              <w:rPr>
                <w:rFonts w:hint="default"/>
              </w:rPr>
              <w:t>高齢化率</w:t>
            </w:r>
          </w:p>
        </w:tc>
        <w:tc>
          <w:tcPr>
            <w:tcW w:w="1883"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26.9%</w:t>
            </w:r>
          </w:p>
        </w:tc>
        <w:tc>
          <w:tcPr>
            <w:tcW w:w="1875"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27.2%</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27.5%</w:t>
            </w:r>
          </w:p>
        </w:tc>
        <w:tc>
          <w:tcPr>
            <w:tcW w:w="1880" w:type="dxa"/>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27.5%</w:t>
            </w:r>
          </w:p>
        </w:tc>
      </w:tr>
    </w:tbl>
    <w:p>
      <w:pPr>
        <w:pStyle w:val="44"/>
        <w:wordWrap w:val="0"/>
        <w:rPr>
          <w:rFonts w:hint="default"/>
        </w:rPr>
      </w:pPr>
      <w:r>
        <w:rPr>
          <w:rFonts w:hint="default"/>
        </w:rPr>
        <w:t>【出典】住民基本台帳</w:t>
      </w:r>
      <w:r>
        <w:rPr>
          <w:rFonts w:hint="eastAsia"/>
        </w:rPr>
        <w:t xml:space="preserve"> </w:t>
      </w:r>
      <w:r>
        <w:rPr>
          <w:rFonts w:hint="eastAsia"/>
        </w:rPr>
        <w:t>令和</w:t>
      </w:r>
      <w:r>
        <w:rPr>
          <w:rFonts w:hint="eastAsia"/>
        </w:rPr>
        <w:t>1</w:t>
      </w:r>
      <w:r>
        <w:rPr>
          <w:rFonts w:hint="default"/>
        </w:rPr>
        <w:t>年</w:t>
      </w:r>
      <w:r>
        <w:rPr>
          <w:rFonts w:hint="eastAsia"/>
        </w:rPr>
        <w:t>度</w:t>
      </w:r>
      <w:r>
        <w:rPr>
          <w:rFonts w:hint="default"/>
        </w:rPr>
        <w:t>から令和</w:t>
      </w:r>
      <w:r>
        <w:rPr>
          <w:rFonts w:hint="eastAsia"/>
        </w:rPr>
        <w:t>4</w:t>
      </w:r>
      <w:r>
        <w:rPr>
          <w:rFonts w:hint="default"/>
        </w:rPr>
        <w:t>年</w:t>
      </w:r>
      <w:r>
        <w:rPr>
          <w:rFonts w:hint="eastAsia"/>
        </w:rPr>
        <w:t>度</w:t>
      </w:r>
    </w:p>
    <w:p>
      <w:pPr>
        <w:pStyle w:val="42"/>
        <w:rPr>
          <w:rFonts w:hint="default"/>
        </w:rPr>
      </w:pPr>
      <w:r>
        <w:rPr>
          <w:rFonts w:hint="eastAsia"/>
        </w:rPr>
        <w:t>※八街市に係る数値は、各年度の</w:t>
      </w:r>
      <w:r>
        <w:rPr>
          <w:rFonts w:hint="eastAsia"/>
        </w:rPr>
        <w:t>3</w:t>
      </w:r>
      <w:r>
        <w:rPr>
          <w:rFonts w:hint="eastAsia"/>
        </w:rPr>
        <w:t>月末時点の人口を使用し、国及び県に係る数値は、総務省が公表している住民基本台帳を参照しているため各年度の</w:t>
      </w:r>
      <w:r>
        <w:rPr>
          <w:rFonts w:hint="eastAsia"/>
        </w:rPr>
        <w:t>1</w:t>
      </w:r>
      <w:r>
        <w:rPr>
          <w:rFonts w:hint="eastAsia"/>
        </w:rPr>
        <w:t>月</w:t>
      </w:r>
      <w:r>
        <w:rPr>
          <w:rFonts w:hint="eastAsia"/>
        </w:rPr>
        <w:t>1</w:t>
      </w:r>
      <w:r>
        <w:rPr>
          <w:rFonts w:hint="eastAsia"/>
        </w:rPr>
        <w:t>日の人口を使用している</w:t>
      </w:r>
      <w:r>
        <w:rPr>
          <w:rFonts w:hint="default"/>
        </w:rPr>
        <w:t>（</w:t>
      </w:r>
      <w:r>
        <w:rPr>
          <w:rFonts w:hint="eastAsia"/>
        </w:rPr>
        <w:t>住民基本台帳</w:t>
      </w:r>
      <w:r>
        <w:rPr>
          <w:rFonts w:hint="default"/>
        </w:rPr>
        <w:t>を用いた分析においては以下同様）</w:t>
      </w:r>
    </w:p>
    <w:p>
      <w:pPr>
        <w:pStyle w:val="0"/>
        <w:rPr>
          <w:rFonts w:hint="default"/>
          <w:sz w:val="20"/>
        </w:rPr>
      </w:pPr>
      <w:r>
        <w:rPr>
          <w:rFonts w:hint="default"/>
        </w:rPr>
        <w:br w:type="page"/>
      </w:r>
    </w:p>
    <w:p>
      <w:pPr>
        <w:pStyle w:val="3"/>
        <w:rPr>
          <w:rFonts w:hint="default"/>
        </w:rPr>
      </w:pPr>
      <w:bookmarkStart w:id="24" w:name="_Toc162548681"/>
      <w:r>
        <w:rPr>
          <w:rFonts w:hint="default"/>
        </w:rPr>
        <w:t>被保険者構成</w:t>
      </w:r>
      <w:bookmarkEnd w:id="24"/>
    </w:p>
    <w:p>
      <w:pPr>
        <w:pStyle w:val="39"/>
        <w:ind w:firstLine="200"/>
        <w:rPr>
          <w:rFonts w:hint="default"/>
        </w:rPr>
      </w:pPr>
      <w:r>
        <w:rPr>
          <w:rFonts w:hint="eastAsia"/>
        </w:rPr>
        <w:t>被保険者構成</w:t>
      </w:r>
      <w:r>
        <w:rPr>
          <w:rFonts w:hint="default"/>
        </w:rPr>
        <w:t>をみると</w:t>
      </w:r>
      <w:r>
        <w:rPr>
          <w:rFonts w:hint="eastAsia"/>
        </w:rPr>
        <w:t>（</w:t>
      </w:r>
      <w:r>
        <w:rPr>
          <w:rFonts w:hint="eastAsia"/>
        </w:rPr>
        <w:fldChar w:fldCharType="begin"/>
      </w:r>
      <w:r>
        <w:rPr>
          <w:rFonts w:hint="eastAsia"/>
        </w:rPr>
        <w:instrText xml:space="preserve">REF _Ref122518434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4</w:t>
      </w:r>
      <w:r>
        <w:rPr>
          <w:rFonts w:hint="eastAsia"/>
        </w:rPr>
        <w:t>-</w:t>
      </w:r>
      <w:r>
        <w:rPr>
          <w:rFonts w:hint="default"/>
        </w:rPr>
        <w:t>1</w:t>
      </w:r>
      <w:r>
        <w:rPr>
          <w:rFonts w:hint="eastAsia"/>
        </w:rPr>
        <w:fldChar w:fldCharType="end"/>
      </w:r>
      <w:r>
        <w:rPr>
          <w:rFonts w:hint="default"/>
        </w:rPr>
        <w:t>）、</w:t>
      </w:r>
      <w:r>
        <w:rPr>
          <w:rFonts w:hint="eastAsia"/>
        </w:rPr>
        <w:t>令和</w:t>
      </w:r>
      <w:r>
        <w:rPr>
          <w:rFonts w:hint="eastAsia"/>
        </w:rPr>
        <w:t>4</w:t>
      </w:r>
      <w:r>
        <w:rPr>
          <w:rFonts w:hint="eastAsia"/>
        </w:rPr>
        <w:t>年度における国保加入者数は</w:t>
      </w:r>
      <w:r>
        <w:rPr>
          <w:rFonts w:hint="eastAsia"/>
        </w:rPr>
        <w:t>18,705</w:t>
      </w:r>
      <w:r>
        <w:rPr>
          <w:rFonts w:hint="eastAsia"/>
        </w:rPr>
        <w:t>人で、令和</w:t>
      </w:r>
      <w:r>
        <w:rPr>
          <w:rFonts w:hint="eastAsia"/>
        </w:rPr>
        <w:t>1</w:t>
      </w:r>
      <w:r>
        <w:rPr>
          <w:rFonts w:hint="eastAsia"/>
        </w:rPr>
        <w:t>年度の人数</w:t>
      </w:r>
      <w:r>
        <w:rPr>
          <w:rFonts w:hint="default"/>
        </w:rPr>
        <w:t>（</w:t>
      </w:r>
      <w:r>
        <w:rPr>
          <w:rFonts w:hint="eastAsia"/>
        </w:rPr>
        <w:t>20,305</w:t>
      </w:r>
      <w:r>
        <w:rPr>
          <w:rFonts w:hint="eastAsia"/>
        </w:rPr>
        <w:t>人</w:t>
      </w:r>
      <w:r>
        <w:rPr>
          <w:rFonts w:hint="default"/>
        </w:rPr>
        <w:t>）</w:t>
      </w:r>
      <w:r>
        <w:rPr>
          <w:rFonts w:hint="eastAsia"/>
        </w:rPr>
        <w:t>と比較して</w:t>
      </w:r>
      <w:r>
        <w:rPr>
          <w:rFonts w:hint="eastAsia"/>
        </w:rPr>
        <w:t>1,600</w:t>
      </w:r>
      <w:r>
        <w:rPr>
          <w:rFonts w:hint="eastAsia"/>
        </w:rPr>
        <w:t>人減少している。</w:t>
      </w:r>
      <w:r>
        <w:rPr>
          <w:rFonts w:hint="default"/>
        </w:rPr>
        <w:t>国保</w:t>
      </w:r>
      <w:r>
        <w:rPr>
          <w:rFonts w:hint="eastAsia"/>
        </w:rPr>
        <w:t>加入率は</w:t>
      </w:r>
      <w:r>
        <w:rPr>
          <w:rFonts w:hint="eastAsia"/>
        </w:rPr>
        <w:t>27.9%</w:t>
      </w:r>
      <w:r>
        <w:rPr>
          <w:rFonts w:hint="eastAsia"/>
        </w:rPr>
        <w:t>で、国・県より高い。</w:t>
      </w:r>
    </w:p>
    <w:p>
      <w:pPr>
        <w:pStyle w:val="39"/>
        <w:ind w:firstLine="200"/>
        <w:rPr>
          <w:rFonts w:hint="default"/>
        </w:rPr>
      </w:pPr>
      <w:r>
        <w:rPr>
          <w:rFonts w:hint="eastAsia"/>
        </w:rPr>
        <w:t>65</w:t>
      </w:r>
      <w:r>
        <w:rPr>
          <w:rFonts w:hint="eastAsia"/>
        </w:rPr>
        <w:t>歳以上の被保険者の割合は</w:t>
      </w:r>
      <w:r>
        <w:rPr>
          <w:rFonts w:hint="eastAsia"/>
        </w:rPr>
        <w:t>41.6%</w:t>
      </w:r>
      <w:r>
        <w:rPr>
          <w:rFonts w:hint="eastAsia"/>
        </w:rPr>
        <w:t>で、令和</w:t>
      </w:r>
      <w:r>
        <w:rPr>
          <w:rFonts w:hint="eastAsia"/>
        </w:rPr>
        <w:t>1</w:t>
      </w:r>
      <w:r>
        <w:rPr>
          <w:rFonts w:hint="eastAsia"/>
        </w:rPr>
        <w:t>年度の割合</w:t>
      </w:r>
      <w:r>
        <w:rPr>
          <w:rFonts w:hint="default"/>
        </w:rPr>
        <w:t>（</w:t>
      </w:r>
      <w:r>
        <w:rPr>
          <w:rFonts w:hint="eastAsia"/>
        </w:rPr>
        <w:t>40.2%</w:t>
      </w:r>
      <w:r>
        <w:rPr>
          <w:rFonts w:hint="default"/>
        </w:rPr>
        <w:t>）</w:t>
      </w:r>
      <w:r>
        <w:rPr>
          <w:rFonts w:hint="eastAsia"/>
        </w:rPr>
        <w:t>と比較して</w:t>
      </w:r>
      <w:r>
        <w:rPr>
          <w:rFonts w:hint="eastAsia"/>
        </w:rPr>
        <w:t>1.4</w:t>
      </w:r>
      <w:r>
        <w:rPr>
          <w:rFonts w:hint="eastAsia"/>
        </w:rPr>
        <w:t>ポイント増加している。</w:t>
      </w:r>
    </w:p>
    <w:p>
      <w:pPr>
        <w:pStyle w:val="0"/>
        <w:rPr>
          <w:rFonts w:hint="default"/>
        </w:rPr>
      </w:pPr>
    </w:p>
    <w:p>
      <w:pPr>
        <w:pStyle w:val="38"/>
        <w:rPr>
          <w:rFonts w:hint="default"/>
        </w:rPr>
      </w:pPr>
      <w:bookmarkStart w:id="25" w:name="_Ref122518434"/>
      <w:bookmarkStart w:id="26" w:name="_Toc124936814"/>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5"/>
      <w:r>
        <w:rPr>
          <w:rFonts w:hint="default"/>
        </w:rPr>
        <w:t>：被保険者構成</w:t>
      </w:r>
      <w:bookmarkEnd w:id="26"/>
    </w:p>
    <w:p>
      <w:pPr>
        <w:pStyle w:val="0"/>
        <w:rPr>
          <w:rFonts w:hint="default"/>
        </w:rPr>
      </w:pPr>
      <w:r>
        <w:rPr>
          <w:rFonts w:hint="eastAsia"/>
        </w:rPr>
        <w:drawing>
          <wp:inline distT="0" distB="0" distL="0" distR="0">
            <wp:extent cx="5959475" cy="2979420"/>
            <wp:effectExtent l="0" t="0" r="0" b="0"/>
            <wp:docPr id="1065" name="オブジェクト 0"/>
            <a:graphic xmlns:a="http://schemas.openxmlformats.org/drawingml/2006/main">
              <a:graphicData uri="http://schemas.openxmlformats.org/drawingml/2006/chart">
                <c:chart xmlns:c="http://schemas.openxmlformats.org/drawingml/2006/chart" r:id="rId15"/>
              </a:graphicData>
            </a:graphic>
          </wp:inline>
        </w:drawing>
      </w:r>
    </w:p>
    <w:p>
      <w:pPr>
        <w:pStyle w:val="0"/>
        <w:rPr>
          <w:rFonts w:hint="default"/>
        </w:rPr>
      </w:pPr>
    </w:p>
    <w:tbl>
      <w:tblPr>
        <w:tblStyle w:val="172"/>
        <w:tblW w:w="9375" w:type="dxa"/>
        <w:tblInd w:w="0" w:type="dxa"/>
        <w:tblLayout w:type="fixed"/>
        <w:tblLook w:firstRow="1" w:lastRow="0" w:firstColumn="1" w:lastColumn="0" w:noHBand="0" w:noVBand="1" w:val="04A0"/>
      </w:tblPr>
      <w:tblGrid>
        <w:gridCol w:w="1829"/>
        <w:gridCol w:w="943"/>
        <w:gridCol w:w="943"/>
        <w:gridCol w:w="943"/>
        <w:gridCol w:w="944"/>
        <w:gridCol w:w="943"/>
        <w:gridCol w:w="943"/>
        <w:gridCol w:w="943"/>
        <w:gridCol w:w="944"/>
      </w:tblGrid>
      <w:tr>
        <w:trPr/>
        <w:tc>
          <w:tcPr>
            <w:tcW w:w="1829" w:type="dxa"/>
            <w:vMerge w:val="restart"/>
            <w:shd w:val="clear" w:color="auto" w:fill="CCD6FF"/>
            <w:tcMar>
              <w:top w:w="28" w:type="dxa"/>
              <w:left w:w="28" w:type="dxa"/>
              <w:bottom w:w="28" w:type="dxa"/>
              <w:right w:w="28" w:type="dxa"/>
            </w:tcMar>
            <w:vAlign w:val="center"/>
          </w:tcPr>
          <w:p>
            <w:pPr>
              <w:pStyle w:val="0"/>
              <w:spacing w:line="276" w:lineRule="auto"/>
              <w:rPr>
                <w:rFonts w:hint="default"/>
              </w:rPr>
            </w:pPr>
          </w:p>
        </w:tc>
        <w:tc>
          <w:tcPr>
            <w:tcW w:w="1886"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1</w:t>
            </w:r>
            <w:r>
              <w:rPr>
                <w:rFonts w:hint="default"/>
                <w:b w:val="1"/>
              </w:rPr>
              <w:t>年度</w:t>
            </w:r>
          </w:p>
        </w:tc>
        <w:tc>
          <w:tcPr>
            <w:tcW w:w="1887"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2</w:t>
            </w:r>
            <w:r>
              <w:rPr>
                <w:rFonts w:hint="default"/>
                <w:b w:val="1"/>
              </w:rPr>
              <w:t>年度</w:t>
            </w:r>
          </w:p>
        </w:tc>
        <w:tc>
          <w:tcPr>
            <w:tcW w:w="1886"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3</w:t>
            </w:r>
            <w:r>
              <w:rPr>
                <w:rFonts w:hint="default"/>
                <w:b w:val="1"/>
              </w:rPr>
              <w:t>年度</w:t>
            </w:r>
          </w:p>
        </w:tc>
        <w:tc>
          <w:tcPr>
            <w:tcW w:w="1887"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4</w:t>
            </w:r>
            <w:r>
              <w:rPr>
                <w:rFonts w:hint="default"/>
                <w:b w:val="1"/>
              </w:rPr>
              <w:t>年度</w:t>
            </w:r>
          </w:p>
        </w:tc>
      </w:tr>
      <w:tr>
        <w:trPr/>
        <w:tc>
          <w:tcPr>
            <w:tcW w:w="1829" w:type="dxa"/>
            <w:vMerge w:val="continue"/>
            <w:shd w:val="clear" w:color="auto" w:fill="CCD6FF"/>
            <w:tcMar>
              <w:top w:w="28" w:type="dxa"/>
              <w:left w:w="28" w:type="dxa"/>
              <w:bottom w:w="28" w:type="dxa"/>
              <w:right w:w="28" w:type="dxa"/>
            </w:tcMar>
            <w:vAlign w:val="center"/>
          </w:tcPr>
          <w:p>
            <w:pPr>
              <w:pStyle w:val="0"/>
              <w:spacing w:line="276" w:lineRule="auto"/>
              <w:rPr>
                <w:rFonts w:hint="default"/>
              </w:rPr>
            </w:pPr>
          </w:p>
        </w:tc>
        <w:tc>
          <w:tcPr>
            <w:tcW w:w="943"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人数（人）</w:t>
            </w:r>
          </w:p>
        </w:tc>
        <w:tc>
          <w:tcPr>
            <w:tcW w:w="943"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c>
          <w:tcPr>
            <w:tcW w:w="943"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人数（人）</w:t>
            </w:r>
          </w:p>
        </w:tc>
        <w:tc>
          <w:tcPr>
            <w:tcW w:w="944"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c>
          <w:tcPr>
            <w:tcW w:w="943"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人数（人）</w:t>
            </w:r>
          </w:p>
        </w:tc>
        <w:tc>
          <w:tcPr>
            <w:tcW w:w="943"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c>
          <w:tcPr>
            <w:tcW w:w="943"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人数（人）</w:t>
            </w:r>
          </w:p>
        </w:tc>
        <w:tc>
          <w:tcPr>
            <w:tcW w:w="944"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default"/>
              </w:rPr>
              <w:t>0-39</w:t>
            </w:r>
            <w:r>
              <w:rPr>
                <w:rFonts w:hint="default"/>
              </w:rPr>
              <w:t>歳</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5,475</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27.0%</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5,108</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25.4%</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4,778</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24.6%</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4,789</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25.6%</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default"/>
              </w:rPr>
              <w:t>40-64</w:t>
            </w:r>
            <w:r>
              <w:rPr>
                <w:rFonts w:hint="default"/>
              </w:rPr>
              <w:t>歳</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6,675</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32.9%</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6,648</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33.0%</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6,415</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33.0%</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6,144</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32.8%</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default"/>
              </w:rPr>
              <w:t>65-74</w:t>
            </w:r>
            <w:r>
              <w:rPr>
                <w:rFonts w:hint="default"/>
              </w:rPr>
              <w:t>歳</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8,155</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40.2%</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8,386</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41.6%</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8,242</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42.4%</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7,772</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41.6%</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default"/>
              </w:rPr>
              <w:t>国保</w:t>
            </w:r>
            <w:r>
              <w:rPr>
                <w:rFonts w:hint="eastAsia"/>
              </w:rPr>
              <w:t>加入者数</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20,305</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100.0%</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20,142</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100.0%</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19,435</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100.0%</w:t>
            </w:r>
          </w:p>
        </w:tc>
        <w:tc>
          <w:tcPr>
            <w:tcW w:w="943" w:type="dxa"/>
            <w:tcMar>
              <w:top w:w="28" w:type="dxa"/>
              <w:left w:w="28" w:type="dxa"/>
              <w:bottom w:w="28" w:type="dxa"/>
              <w:right w:w="28" w:type="dxa"/>
            </w:tcMar>
            <w:vAlign w:val="center"/>
          </w:tcPr>
          <w:p>
            <w:pPr>
              <w:pStyle w:val="0"/>
              <w:spacing w:line="276" w:lineRule="auto"/>
              <w:jc w:val="right"/>
              <w:rPr>
                <w:rFonts w:hint="default"/>
              </w:rPr>
            </w:pPr>
            <w:r>
              <w:rPr>
                <w:rFonts w:hint="default"/>
              </w:rPr>
              <w:t>18,705</w:t>
            </w:r>
          </w:p>
        </w:tc>
        <w:tc>
          <w:tcPr>
            <w:tcW w:w="944" w:type="dxa"/>
            <w:tcMar>
              <w:top w:w="28" w:type="dxa"/>
              <w:left w:w="28" w:type="dxa"/>
              <w:bottom w:w="28" w:type="dxa"/>
              <w:right w:w="28" w:type="dxa"/>
            </w:tcMar>
            <w:vAlign w:val="center"/>
          </w:tcPr>
          <w:p>
            <w:pPr>
              <w:pStyle w:val="0"/>
              <w:spacing w:line="276" w:lineRule="auto"/>
              <w:jc w:val="right"/>
              <w:rPr>
                <w:rFonts w:hint="default"/>
              </w:rPr>
            </w:pPr>
            <w:r>
              <w:rPr>
                <w:rFonts w:hint="default"/>
              </w:rPr>
              <w:t>100.0%</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eastAsia"/>
              </w:rPr>
              <w:t>八街市</w:t>
            </w:r>
            <w:r>
              <w:rPr>
                <w:rFonts w:hint="default"/>
              </w:rPr>
              <w:t>_</w:t>
            </w:r>
            <w:r>
              <w:rPr>
                <w:rFonts w:hint="default"/>
              </w:rPr>
              <w:t>総人口</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69,169</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68,301</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67,461</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67,154</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eastAsia"/>
              </w:rPr>
              <w:t>八街市</w:t>
            </w:r>
            <w:r>
              <w:rPr>
                <w:rFonts w:hint="default"/>
              </w:rPr>
              <w:t>_</w:t>
            </w:r>
            <w:r>
              <w:rPr>
                <w:rFonts w:hint="default"/>
              </w:rPr>
              <w:t>国保加入率</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29.4%</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29.5%</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28.8%</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27.9%</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eastAsia"/>
              </w:rPr>
              <w:t>国</w:t>
            </w:r>
            <w:r>
              <w:rPr>
                <w:rFonts w:hint="default"/>
              </w:rPr>
              <w:t>_</w:t>
            </w:r>
            <w:r>
              <w:rPr>
                <w:rFonts w:hint="default"/>
              </w:rPr>
              <w:t>国保加入率</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21.3%</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21.0%</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20.5%</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19.7%</w:t>
            </w:r>
          </w:p>
        </w:tc>
      </w:tr>
      <w:tr>
        <w:trPr/>
        <w:tc>
          <w:tcPr>
            <w:tcW w:w="1829" w:type="dxa"/>
            <w:tcMar>
              <w:top w:w="28" w:type="dxa"/>
              <w:left w:w="28" w:type="dxa"/>
              <w:bottom w:w="28" w:type="dxa"/>
              <w:right w:w="28" w:type="dxa"/>
            </w:tcMar>
            <w:vAlign w:val="center"/>
          </w:tcPr>
          <w:p>
            <w:pPr>
              <w:pStyle w:val="0"/>
              <w:spacing w:line="276" w:lineRule="auto"/>
              <w:rPr>
                <w:rFonts w:hint="default"/>
              </w:rPr>
            </w:pPr>
            <w:r>
              <w:rPr>
                <w:rFonts w:hint="default"/>
              </w:rPr>
              <w:t>県</w:t>
            </w:r>
            <w:r>
              <w:rPr>
                <w:rFonts w:hint="eastAsia"/>
              </w:rPr>
              <w:t>_</w:t>
            </w:r>
            <w:r>
              <w:rPr>
                <w:rFonts w:hint="default"/>
              </w:rPr>
              <w:t>国保加入率</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21.7%</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21.2%</w:t>
            </w:r>
          </w:p>
        </w:tc>
        <w:tc>
          <w:tcPr>
            <w:tcW w:w="1886"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20.6%</w:t>
            </w:r>
          </w:p>
        </w:tc>
        <w:tc>
          <w:tcPr>
            <w:tcW w:w="1887" w:type="dxa"/>
            <w:gridSpan w:val="2"/>
            <w:tcMar>
              <w:top w:w="28" w:type="dxa"/>
              <w:left w:w="28" w:type="dxa"/>
              <w:bottom w:w="28" w:type="dxa"/>
              <w:right w:w="28" w:type="dxa"/>
            </w:tcMar>
            <w:vAlign w:val="center"/>
          </w:tcPr>
          <w:p>
            <w:pPr>
              <w:pStyle w:val="0"/>
              <w:spacing w:line="276" w:lineRule="auto"/>
              <w:jc w:val="right"/>
              <w:rPr>
                <w:rFonts w:hint="default"/>
              </w:rPr>
            </w:pPr>
            <w:r>
              <w:rPr>
                <w:rFonts w:hint="default"/>
              </w:rPr>
              <w:t>19.6%</w:t>
            </w:r>
          </w:p>
        </w:tc>
      </w:tr>
    </w:tbl>
    <w:p>
      <w:pPr>
        <w:pStyle w:val="44"/>
        <w:rPr>
          <w:rFonts w:hint="default"/>
        </w:rPr>
      </w:pPr>
      <w:r>
        <w:rPr>
          <w:rFonts w:hint="default"/>
        </w:rPr>
        <w:t>【出典】住民基本台帳</w:t>
      </w:r>
      <w:r>
        <w:rPr>
          <w:rFonts w:hint="eastAsia"/>
        </w:rPr>
        <w:t xml:space="preserve"> </w:t>
      </w:r>
      <w:r>
        <w:rPr>
          <w:rFonts w:hint="eastAsia"/>
        </w:rPr>
        <w:t>令和</w:t>
      </w:r>
      <w:r>
        <w:rPr>
          <w:rFonts w:hint="eastAsia"/>
        </w:rPr>
        <w:t>1</w:t>
      </w:r>
      <w:r>
        <w:rPr>
          <w:rFonts w:hint="default"/>
        </w:rPr>
        <w:t>年</w:t>
      </w:r>
      <w:r>
        <w:rPr>
          <w:rFonts w:hint="eastAsia"/>
        </w:rPr>
        <w:t>度</w:t>
      </w:r>
      <w:r>
        <w:rPr>
          <w:rFonts w:hint="default"/>
        </w:rPr>
        <w:t>から令和</w:t>
      </w:r>
      <w:r>
        <w:rPr>
          <w:rFonts w:hint="eastAsia"/>
        </w:rPr>
        <w:t>4</w:t>
      </w:r>
      <w:r>
        <w:rPr>
          <w:rFonts w:hint="default"/>
        </w:rPr>
        <w:t>年</w:t>
      </w:r>
      <w:r>
        <w:rPr>
          <w:rFonts w:hint="eastAsia"/>
        </w:rPr>
        <w:t>度</w:t>
      </w:r>
    </w:p>
    <w:p>
      <w:pPr>
        <w:pStyle w:val="44"/>
        <w:wordWrap w:val="0"/>
        <w:rPr>
          <w:rFonts w:hint="default"/>
        </w:rPr>
      </w:pPr>
      <w:r>
        <w:rPr>
          <w:rFonts w:hint="default"/>
        </w:rPr>
        <w:t>KDB</w:t>
      </w:r>
      <w:r>
        <w:rPr>
          <w:rFonts w:hint="default"/>
        </w:rPr>
        <w:t>帳票</w:t>
      </w:r>
      <w:r>
        <w:rPr>
          <w:rFonts w:hint="default"/>
        </w:rPr>
        <w:t xml:space="preserve"> S21_006</w:t>
      </w:r>
      <w:r>
        <w:rPr>
          <w:rFonts w:hint="default"/>
          <w:highlight w:val="white"/>
        </w:rPr>
        <w:t>-</w:t>
      </w:r>
      <w:r>
        <w:rPr>
          <w:rFonts w:hint="default"/>
          <w:highlight w:val="white"/>
        </w:rPr>
        <w:t>被保険者構成</w:t>
      </w:r>
      <w:r>
        <w:rPr>
          <w:rFonts w:hint="default"/>
          <w:highlight w:val="white"/>
        </w:rPr>
        <w:t xml:space="preserve"> </w:t>
      </w:r>
      <w:r>
        <w:rPr>
          <w:rFonts w:hint="eastAsia"/>
          <w:highlight w:val="white"/>
        </w:rPr>
        <w:t>令和</w:t>
      </w:r>
      <w:r>
        <w:rPr>
          <w:rFonts w:hint="eastAsia"/>
          <w:highlight w:val="white"/>
        </w:rPr>
        <w:t>1</w:t>
      </w:r>
      <w:r>
        <w:rPr>
          <w:rFonts w:hint="default"/>
          <w:highlight w:val="white"/>
        </w:rPr>
        <w:t>年から令和</w:t>
      </w:r>
      <w:r>
        <w:rPr>
          <w:rFonts w:hint="eastAsia"/>
          <w:highlight w:val="white"/>
        </w:rPr>
        <w:t>4</w:t>
      </w:r>
      <w:r>
        <w:rPr>
          <w:rFonts w:hint="default"/>
          <w:highlight w:val="white"/>
        </w:rPr>
        <w:t>年</w:t>
      </w:r>
      <w:r>
        <w:rPr>
          <w:rFonts w:hint="eastAsia"/>
        </w:rPr>
        <w:t xml:space="preserve"> </w:t>
      </w:r>
      <w:r>
        <w:rPr>
          <w:rFonts w:hint="eastAsia"/>
          <w:highlight w:val="white"/>
        </w:rPr>
        <w:t>年次</w:t>
      </w:r>
    </w:p>
    <w:p>
      <w:pPr>
        <w:pStyle w:val="42"/>
        <w:rPr>
          <w:rFonts w:hint="default"/>
        </w:rPr>
      </w:pPr>
      <w:r>
        <w:rPr>
          <w:rFonts w:hint="eastAsia"/>
        </w:rPr>
        <w:t>※加入率は、</w:t>
      </w:r>
      <w:r>
        <w:rPr>
          <w:rFonts w:hint="default"/>
        </w:rPr>
        <w:t>KDB</w:t>
      </w:r>
      <w:r>
        <w:rPr>
          <w:rFonts w:hint="default"/>
        </w:rPr>
        <w:t>帳票における年度毎の国保加入者数を住民基本台帳における年毎の人口で割って算出している</w:t>
      </w:r>
      <w:r>
        <w:rPr>
          <w:rFonts w:hint="default"/>
        </w:rPr>
        <w:br w:type="page"/>
      </w:r>
    </w:p>
    <w:p>
      <w:pPr>
        <w:pStyle w:val="3"/>
        <w:rPr>
          <w:rFonts w:hint="default"/>
        </w:rPr>
      </w:pPr>
      <w:bookmarkStart w:id="27" w:name="_Toc162548682"/>
      <w:r>
        <w:rPr>
          <w:rFonts w:hint="default"/>
        </w:rPr>
        <w:t>平均余命</w:t>
      </w:r>
      <w:r>
        <w:rPr>
          <w:rFonts w:hint="eastAsia"/>
        </w:rPr>
        <w:t>・</w:t>
      </w:r>
      <w:r>
        <w:rPr>
          <w:rFonts w:hint="default"/>
        </w:rPr>
        <w:t>平均自立期間</w:t>
      </w:r>
      <w:bookmarkEnd w:id="27"/>
    </w:p>
    <w:p>
      <w:pPr>
        <w:pStyle w:val="39"/>
        <w:ind w:firstLine="200"/>
        <w:rPr>
          <w:rFonts w:hint="default"/>
        </w:rPr>
      </w:pPr>
      <w:r>
        <w:rPr>
          <w:rFonts w:hint="eastAsia"/>
        </w:rPr>
        <w:t>男女別に平均余命（</w:t>
      </w:r>
      <w:r>
        <w:rPr>
          <w:rFonts w:hint="eastAsia"/>
        </w:rPr>
        <w:fldChar w:fldCharType="begin"/>
      </w:r>
      <w:r>
        <w:rPr>
          <w:rFonts w:hint="eastAsia"/>
        </w:rPr>
        <w:instrText xml:space="preserve">REF _Ref122510677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default"/>
        </w:rPr>
        <w:t>）をみると、男性の平均余命は</w:t>
      </w:r>
      <w:r>
        <w:rPr>
          <w:rFonts w:hint="default"/>
        </w:rPr>
        <w:t>80.0</w:t>
      </w:r>
      <w:r>
        <w:rPr>
          <w:rFonts w:hint="default"/>
        </w:rPr>
        <w:t>年で、国・県より短い。</w:t>
      </w:r>
      <w:r>
        <w:rPr>
          <w:rFonts w:hint="eastAsia"/>
        </w:rPr>
        <w:t>国と比較すると、</w:t>
      </w:r>
      <w:r>
        <w:rPr>
          <w:rFonts w:hint="default"/>
        </w:rPr>
        <w:t>-1.7</w:t>
      </w:r>
      <w:r>
        <w:rPr>
          <w:rFonts w:hint="default"/>
        </w:rPr>
        <w:t>年</w:t>
      </w:r>
      <w:r>
        <w:rPr>
          <w:rFonts w:hint="eastAsia"/>
        </w:rPr>
        <w:t>である。</w:t>
      </w:r>
      <w:r>
        <w:rPr>
          <w:rFonts w:hint="default"/>
        </w:rPr>
        <w:t>女性の平均余命は</w:t>
      </w:r>
      <w:r>
        <w:rPr>
          <w:rFonts w:hint="default"/>
        </w:rPr>
        <w:t>85.6</w:t>
      </w:r>
      <w:r>
        <w:rPr>
          <w:rFonts w:hint="default"/>
        </w:rPr>
        <w:t>年で、国・県より短い。</w:t>
      </w:r>
      <w:r>
        <w:rPr>
          <w:rFonts w:hint="eastAsia"/>
        </w:rPr>
        <w:t>国と比較すると、</w:t>
      </w:r>
      <w:r>
        <w:rPr>
          <w:rFonts w:hint="default"/>
        </w:rPr>
        <w:t>-2.2</w:t>
      </w:r>
      <w:r>
        <w:rPr>
          <w:rFonts w:hint="default"/>
        </w:rPr>
        <w:t>年</w:t>
      </w:r>
      <w:r>
        <w:rPr>
          <w:rFonts w:hint="eastAsia"/>
        </w:rPr>
        <w:t>である。</w:t>
      </w:r>
    </w:p>
    <w:p>
      <w:pPr>
        <w:pStyle w:val="39"/>
        <w:ind w:firstLine="200"/>
        <w:rPr>
          <w:rFonts w:hint="default"/>
        </w:rPr>
      </w:pPr>
      <w:r>
        <w:rPr>
          <w:rFonts w:hint="eastAsia"/>
        </w:rPr>
        <w:t>男女別に平均自立期間（</w:t>
      </w:r>
      <w:r>
        <w:rPr>
          <w:rFonts w:hint="eastAsia"/>
        </w:rPr>
        <w:fldChar w:fldCharType="begin"/>
      </w:r>
      <w:r>
        <w:rPr>
          <w:rFonts w:hint="eastAsia"/>
        </w:rPr>
        <w:instrText xml:space="preserve">REF _Ref122510677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default"/>
        </w:rPr>
        <w:t>）をみると、男性の平均自立期間は</w:t>
      </w:r>
      <w:r>
        <w:rPr>
          <w:rFonts w:hint="default"/>
        </w:rPr>
        <w:t>78.7</w:t>
      </w:r>
      <w:r>
        <w:rPr>
          <w:rFonts w:hint="default"/>
        </w:rPr>
        <w:t>年で、国・県より短い。</w:t>
      </w:r>
      <w:r>
        <w:rPr>
          <w:rFonts w:hint="eastAsia"/>
        </w:rPr>
        <w:t>国と比較すると、</w:t>
      </w:r>
      <w:r>
        <w:rPr>
          <w:rFonts w:hint="default"/>
        </w:rPr>
        <w:t>-1.4</w:t>
      </w:r>
      <w:r>
        <w:rPr>
          <w:rFonts w:hint="default"/>
        </w:rPr>
        <w:t>年</w:t>
      </w:r>
      <w:r>
        <w:rPr>
          <w:rFonts w:hint="eastAsia"/>
        </w:rPr>
        <w:t>である。</w:t>
      </w:r>
      <w:r>
        <w:rPr>
          <w:rFonts w:hint="default"/>
        </w:rPr>
        <w:t>女性の平均自立期間は</w:t>
      </w:r>
      <w:r>
        <w:rPr>
          <w:rFonts w:hint="default"/>
        </w:rPr>
        <w:t>83.0</w:t>
      </w:r>
      <w:r>
        <w:rPr>
          <w:rFonts w:hint="default"/>
        </w:rPr>
        <w:t>年で、国・県より短い。</w:t>
      </w:r>
      <w:r>
        <w:rPr>
          <w:rFonts w:hint="eastAsia"/>
        </w:rPr>
        <w:t>国と比較すると、</w:t>
      </w:r>
      <w:r>
        <w:rPr>
          <w:rFonts w:hint="default"/>
        </w:rPr>
        <w:t>-1.4</w:t>
      </w:r>
      <w:r>
        <w:rPr>
          <w:rFonts w:hint="default"/>
        </w:rPr>
        <w:t>年</w:t>
      </w:r>
      <w:r>
        <w:rPr>
          <w:rFonts w:hint="eastAsia"/>
        </w:rPr>
        <w:t>である。</w:t>
      </w:r>
    </w:p>
    <w:p>
      <w:pPr>
        <w:pStyle w:val="39"/>
        <w:ind w:firstLine="200"/>
        <w:rPr>
          <w:rFonts w:hint="default"/>
        </w:rPr>
      </w:pPr>
      <w:r>
        <w:rPr>
          <w:rFonts w:hint="default"/>
        </w:rPr>
        <w:t>令和</w:t>
      </w:r>
      <w:r>
        <w:rPr>
          <w:rFonts w:hint="default"/>
        </w:rPr>
        <w:t>4</w:t>
      </w:r>
      <w:r>
        <w:rPr>
          <w:rFonts w:hint="default"/>
        </w:rPr>
        <w:t>年度における平均余命と平均自立期間の</w:t>
      </w:r>
      <w:r>
        <w:rPr>
          <w:rFonts w:hint="eastAsia"/>
        </w:rPr>
        <w:t>推移</w:t>
      </w:r>
      <w:r>
        <w:rPr>
          <w:rFonts w:hint="default"/>
        </w:rPr>
        <w:t>（</w:t>
      </w:r>
      <w:r>
        <w:rPr>
          <w:rFonts w:hint="eastAsia"/>
        </w:rPr>
        <w:fldChar w:fldCharType="begin"/>
      </w:r>
      <w:r>
        <w:rPr>
          <w:rFonts w:hint="eastAsia"/>
        </w:rPr>
        <w:instrText xml:space="preserve">REF _Ref122510740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5</w:t>
      </w:r>
      <w:r>
        <w:rPr>
          <w:rFonts w:hint="eastAsia"/>
        </w:rPr>
        <w:t>-</w:t>
      </w:r>
      <w:r>
        <w:rPr>
          <w:rFonts w:hint="default"/>
        </w:rPr>
        <w:t>2</w:t>
      </w:r>
      <w:r>
        <w:rPr>
          <w:rFonts w:hint="eastAsia"/>
        </w:rPr>
        <w:fldChar w:fldCharType="end"/>
      </w:r>
      <w:r>
        <w:rPr>
          <w:rFonts w:hint="default"/>
        </w:rPr>
        <w:t>）をみると、男性</w:t>
      </w:r>
      <w:r>
        <w:rPr>
          <w:rFonts w:hint="eastAsia"/>
        </w:rPr>
        <w:t>で</w:t>
      </w:r>
      <w:r>
        <w:rPr>
          <w:rFonts w:hint="default"/>
        </w:rPr>
        <w:t>は</w:t>
      </w:r>
      <w:r>
        <w:rPr>
          <w:rFonts w:hint="eastAsia"/>
        </w:rPr>
        <w:t>その差は</w:t>
      </w:r>
      <w:r>
        <w:rPr>
          <w:rFonts w:hint="default"/>
        </w:rPr>
        <w:t>1.3</w:t>
      </w:r>
      <w:r>
        <w:rPr>
          <w:rFonts w:hint="default"/>
        </w:rPr>
        <w:t>年で、令和</w:t>
      </w:r>
      <w:r>
        <w:rPr>
          <w:rFonts w:hint="default"/>
        </w:rPr>
        <w:t>1</w:t>
      </w:r>
      <w:r>
        <w:rPr>
          <w:rFonts w:hint="default"/>
        </w:rPr>
        <w:t>年度以降拡大している。女性</w:t>
      </w:r>
      <w:r>
        <w:rPr>
          <w:rFonts w:hint="eastAsia"/>
        </w:rPr>
        <w:t>で</w:t>
      </w:r>
      <w:r>
        <w:rPr>
          <w:rFonts w:hint="default"/>
        </w:rPr>
        <w:t>は</w:t>
      </w:r>
      <w:r>
        <w:rPr>
          <w:rFonts w:hint="eastAsia"/>
        </w:rPr>
        <w:t>その差は</w:t>
      </w:r>
      <w:r>
        <w:rPr>
          <w:rFonts w:hint="default"/>
        </w:rPr>
        <w:t>2.6</w:t>
      </w:r>
      <w:r>
        <w:rPr>
          <w:rFonts w:hint="default"/>
        </w:rPr>
        <w:t>年で、令和</w:t>
      </w:r>
      <w:r>
        <w:rPr>
          <w:rFonts w:hint="default"/>
        </w:rPr>
        <w:t>1</w:t>
      </w:r>
      <w:r>
        <w:rPr>
          <w:rFonts w:hint="default"/>
        </w:rPr>
        <w:t>年度以降拡大している。</w:t>
      </w:r>
    </w:p>
    <w:p>
      <w:pPr>
        <w:pStyle w:val="0"/>
        <w:rPr>
          <w:rFonts w:hint="default"/>
        </w:rPr>
      </w:pPr>
    </w:p>
    <w:p>
      <w:pPr>
        <w:pStyle w:val="42"/>
        <w:rPr>
          <w:rFonts w:hint="default"/>
        </w:rPr>
      </w:pPr>
      <w:r>
        <w:rPr>
          <w:rFonts w:hint="default"/>
        </w:rPr>
        <w:t>※</w:t>
      </w:r>
      <w:r>
        <w:rPr>
          <w:rFonts w:hint="default"/>
        </w:rPr>
        <w:t>平均余命：</w:t>
      </w:r>
      <w:r>
        <w:rPr>
          <w:rFonts w:hint="eastAsia"/>
        </w:rPr>
        <w:t>ある年齢の人々が、その後何年生きられるかの期待値であり、下表では</w:t>
      </w:r>
      <w:r>
        <w:rPr>
          <w:rFonts w:hint="default"/>
        </w:rPr>
        <w:t>0</w:t>
      </w:r>
      <w:r>
        <w:rPr>
          <w:rFonts w:hint="default"/>
        </w:rPr>
        <w:t>歳での平均余命を示している</w:t>
      </w:r>
    </w:p>
    <w:p>
      <w:pPr>
        <w:pStyle w:val="42"/>
        <w:rPr>
          <w:rFonts w:hint="default"/>
        </w:rPr>
      </w:pPr>
      <w:r>
        <w:rPr>
          <w:rFonts w:hint="default"/>
        </w:rPr>
        <w:t>※</w:t>
      </w:r>
      <w:r>
        <w:rPr>
          <w:rFonts w:hint="default"/>
        </w:rPr>
        <w:t>平均自立期間：</w:t>
      </w:r>
      <w:r>
        <w:rPr>
          <w:rFonts w:hint="eastAsia"/>
        </w:rPr>
        <w:t>0</w:t>
      </w:r>
      <w:r>
        <w:rPr>
          <w:rFonts w:hint="default"/>
        </w:rPr>
        <w:t>歳の人が要介護</w:t>
      </w:r>
      <w:r>
        <w:rPr>
          <w:rFonts w:hint="default"/>
        </w:rPr>
        <w:t>2</w:t>
      </w:r>
      <w:r>
        <w:rPr>
          <w:rFonts w:hint="default"/>
        </w:rPr>
        <w:t>の状態になるまでの期間</w:t>
      </w:r>
    </w:p>
    <w:p>
      <w:pPr>
        <w:pStyle w:val="0"/>
        <w:rPr>
          <w:rFonts w:hint="default"/>
        </w:rPr>
      </w:pPr>
    </w:p>
    <w:p>
      <w:pPr>
        <w:pStyle w:val="38"/>
        <w:rPr>
          <w:rFonts w:hint="default"/>
        </w:rPr>
      </w:pPr>
      <w:bookmarkStart w:id="28" w:name="_Ref122510677"/>
      <w:bookmarkStart w:id="29" w:name="_Toc12493681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8"/>
      <w:r>
        <w:rPr>
          <w:rFonts w:hint="default"/>
        </w:rPr>
        <w:t>：平均余命</w:t>
      </w:r>
      <w:r>
        <w:rPr>
          <w:rFonts w:hint="eastAsia"/>
        </w:rPr>
        <w:t>・</w:t>
      </w:r>
      <w:r>
        <w:rPr>
          <w:rFonts w:hint="default"/>
        </w:rPr>
        <w:t>平均自立期間</w:t>
      </w:r>
      <w:bookmarkEnd w:id="29"/>
    </w:p>
    <w:p>
      <w:pPr>
        <w:pStyle w:val="0"/>
        <w:jc w:val="center"/>
        <w:rPr>
          <w:rFonts w:hint="default"/>
        </w:rPr>
      </w:pPr>
      <w:r>
        <w:rPr>
          <w:rFonts w:hint="default"/>
          <w:color w:val="000540"/>
        </w:rPr>
        <w:drawing>
          <wp:inline distT="0" distB="0" distL="0" distR="0">
            <wp:extent cx="2879725" cy="2159635"/>
            <wp:effectExtent l="0" t="0" r="0" b="0"/>
            <wp:docPr id="1066" name="オブジェクト 0"/>
            <a:graphic xmlns:a="http://schemas.openxmlformats.org/drawingml/2006/main">
              <a:graphicData uri="http://schemas.openxmlformats.org/drawingml/2006/chart">
                <c:chart xmlns:c="http://schemas.openxmlformats.org/drawingml/2006/chart" r:id="rId16"/>
              </a:graphicData>
            </a:graphic>
          </wp:inline>
        </w:drawing>
      </w:r>
      <w:r>
        <w:rPr>
          <w:rFonts w:hint="default"/>
          <w:color w:val="000540"/>
        </w:rPr>
        <w:drawing>
          <wp:inline distT="0" distB="0" distL="0" distR="0">
            <wp:extent cx="2879725" cy="2159635"/>
            <wp:effectExtent l="0" t="0" r="0" b="0"/>
            <wp:docPr id="1067" name="オブジェクト 0"/>
            <a:graphic xmlns:a="http://schemas.openxmlformats.org/drawingml/2006/main">
              <a:graphicData uri="http://schemas.openxmlformats.org/drawingml/2006/chart">
                <c:chart xmlns:c="http://schemas.openxmlformats.org/drawingml/2006/chart" r:id="rId17"/>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333"/>
        <w:gridCol w:w="1335"/>
        <w:gridCol w:w="1339"/>
        <w:gridCol w:w="1343"/>
        <w:gridCol w:w="1343"/>
        <w:gridCol w:w="1343"/>
        <w:gridCol w:w="1339"/>
      </w:tblGrid>
      <w:tr>
        <w:trPr>
          <w:trHeight w:val="20" w:hRule="atLeast"/>
        </w:trPr>
        <w:tc>
          <w:tcPr>
            <w:tcW w:w="711" w:type="pct"/>
            <w:vMerge w:val="restart"/>
            <w:shd w:val="clear" w:color="auto" w:fill="CCD6FF"/>
            <w:tcMar>
              <w:top w:w="28" w:type="dxa"/>
              <w:left w:w="28" w:type="dxa"/>
              <w:bottom w:w="28" w:type="dxa"/>
              <w:right w:w="28" w:type="dxa"/>
            </w:tcMar>
            <w:vAlign w:val="center"/>
          </w:tcPr>
          <w:p>
            <w:pPr>
              <w:pStyle w:val="0"/>
              <w:rPr>
                <w:rFonts w:hint="default"/>
              </w:rPr>
            </w:pPr>
          </w:p>
        </w:tc>
        <w:tc>
          <w:tcPr>
            <w:tcW w:w="2142" w:type="pct"/>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男性</w:t>
            </w:r>
          </w:p>
        </w:tc>
        <w:tc>
          <w:tcPr>
            <w:tcW w:w="2146" w:type="pct"/>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女性</w:t>
            </w:r>
          </w:p>
        </w:tc>
      </w:tr>
      <w:tr>
        <w:trPr>
          <w:trHeight w:val="20" w:hRule="atLeast"/>
        </w:trPr>
        <w:tc>
          <w:tcPr>
            <w:tcW w:w="711" w:type="pct"/>
            <w:vMerge w:val="continue"/>
            <w:shd w:val="clear" w:color="auto" w:fill="CCD6FF"/>
            <w:tcMar>
              <w:top w:w="28" w:type="dxa"/>
              <w:left w:w="28" w:type="dxa"/>
              <w:bottom w:w="28" w:type="dxa"/>
              <w:right w:w="28" w:type="dxa"/>
            </w:tcMar>
            <w:vAlign w:val="center"/>
          </w:tcPr>
          <w:p>
            <w:pPr>
              <w:pStyle w:val="0"/>
              <w:rPr>
                <w:rFonts w:hint="default"/>
              </w:rPr>
            </w:pPr>
          </w:p>
        </w:tc>
        <w:tc>
          <w:tcPr>
            <w:tcW w:w="712" w:type="pct"/>
            <w:shd w:val="clear" w:color="auto" w:fill="CCD6FF"/>
            <w:tcMar>
              <w:top w:w="28" w:type="dxa"/>
              <w:left w:w="28" w:type="dxa"/>
              <w:bottom w:w="28" w:type="dxa"/>
              <w:right w:w="28" w:type="dxa"/>
            </w:tcMar>
            <w:vAlign w:val="center"/>
          </w:tcPr>
          <w:p>
            <w:pPr>
              <w:pStyle w:val="0"/>
              <w:jc w:val="center"/>
              <w:rPr>
                <w:rFonts w:hint="default"/>
                <w:sz w:val="14"/>
              </w:rPr>
            </w:pPr>
            <w:r>
              <w:rPr>
                <w:rFonts w:hint="eastAsia"/>
                <w:b w:val="1"/>
                <w:sz w:val="14"/>
              </w:rPr>
              <w:t>平均余命（年）</w:t>
            </w:r>
          </w:p>
        </w:tc>
        <w:tc>
          <w:tcPr>
            <w:tcW w:w="714" w:type="pct"/>
            <w:shd w:val="clear" w:color="auto" w:fill="CCD6FF"/>
            <w:tcMar>
              <w:top w:w="28" w:type="dxa"/>
              <w:left w:w="28" w:type="dxa"/>
              <w:bottom w:w="28" w:type="dxa"/>
              <w:right w:w="28" w:type="dxa"/>
            </w:tcMar>
            <w:vAlign w:val="center"/>
          </w:tcPr>
          <w:p>
            <w:pPr>
              <w:pStyle w:val="0"/>
              <w:jc w:val="center"/>
              <w:rPr>
                <w:rFonts w:hint="default"/>
                <w:sz w:val="14"/>
              </w:rPr>
            </w:pPr>
            <w:r>
              <w:rPr>
                <w:rFonts w:hint="eastAsia"/>
                <w:b w:val="1"/>
                <w:sz w:val="14"/>
              </w:rPr>
              <w:t>平均自立期間（年）</w:t>
            </w:r>
          </w:p>
        </w:tc>
        <w:tc>
          <w:tcPr>
            <w:tcW w:w="716" w:type="pct"/>
            <w:shd w:val="clear" w:color="auto" w:fill="CCD6FF"/>
            <w:tcMar>
              <w:top w:w="28" w:type="dxa"/>
              <w:left w:w="28" w:type="dxa"/>
              <w:bottom w:w="28" w:type="dxa"/>
              <w:right w:w="28" w:type="dxa"/>
            </w:tcMar>
            <w:vAlign w:val="center"/>
          </w:tcPr>
          <w:p>
            <w:pPr>
              <w:pStyle w:val="0"/>
              <w:jc w:val="center"/>
              <w:rPr>
                <w:rFonts w:hint="default"/>
                <w:sz w:val="14"/>
              </w:rPr>
            </w:pPr>
            <w:r>
              <w:rPr>
                <w:rFonts w:hint="eastAsia"/>
                <w:b w:val="1"/>
                <w:sz w:val="14"/>
              </w:rPr>
              <w:t>差（年）</w:t>
            </w:r>
          </w:p>
        </w:tc>
        <w:tc>
          <w:tcPr>
            <w:tcW w:w="716" w:type="pct"/>
            <w:shd w:val="clear" w:color="auto" w:fill="CCD6FF"/>
            <w:tcMar>
              <w:top w:w="28" w:type="dxa"/>
              <w:left w:w="28" w:type="dxa"/>
              <w:bottom w:w="28" w:type="dxa"/>
              <w:right w:w="28" w:type="dxa"/>
            </w:tcMar>
            <w:vAlign w:val="center"/>
          </w:tcPr>
          <w:p>
            <w:pPr>
              <w:pStyle w:val="0"/>
              <w:jc w:val="center"/>
              <w:rPr>
                <w:rFonts w:hint="default"/>
                <w:sz w:val="14"/>
              </w:rPr>
            </w:pPr>
            <w:r>
              <w:rPr>
                <w:rFonts w:hint="eastAsia"/>
                <w:b w:val="1"/>
                <w:sz w:val="14"/>
              </w:rPr>
              <w:t>平均余命（年）</w:t>
            </w:r>
          </w:p>
        </w:tc>
        <w:tc>
          <w:tcPr>
            <w:tcW w:w="716" w:type="pct"/>
            <w:shd w:val="clear" w:color="auto" w:fill="CCD6FF"/>
            <w:tcMar>
              <w:top w:w="28" w:type="dxa"/>
              <w:left w:w="28" w:type="dxa"/>
              <w:bottom w:w="28" w:type="dxa"/>
              <w:right w:w="28" w:type="dxa"/>
            </w:tcMar>
            <w:vAlign w:val="center"/>
          </w:tcPr>
          <w:p>
            <w:pPr>
              <w:pStyle w:val="0"/>
              <w:jc w:val="center"/>
              <w:rPr>
                <w:rFonts w:hint="default"/>
                <w:sz w:val="14"/>
              </w:rPr>
            </w:pPr>
            <w:r>
              <w:rPr>
                <w:rFonts w:hint="eastAsia"/>
                <w:b w:val="1"/>
                <w:sz w:val="14"/>
              </w:rPr>
              <w:t>平均自立期間（年）</w:t>
            </w:r>
          </w:p>
        </w:tc>
        <w:tc>
          <w:tcPr>
            <w:tcW w:w="714" w:type="pct"/>
            <w:shd w:val="clear" w:color="auto" w:fill="CCD6FF"/>
            <w:tcMar>
              <w:top w:w="28" w:type="dxa"/>
              <w:left w:w="28" w:type="dxa"/>
              <w:bottom w:w="28" w:type="dxa"/>
              <w:right w:w="28" w:type="dxa"/>
            </w:tcMar>
            <w:vAlign w:val="center"/>
          </w:tcPr>
          <w:p>
            <w:pPr>
              <w:pStyle w:val="0"/>
              <w:jc w:val="center"/>
              <w:rPr>
                <w:rFonts w:hint="default"/>
                <w:sz w:val="14"/>
              </w:rPr>
            </w:pPr>
            <w:r>
              <w:rPr>
                <w:rFonts w:hint="eastAsia"/>
                <w:b w:val="1"/>
                <w:sz w:val="14"/>
              </w:rPr>
              <w:t>差（年）</w:t>
            </w:r>
          </w:p>
        </w:tc>
      </w:tr>
      <w:tr>
        <w:trPr>
          <w:trHeight w:val="20" w:hRule="atLeast"/>
        </w:trPr>
        <w:tc>
          <w:tcPr>
            <w:tcW w:w="711" w:type="pct"/>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712" w:type="pct"/>
            <w:shd w:val="clear" w:color="auto" w:fill="auto"/>
            <w:tcMar>
              <w:top w:w="28" w:type="dxa"/>
              <w:left w:w="28" w:type="dxa"/>
              <w:bottom w:w="28" w:type="dxa"/>
              <w:right w:w="28" w:type="dxa"/>
            </w:tcMar>
            <w:vAlign w:val="center"/>
          </w:tcPr>
          <w:p>
            <w:pPr>
              <w:pStyle w:val="0"/>
              <w:jc w:val="right"/>
              <w:rPr>
                <w:rFonts w:hint="default"/>
              </w:rPr>
            </w:pPr>
            <w:r>
              <w:rPr>
                <w:rFonts w:hint="default"/>
              </w:rPr>
              <w:t>80.0</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78.7</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85.6</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83.0</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r>
      <w:tr>
        <w:trPr>
          <w:trHeight w:val="20" w:hRule="atLeast"/>
        </w:trPr>
        <w:tc>
          <w:tcPr>
            <w:tcW w:w="711" w:type="pct"/>
            <w:shd w:val="clear" w:color="auto" w:fill="auto"/>
            <w:tcMar>
              <w:top w:w="28" w:type="dxa"/>
              <w:left w:w="28" w:type="dxa"/>
              <w:bottom w:w="28" w:type="dxa"/>
              <w:right w:w="28" w:type="dxa"/>
            </w:tcMar>
            <w:vAlign w:val="center"/>
          </w:tcPr>
          <w:p>
            <w:pPr>
              <w:pStyle w:val="0"/>
              <w:rPr>
                <w:rFonts w:hint="default"/>
              </w:rPr>
            </w:pPr>
            <w:r>
              <w:rPr>
                <w:rFonts w:hint="eastAsia"/>
              </w:rPr>
              <w:t>国</w:t>
            </w:r>
          </w:p>
        </w:tc>
        <w:tc>
          <w:tcPr>
            <w:tcW w:w="712" w:type="pct"/>
            <w:shd w:val="clear" w:color="auto" w:fill="auto"/>
            <w:tcMar>
              <w:top w:w="28" w:type="dxa"/>
              <w:left w:w="28" w:type="dxa"/>
              <w:bottom w:w="28" w:type="dxa"/>
              <w:right w:w="28" w:type="dxa"/>
            </w:tcMar>
            <w:vAlign w:val="center"/>
          </w:tcPr>
          <w:p>
            <w:pPr>
              <w:pStyle w:val="0"/>
              <w:jc w:val="right"/>
              <w:rPr>
                <w:rFonts w:hint="default"/>
              </w:rPr>
            </w:pPr>
            <w:r>
              <w:rPr>
                <w:rFonts w:hint="default"/>
              </w:rPr>
              <w:t>81.7</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80.1</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87.8</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84.4</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r>
      <w:tr>
        <w:trPr>
          <w:trHeight w:val="24" w:hRule="atLeast"/>
        </w:trPr>
        <w:tc>
          <w:tcPr>
            <w:tcW w:w="711"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712" w:type="pct"/>
            <w:shd w:val="clear" w:color="auto" w:fill="auto"/>
            <w:tcMar>
              <w:top w:w="28" w:type="dxa"/>
              <w:left w:w="28" w:type="dxa"/>
              <w:bottom w:w="28" w:type="dxa"/>
              <w:right w:w="28" w:type="dxa"/>
            </w:tcMar>
            <w:vAlign w:val="center"/>
          </w:tcPr>
          <w:p>
            <w:pPr>
              <w:pStyle w:val="0"/>
              <w:jc w:val="right"/>
              <w:rPr>
                <w:rFonts w:hint="default"/>
              </w:rPr>
            </w:pPr>
            <w:r>
              <w:rPr>
                <w:rFonts w:hint="default"/>
              </w:rPr>
              <w:t>81.8</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80.2</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87.8</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84.4</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r>
      <w:tr>
        <w:trPr>
          <w:trHeight w:val="20" w:hRule="atLeast"/>
        </w:trPr>
        <w:tc>
          <w:tcPr>
            <w:tcW w:w="711" w:type="pct"/>
            <w:shd w:val="clear" w:color="auto" w:fill="auto"/>
            <w:tcMar>
              <w:top w:w="28" w:type="dxa"/>
              <w:left w:w="28" w:type="dxa"/>
              <w:bottom w:w="28" w:type="dxa"/>
              <w:right w:w="28" w:type="dxa"/>
            </w:tcMar>
            <w:vAlign w:val="center"/>
          </w:tcPr>
          <w:p>
            <w:pPr>
              <w:pStyle w:val="0"/>
              <w:rPr>
                <w:rFonts w:hint="default"/>
              </w:rPr>
            </w:pPr>
            <w:r>
              <w:rPr>
                <w:rFonts w:hint="eastAsia"/>
              </w:rPr>
              <w:t>同規模</w:t>
            </w:r>
          </w:p>
        </w:tc>
        <w:tc>
          <w:tcPr>
            <w:tcW w:w="712" w:type="pct"/>
            <w:shd w:val="clear" w:color="auto" w:fill="auto"/>
            <w:tcMar>
              <w:top w:w="28" w:type="dxa"/>
              <w:left w:w="28" w:type="dxa"/>
              <w:bottom w:w="28" w:type="dxa"/>
              <w:right w:w="28" w:type="dxa"/>
            </w:tcMar>
            <w:vAlign w:val="center"/>
          </w:tcPr>
          <w:p>
            <w:pPr>
              <w:pStyle w:val="0"/>
              <w:jc w:val="right"/>
              <w:rPr>
                <w:rFonts w:hint="default"/>
              </w:rPr>
            </w:pPr>
            <w:r>
              <w:rPr>
                <w:rFonts w:hint="default"/>
              </w:rPr>
              <w:t>81.6</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80.1</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87.6</w:t>
            </w:r>
          </w:p>
        </w:tc>
        <w:tc>
          <w:tcPr>
            <w:tcW w:w="716" w:type="pct"/>
            <w:shd w:val="clear" w:color="auto" w:fill="auto"/>
            <w:tcMar>
              <w:top w:w="28" w:type="dxa"/>
              <w:left w:w="28" w:type="dxa"/>
              <w:bottom w:w="28" w:type="dxa"/>
              <w:right w:w="28" w:type="dxa"/>
            </w:tcMar>
            <w:vAlign w:val="center"/>
          </w:tcPr>
          <w:p>
            <w:pPr>
              <w:pStyle w:val="0"/>
              <w:jc w:val="right"/>
              <w:rPr>
                <w:rFonts w:hint="default"/>
              </w:rPr>
            </w:pPr>
            <w:r>
              <w:rPr>
                <w:rFonts w:hint="default"/>
              </w:rPr>
              <w:t>84.4</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w:t>
      </w:r>
      <w:r>
        <w:rPr>
          <w:rFonts w:hint="default"/>
        </w:rPr>
        <w:t>表内の「国」とは、市町村国保全体を指す（</w:t>
      </w:r>
      <w:r>
        <w:rPr>
          <w:rFonts w:hint="default"/>
        </w:rPr>
        <w:t>KDB</w:t>
      </w:r>
      <w:r>
        <w:rPr>
          <w:rFonts w:hint="default"/>
        </w:rPr>
        <w:t>帳票を用いた分析においては以下同様）</w:t>
      </w:r>
    </w:p>
    <w:p>
      <w:pPr>
        <w:pStyle w:val="42"/>
        <w:rPr>
          <w:rFonts w:hint="default"/>
        </w:rPr>
      </w:pPr>
      <w:r>
        <w:rPr>
          <w:rFonts w:hint="eastAsia"/>
        </w:rPr>
        <w:t>※表内の「同規模」とは、人口規模が同程度の市町村を指す</w:t>
      </w:r>
    </w:p>
    <w:p>
      <w:pPr>
        <w:pStyle w:val="0"/>
        <w:rPr>
          <w:rFonts w:hint="default"/>
        </w:rPr>
      </w:pPr>
    </w:p>
    <w:p>
      <w:pPr>
        <w:pStyle w:val="38"/>
        <w:rPr>
          <w:rFonts w:hint="default"/>
        </w:rPr>
      </w:pPr>
      <w:bookmarkStart w:id="30" w:name="_Ref122510740"/>
      <w:bookmarkStart w:id="31" w:name="_Toc12493681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30"/>
      <w:r>
        <w:rPr>
          <w:rFonts w:hint="default"/>
        </w:rPr>
        <w:t>：平均余命と平均自立期間</w:t>
      </w:r>
      <w:r>
        <w:rPr>
          <w:rFonts w:hint="eastAsia"/>
        </w:rPr>
        <w:t>の</w:t>
      </w:r>
      <w:r>
        <w:rPr>
          <w:rFonts w:hint="default"/>
        </w:rPr>
        <w:t>推移</w:t>
      </w:r>
      <w:bookmarkEnd w:id="31"/>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338"/>
        <w:gridCol w:w="1338"/>
        <w:gridCol w:w="1341"/>
        <w:gridCol w:w="1339"/>
        <w:gridCol w:w="1341"/>
        <w:gridCol w:w="1339"/>
        <w:gridCol w:w="1339"/>
      </w:tblGrid>
      <w:tr>
        <w:trPr>
          <w:trHeight w:val="20" w:hRule="atLeast"/>
        </w:trPr>
        <w:tc>
          <w:tcPr>
            <w:tcW w:w="714" w:type="pct"/>
            <w:vMerge w:val="restart"/>
            <w:shd w:val="clear" w:color="auto" w:fill="CCD6FF"/>
            <w:tcMar>
              <w:top w:w="28" w:type="dxa"/>
              <w:left w:w="28" w:type="dxa"/>
              <w:bottom w:w="28" w:type="dxa"/>
              <w:right w:w="28" w:type="dxa"/>
            </w:tcMar>
            <w:vAlign w:val="center"/>
          </w:tcPr>
          <w:p>
            <w:pPr>
              <w:pStyle w:val="66"/>
              <w:rPr>
                <w:rFonts w:hint="default"/>
              </w:rPr>
            </w:pPr>
          </w:p>
        </w:tc>
        <w:tc>
          <w:tcPr>
            <w:tcW w:w="2143" w:type="pct"/>
            <w:gridSpan w:val="3"/>
            <w:shd w:val="clear" w:color="auto" w:fill="CCD6FF"/>
            <w:tcMar>
              <w:top w:w="28" w:type="dxa"/>
              <w:left w:w="28" w:type="dxa"/>
              <w:bottom w:w="28" w:type="dxa"/>
              <w:right w:w="28" w:type="dxa"/>
            </w:tcMar>
            <w:vAlign w:val="center"/>
          </w:tcPr>
          <w:p>
            <w:pPr>
              <w:pStyle w:val="66"/>
              <w:rPr>
                <w:rFonts w:hint="default"/>
                <w:b w:val="1"/>
              </w:rPr>
            </w:pPr>
            <w:r>
              <w:rPr>
                <w:rFonts w:hint="eastAsia"/>
                <w:b w:val="1"/>
              </w:rPr>
              <w:t>男性</w:t>
            </w:r>
          </w:p>
        </w:tc>
        <w:tc>
          <w:tcPr>
            <w:tcW w:w="2143" w:type="pct"/>
            <w:gridSpan w:val="3"/>
            <w:shd w:val="clear" w:color="auto" w:fill="CCD6FF"/>
            <w:tcMar>
              <w:top w:w="28" w:type="dxa"/>
              <w:left w:w="28" w:type="dxa"/>
              <w:bottom w:w="28" w:type="dxa"/>
              <w:right w:w="28" w:type="dxa"/>
            </w:tcMar>
            <w:vAlign w:val="center"/>
          </w:tcPr>
          <w:p>
            <w:pPr>
              <w:pStyle w:val="66"/>
              <w:rPr>
                <w:rFonts w:hint="default"/>
                <w:b w:val="1"/>
              </w:rPr>
            </w:pPr>
            <w:r>
              <w:rPr>
                <w:rFonts w:hint="eastAsia"/>
                <w:b w:val="1"/>
              </w:rPr>
              <w:t>女性</w:t>
            </w:r>
          </w:p>
        </w:tc>
      </w:tr>
      <w:tr>
        <w:trPr>
          <w:trHeight w:val="20" w:hRule="atLeast"/>
        </w:trPr>
        <w:tc>
          <w:tcPr>
            <w:tcW w:w="714" w:type="pct"/>
            <w:vMerge w:val="continue"/>
            <w:shd w:val="clear" w:color="auto" w:fill="CCD6FF"/>
            <w:tcMar>
              <w:top w:w="28" w:type="dxa"/>
              <w:left w:w="28" w:type="dxa"/>
              <w:bottom w:w="28" w:type="dxa"/>
              <w:right w:w="28" w:type="dxa"/>
            </w:tcMar>
            <w:vAlign w:val="center"/>
          </w:tcPr>
          <w:p>
            <w:pPr>
              <w:pStyle w:val="66"/>
              <w:rPr>
                <w:rFonts w:hint="default"/>
              </w:rPr>
            </w:pPr>
          </w:p>
        </w:tc>
        <w:tc>
          <w:tcPr>
            <w:tcW w:w="714" w:type="pct"/>
            <w:shd w:val="clear" w:color="auto" w:fill="CCD6FF"/>
            <w:tcMar>
              <w:top w:w="28" w:type="dxa"/>
              <w:left w:w="28" w:type="dxa"/>
              <w:bottom w:w="28" w:type="dxa"/>
              <w:right w:w="28" w:type="dxa"/>
            </w:tcMar>
            <w:vAlign w:val="center"/>
          </w:tcPr>
          <w:p>
            <w:pPr>
              <w:pStyle w:val="66"/>
              <w:rPr>
                <w:rFonts w:hint="default"/>
                <w:b w:val="1"/>
                <w:sz w:val="14"/>
              </w:rPr>
            </w:pPr>
            <w:r>
              <w:rPr>
                <w:rFonts w:hint="eastAsia"/>
                <w:b w:val="1"/>
                <w:sz w:val="14"/>
              </w:rPr>
              <w:t>平均余命（年）</w:t>
            </w:r>
          </w:p>
        </w:tc>
        <w:tc>
          <w:tcPr>
            <w:tcW w:w="715" w:type="pct"/>
            <w:shd w:val="clear" w:color="auto" w:fill="CCD6FF"/>
            <w:tcMar>
              <w:top w:w="28" w:type="dxa"/>
              <w:left w:w="28" w:type="dxa"/>
              <w:bottom w:w="28" w:type="dxa"/>
              <w:right w:w="28" w:type="dxa"/>
            </w:tcMar>
            <w:vAlign w:val="center"/>
          </w:tcPr>
          <w:p>
            <w:pPr>
              <w:pStyle w:val="66"/>
              <w:rPr>
                <w:rFonts w:hint="default"/>
                <w:b w:val="1"/>
                <w:sz w:val="14"/>
              </w:rPr>
            </w:pPr>
            <w:r>
              <w:rPr>
                <w:rFonts w:hint="eastAsia"/>
                <w:b w:val="1"/>
                <w:sz w:val="14"/>
              </w:rPr>
              <w:t>平均自立期間（年）</w:t>
            </w:r>
          </w:p>
        </w:tc>
        <w:tc>
          <w:tcPr>
            <w:tcW w:w="714" w:type="pct"/>
            <w:shd w:val="clear" w:color="auto" w:fill="CCD6FF"/>
            <w:tcMar>
              <w:top w:w="28" w:type="dxa"/>
              <w:left w:w="28" w:type="dxa"/>
              <w:bottom w:w="28" w:type="dxa"/>
              <w:right w:w="28" w:type="dxa"/>
            </w:tcMar>
            <w:vAlign w:val="center"/>
          </w:tcPr>
          <w:p>
            <w:pPr>
              <w:pStyle w:val="66"/>
              <w:rPr>
                <w:rFonts w:hint="default"/>
                <w:b w:val="1"/>
                <w:sz w:val="14"/>
              </w:rPr>
            </w:pPr>
            <w:r>
              <w:rPr>
                <w:rFonts w:hint="eastAsia"/>
                <w:b w:val="1"/>
                <w:sz w:val="14"/>
              </w:rPr>
              <w:t>差（年）</w:t>
            </w:r>
          </w:p>
        </w:tc>
        <w:tc>
          <w:tcPr>
            <w:tcW w:w="715" w:type="pct"/>
            <w:shd w:val="clear" w:color="auto" w:fill="CCD6FF"/>
            <w:tcMar>
              <w:top w:w="28" w:type="dxa"/>
              <w:left w:w="28" w:type="dxa"/>
              <w:bottom w:w="28" w:type="dxa"/>
              <w:right w:w="28" w:type="dxa"/>
            </w:tcMar>
            <w:vAlign w:val="center"/>
          </w:tcPr>
          <w:p>
            <w:pPr>
              <w:pStyle w:val="66"/>
              <w:rPr>
                <w:rFonts w:hint="default"/>
                <w:sz w:val="14"/>
              </w:rPr>
            </w:pPr>
            <w:r>
              <w:rPr>
                <w:rFonts w:hint="eastAsia"/>
                <w:b w:val="1"/>
                <w:sz w:val="14"/>
              </w:rPr>
              <w:t>平均余命（年）</w:t>
            </w:r>
          </w:p>
        </w:tc>
        <w:tc>
          <w:tcPr>
            <w:tcW w:w="714" w:type="pct"/>
            <w:shd w:val="clear" w:color="auto" w:fill="CCD6FF"/>
            <w:tcMar>
              <w:top w:w="28" w:type="dxa"/>
              <w:left w:w="28" w:type="dxa"/>
              <w:bottom w:w="28" w:type="dxa"/>
              <w:right w:w="28" w:type="dxa"/>
            </w:tcMar>
            <w:vAlign w:val="center"/>
          </w:tcPr>
          <w:p>
            <w:pPr>
              <w:pStyle w:val="66"/>
              <w:rPr>
                <w:rFonts w:hint="default"/>
                <w:sz w:val="14"/>
              </w:rPr>
            </w:pPr>
            <w:r>
              <w:rPr>
                <w:rFonts w:hint="eastAsia"/>
                <w:b w:val="1"/>
                <w:sz w:val="14"/>
              </w:rPr>
              <w:t>平均自立期間（年）</w:t>
            </w:r>
          </w:p>
        </w:tc>
        <w:tc>
          <w:tcPr>
            <w:tcW w:w="714" w:type="pct"/>
            <w:shd w:val="clear" w:color="auto" w:fill="CCD6FF"/>
            <w:tcMar>
              <w:top w:w="28" w:type="dxa"/>
              <w:left w:w="28" w:type="dxa"/>
              <w:bottom w:w="28" w:type="dxa"/>
              <w:right w:w="28" w:type="dxa"/>
            </w:tcMar>
            <w:vAlign w:val="center"/>
          </w:tcPr>
          <w:p>
            <w:pPr>
              <w:pStyle w:val="66"/>
              <w:rPr>
                <w:rFonts w:hint="default"/>
                <w:sz w:val="14"/>
              </w:rPr>
            </w:pPr>
            <w:r>
              <w:rPr>
                <w:rFonts w:hint="eastAsia"/>
                <w:b w:val="1"/>
                <w:sz w:val="14"/>
              </w:rPr>
              <w:t>差（年）</w:t>
            </w:r>
          </w:p>
        </w:tc>
      </w:tr>
      <w:tr>
        <w:trPr>
          <w:trHeight w:val="20" w:hRule="atLeast"/>
        </w:trPr>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令和</w:t>
            </w:r>
            <w:r>
              <w:rPr>
                <w:rFonts w:hint="default"/>
              </w:rPr>
              <w:t>1</w:t>
            </w:r>
            <w:r>
              <w:rPr>
                <w:rFonts w:hint="default"/>
              </w:rPr>
              <w:t>年度</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79.8</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78.6</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85.2</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82.7</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r>
      <w:tr>
        <w:trPr>
          <w:trHeight w:val="20" w:hRule="atLeast"/>
        </w:trPr>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令和</w:t>
            </w:r>
            <w:r>
              <w:rPr>
                <w:rFonts w:hint="default"/>
              </w:rPr>
              <w:t>2</w:t>
            </w:r>
            <w:r>
              <w:rPr>
                <w:rFonts w:hint="default"/>
              </w:rPr>
              <w:t>年度</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80.2</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78.9</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85.4</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82.8</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r>
      <w:tr>
        <w:trPr>
          <w:trHeight w:val="20" w:hRule="atLeast"/>
        </w:trPr>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令和</w:t>
            </w:r>
            <w:r>
              <w:rPr>
                <w:rFonts w:hint="default"/>
              </w:rPr>
              <w:t>3</w:t>
            </w:r>
            <w:r>
              <w:rPr>
                <w:rFonts w:hint="default"/>
              </w:rPr>
              <w:t>年度</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79.9</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78.7</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85.4</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82.8</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r>
      <w:tr>
        <w:trPr>
          <w:trHeight w:val="20" w:hRule="atLeast"/>
        </w:trPr>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令和</w:t>
            </w:r>
            <w:r>
              <w:rPr>
                <w:rFonts w:hint="default"/>
              </w:rPr>
              <w:t>4</w:t>
            </w:r>
            <w:r>
              <w:rPr>
                <w:rFonts w:hint="default"/>
              </w:rPr>
              <w:t>年度</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80.0</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78.7</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85.6</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83.0</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1</w:t>
      </w:r>
      <w:r>
        <w:rPr>
          <w:rFonts w:hint="eastAsia"/>
        </w:rPr>
        <w:t>年度から</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3"/>
        <w:rPr>
          <w:rFonts w:hint="default"/>
        </w:rPr>
      </w:pPr>
      <w:bookmarkStart w:id="32" w:name="_Toc162548683"/>
      <w:r>
        <w:rPr>
          <w:rFonts w:hint="default"/>
        </w:rPr>
        <w:t>介護の状況</w:t>
      </w:r>
      <w:bookmarkEnd w:id="32"/>
    </w:p>
    <w:p>
      <w:pPr>
        <w:pStyle w:val="4"/>
        <w:rPr>
          <w:rFonts w:hint="default"/>
        </w:rPr>
      </w:pPr>
      <w:r>
        <w:rPr>
          <w:rFonts w:hint="default"/>
        </w:rPr>
        <w:t>要介護（要支援）認定者数・割合</w:t>
      </w:r>
    </w:p>
    <w:p>
      <w:pPr>
        <w:pStyle w:val="39"/>
        <w:ind w:firstLine="200"/>
        <w:rPr>
          <w:rFonts w:hint="default"/>
        </w:rPr>
      </w:pPr>
      <w:r>
        <w:rPr>
          <w:rFonts w:hint="eastAsia"/>
        </w:rPr>
        <w:t>次に介護の状況について概観する。要介護または要支援の認定を受けた人の数・割合（</w:t>
      </w:r>
      <w:r>
        <w:rPr>
          <w:rFonts w:hint="eastAsia"/>
        </w:rPr>
        <w:fldChar w:fldCharType="begin"/>
      </w:r>
      <w:r>
        <w:rPr>
          <w:rFonts w:hint="eastAsia"/>
        </w:rPr>
        <w:instrText xml:space="preserve">REF _Ref122519778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6</w:t>
      </w:r>
      <w:r>
        <w:rPr>
          <w:rFonts w:hint="eastAsia"/>
        </w:rPr>
        <w:t>-</w:t>
      </w:r>
      <w:r>
        <w:rPr>
          <w:rFonts w:hint="default"/>
        </w:rPr>
        <w:t>1</w:t>
      </w:r>
      <w:r>
        <w:rPr>
          <w:rFonts w:hint="eastAsia"/>
        </w:rPr>
        <w:fldChar w:fldCharType="end"/>
      </w:r>
      <w:r>
        <w:rPr>
          <w:rFonts w:hint="default"/>
        </w:rPr>
        <w:t>）をみると、</w:t>
      </w:r>
      <w:r>
        <w:rPr>
          <w:rFonts w:hint="eastAsia"/>
        </w:rPr>
        <w:t>令和</w:t>
      </w:r>
      <w:r>
        <w:rPr>
          <w:rFonts w:hint="eastAsia"/>
        </w:rPr>
        <w:t>4</w:t>
      </w:r>
      <w:r>
        <w:rPr>
          <w:rFonts w:hint="eastAsia"/>
        </w:rPr>
        <w:t>年度</w:t>
      </w:r>
      <w:r>
        <w:rPr>
          <w:rFonts w:hint="default"/>
        </w:rPr>
        <w:t>の認定者数は</w:t>
      </w:r>
      <w:r>
        <w:rPr>
          <w:rFonts w:hint="default"/>
        </w:rPr>
        <w:t>3,171</w:t>
      </w:r>
      <w:r>
        <w:rPr>
          <w:rFonts w:hint="default"/>
        </w:rPr>
        <w:t>人（要支援</w:t>
      </w:r>
      <w:r>
        <w:rPr>
          <w:rFonts w:hint="default"/>
        </w:rPr>
        <w:t>1-2</w:t>
      </w:r>
      <w:r>
        <w:rPr>
          <w:rFonts w:hint="default"/>
        </w:rPr>
        <w:t>、要介護</w:t>
      </w:r>
      <w:r>
        <w:rPr>
          <w:rFonts w:hint="default"/>
        </w:rPr>
        <w:t>1-2</w:t>
      </w:r>
      <w:r>
        <w:rPr>
          <w:rFonts w:hint="default"/>
        </w:rPr>
        <w:t>、及び要介護</w:t>
      </w:r>
      <w:r>
        <w:rPr>
          <w:rFonts w:hint="default"/>
        </w:rPr>
        <w:t>3-5</w:t>
      </w:r>
      <w:r>
        <w:rPr>
          <w:rFonts w:hint="default"/>
        </w:rPr>
        <w:t>の合計）で、「要介護</w:t>
      </w:r>
      <w:r>
        <w:rPr>
          <w:rFonts w:hint="default"/>
        </w:rPr>
        <w:t>3-5</w:t>
      </w:r>
      <w:r>
        <w:rPr>
          <w:rFonts w:hint="default"/>
        </w:rPr>
        <w:t>」の人数が最も多くなっている。</w:t>
      </w:r>
    </w:p>
    <w:p>
      <w:pPr>
        <w:pStyle w:val="39"/>
        <w:ind w:firstLine="200"/>
        <w:rPr>
          <w:rFonts w:hint="default"/>
        </w:rPr>
      </w:pPr>
      <w:r>
        <w:rPr>
          <w:rFonts w:hint="default"/>
        </w:rPr>
        <w:t>第</w:t>
      </w:r>
      <w:r>
        <w:rPr>
          <w:rFonts w:hint="default"/>
        </w:rPr>
        <w:t>1</w:t>
      </w:r>
      <w:r>
        <w:rPr>
          <w:rFonts w:hint="default"/>
        </w:rPr>
        <w:t>号被保険者における要介護認定率は</w:t>
      </w:r>
      <w:r>
        <w:rPr>
          <w:rFonts w:hint="default"/>
        </w:rPr>
        <w:t>14.0%</w:t>
      </w:r>
      <w:r>
        <w:rPr>
          <w:rFonts w:hint="default"/>
        </w:rPr>
        <w:t>で、国・県より低い。第</w:t>
      </w:r>
      <w:r>
        <w:rPr>
          <w:rFonts w:hint="default"/>
        </w:rPr>
        <w:t>1</w:t>
      </w:r>
      <w:r>
        <w:rPr>
          <w:rFonts w:hint="default"/>
        </w:rPr>
        <w:t>号被保険者のうち</w:t>
      </w:r>
      <w:r>
        <w:rPr>
          <w:rFonts w:hint="default"/>
        </w:rPr>
        <w:t>65-74</w:t>
      </w:r>
      <w:r>
        <w:rPr>
          <w:rFonts w:hint="default"/>
        </w:rPr>
        <w:t>歳の前期高齢者の要介護認定率は</w:t>
      </w:r>
      <w:r>
        <w:rPr>
          <w:rFonts w:hint="default"/>
        </w:rPr>
        <w:t>4.0%</w:t>
      </w:r>
      <w:r>
        <w:rPr>
          <w:rFonts w:hint="default"/>
        </w:rPr>
        <w:t>、</w:t>
      </w:r>
      <w:r>
        <w:rPr>
          <w:rFonts w:hint="default"/>
        </w:rPr>
        <w:t>75</w:t>
      </w:r>
      <w:r>
        <w:rPr>
          <w:rFonts w:hint="default"/>
        </w:rPr>
        <w:t>歳以上の後期高齢者では</w:t>
      </w:r>
      <w:r>
        <w:rPr>
          <w:rFonts w:hint="default"/>
        </w:rPr>
        <w:t>25.1%</w:t>
      </w:r>
      <w:r>
        <w:rPr>
          <w:rFonts w:hint="default"/>
        </w:rPr>
        <w:t>となっている。</w:t>
      </w:r>
    </w:p>
    <w:p>
      <w:pPr>
        <w:pStyle w:val="39"/>
        <w:ind w:firstLine="200"/>
        <w:rPr>
          <w:rFonts w:hint="default"/>
        </w:rPr>
      </w:pPr>
      <w:r>
        <w:rPr>
          <w:rFonts w:hint="default"/>
        </w:rPr>
        <w:t>第</w:t>
      </w:r>
      <w:r>
        <w:rPr>
          <w:rFonts w:hint="default"/>
        </w:rPr>
        <w:t>2</w:t>
      </w:r>
      <w:r>
        <w:rPr>
          <w:rFonts w:hint="default"/>
        </w:rPr>
        <w:t>号被保険者における要介護認定率は</w:t>
      </w:r>
      <w:r>
        <w:rPr>
          <w:rFonts w:hint="default"/>
        </w:rPr>
        <w:t>0.5%</w:t>
      </w:r>
      <w:r>
        <w:rPr>
          <w:rFonts w:hint="default"/>
        </w:rPr>
        <w:t>となっており、国・県より高い。</w:t>
      </w:r>
    </w:p>
    <w:p>
      <w:pPr>
        <w:pStyle w:val="0"/>
        <w:rPr>
          <w:rFonts w:hint="default"/>
        </w:rPr>
      </w:pPr>
    </w:p>
    <w:p>
      <w:pPr>
        <w:pStyle w:val="38"/>
        <w:rPr>
          <w:rFonts w:hint="default"/>
        </w:rPr>
      </w:pPr>
      <w:bookmarkStart w:id="33" w:name="_Ref122519778"/>
      <w:bookmarkStart w:id="34" w:name="_Toc12493681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33"/>
      <w:r>
        <w:rPr>
          <w:rFonts w:hint="default"/>
        </w:rPr>
        <w:t>：</w:t>
      </w:r>
      <w:r>
        <w:rPr>
          <w:rFonts w:hint="eastAsia"/>
        </w:rPr>
        <w:t>要介護（要支援）</w:t>
      </w:r>
      <w:r>
        <w:rPr>
          <w:rFonts w:hint="default"/>
        </w:rPr>
        <w:t>認定区分別</w:t>
      </w:r>
      <w:r>
        <w:rPr>
          <w:rFonts w:hint="eastAsia"/>
        </w:rPr>
        <w:t>の</w:t>
      </w:r>
      <w:r>
        <w:rPr>
          <w:rFonts w:hint="default"/>
        </w:rPr>
        <w:t>認定者数・割合</w:t>
      </w:r>
      <w:bookmarkEnd w:id="34"/>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26"/>
        <w:gridCol w:w="919"/>
        <w:gridCol w:w="1080"/>
        <w:gridCol w:w="1029"/>
        <w:gridCol w:w="561"/>
        <w:gridCol w:w="999"/>
        <w:gridCol w:w="591"/>
        <w:gridCol w:w="1029"/>
        <w:gridCol w:w="563"/>
        <w:gridCol w:w="795"/>
        <w:gridCol w:w="795"/>
        <w:gridCol w:w="788"/>
      </w:tblGrid>
      <w:tr>
        <w:trPr>
          <w:trHeight w:val="20" w:hRule="atLeast"/>
        </w:trPr>
        <w:tc>
          <w:tcPr>
            <w:tcW w:w="611" w:type="pct"/>
            <w:gridSpan w:val="2"/>
            <w:vMerge w:val="restart"/>
            <w:shd w:val="clear" w:color="auto" w:fill="CCD6FF"/>
            <w:tcMar>
              <w:top w:w="28" w:type="dxa"/>
              <w:left w:w="28" w:type="dxa"/>
              <w:bottom w:w="28" w:type="dxa"/>
              <w:right w:w="28" w:type="dxa"/>
            </w:tcMar>
            <w:vAlign w:val="center"/>
          </w:tcPr>
          <w:p>
            <w:pPr>
              <w:pStyle w:val="0"/>
              <w:rPr>
                <w:rFonts w:hint="default"/>
              </w:rPr>
            </w:pPr>
          </w:p>
        </w:tc>
        <w:tc>
          <w:tcPr>
            <w:tcW w:w="576" w:type="pct"/>
            <w:vMerge w:val="restart"/>
            <w:shd w:val="clear" w:color="auto" w:fill="CCD6FF"/>
            <w:tcMar>
              <w:top w:w="28" w:type="dxa"/>
              <w:left w:w="28" w:type="dxa"/>
              <w:bottom w:w="28" w:type="dxa"/>
              <w:right w:w="28" w:type="dxa"/>
            </w:tcMar>
            <w:vAlign w:val="center"/>
          </w:tcPr>
          <w:p>
            <w:pPr>
              <w:pStyle w:val="0"/>
              <w:jc w:val="center"/>
              <w:rPr>
                <w:rFonts w:hint="default"/>
              </w:rPr>
            </w:pPr>
            <w:r>
              <w:rPr>
                <w:rFonts w:hint="default"/>
                <w:b w:val="1"/>
              </w:rPr>
              <w:t>被保険者数（人）</w:t>
            </w:r>
          </w:p>
        </w:tc>
        <w:tc>
          <w:tcPr>
            <w:tcW w:w="848" w:type="pct"/>
            <w:gridSpan w:val="2"/>
            <w:shd w:val="clear" w:color="auto" w:fill="CCD6FF"/>
            <w:tcMar>
              <w:top w:w="28" w:type="dxa"/>
              <w:left w:w="28" w:type="dxa"/>
              <w:bottom w:w="28" w:type="dxa"/>
              <w:right w:w="28" w:type="dxa"/>
            </w:tcMar>
            <w:vAlign w:val="center"/>
          </w:tcPr>
          <w:p>
            <w:pPr>
              <w:pStyle w:val="0"/>
              <w:jc w:val="center"/>
              <w:rPr>
                <w:rFonts w:hint="default"/>
              </w:rPr>
            </w:pPr>
            <w:r>
              <w:rPr>
                <w:rFonts w:hint="default"/>
                <w:b w:val="1"/>
              </w:rPr>
              <w:t>要支援</w:t>
            </w:r>
            <w:r>
              <w:rPr>
                <w:rFonts w:hint="default"/>
                <w:b w:val="1"/>
              </w:rPr>
              <w:t>1-2</w:t>
            </w:r>
          </w:p>
        </w:tc>
        <w:tc>
          <w:tcPr>
            <w:tcW w:w="848" w:type="pct"/>
            <w:gridSpan w:val="2"/>
            <w:shd w:val="clear" w:color="auto" w:fill="CCD6FF"/>
            <w:tcMar>
              <w:top w:w="28" w:type="dxa"/>
              <w:left w:w="28" w:type="dxa"/>
              <w:bottom w:w="28" w:type="dxa"/>
              <w:right w:w="28" w:type="dxa"/>
            </w:tcMar>
            <w:vAlign w:val="center"/>
          </w:tcPr>
          <w:p>
            <w:pPr>
              <w:pStyle w:val="0"/>
              <w:jc w:val="center"/>
              <w:rPr>
                <w:rFonts w:hint="default"/>
              </w:rPr>
            </w:pPr>
            <w:r>
              <w:rPr>
                <w:rFonts w:hint="default"/>
                <w:b w:val="1"/>
              </w:rPr>
              <w:t>要介護</w:t>
            </w:r>
            <w:r>
              <w:rPr>
                <w:rFonts w:hint="default"/>
                <w:b w:val="1"/>
              </w:rPr>
              <w:t>1-2</w:t>
            </w:r>
          </w:p>
        </w:tc>
        <w:tc>
          <w:tcPr>
            <w:tcW w:w="849" w:type="pct"/>
            <w:gridSpan w:val="2"/>
            <w:shd w:val="clear" w:color="auto" w:fill="CCD6FF"/>
            <w:tcMar>
              <w:top w:w="28" w:type="dxa"/>
              <w:left w:w="28" w:type="dxa"/>
              <w:bottom w:w="28" w:type="dxa"/>
              <w:right w:w="28" w:type="dxa"/>
            </w:tcMar>
            <w:vAlign w:val="center"/>
          </w:tcPr>
          <w:p>
            <w:pPr>
              <w:pStyle w:val="0"/>
              <w:jc w:val="center"/>
              <w:rPr>
                <w:rFonts w:hint="default"/>
              </w:rPr>
            </w:pPr>
            <w:r>
              <w:rPr>
                <w:rFonts w:hint="default"/>
                <w:b w:val="1"/>
              </w:rPr>
              <w:t>要介護</w:t>
            </w:r>
            <w:r>
              <w:rPr>
                <w:rFonts w:hint="default"/>
                <w:b w:val="1"/>
              </w:rPr>
              <w:t>3-5</w:t>
            </w:r>
          </w:p>
        </w:tc>
        <w:tc>
          <w:tcPr>
            <w:tcW w:w="424"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八街市</w:t>
            </w:r>
          </w:p>
        </w:tc>
        <w:tc>
          <w:tcPr>
            <w:tcW w:w="424"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国</w:t>
            </w:r>
          </w:p>
        </w:tc>
        <w:tc>
          <w:tcPr>
            <w:tcW w:w="42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県</w:t>
            </w:r>
          </w:p>
        </w:tc>
      </w:tr>
      <w:tr>
        <w:trPr>
          <w:trHeight w:val="20" w:hRule="atLeast"/>
        </w:trPr>
        <w:tc>
          <w:tcPr>
            <w:tcW w:w="611" w:type="pct"/>
            <w:gridSpan w:val="2"/>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rPr>
                <w:rFonts w:hint="default"/>
              </w:rPr>
            </w:pPr>
          </w:p>
        </w:tc>
        <w:tc>
          <w:tcPr>
            <w:tcW w:w="576"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p>
        </w:tc>
        <w:tc>
          <w:tcPr>
            <w:tcW w:w="549"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0" w:type="dxa"/>
              <w:bottom w:w="28" w:type="dxa"/>
              <w:right w:w="0" w:type="dxa"/>
            </w:tcMar>
            <w:vAlign w:val="center"/>
          </w:tcPr>
          <w:p>
            <w:pPr>
              <w:pStyle w:val="0"/>
              <w:jc w:val="center"/>
              <w:rPr>
                <w:rFonts w:hint="default"/>
                <w:sz w:val="14"/>
              </w:rPr>
            </w:pPr>
            <w:r>
              <w:rPr>
                <w:rFonts w:hint="default"/>
                <w:b w:val="1"/>
                <w:sz w:val="14"/>
              </w:rPr>
              <w:t>認定者数（人）</w:t>
            </w:r>
          </w:p>
        </w:tc>
        <w:tc>
          <w:tcPr>
            <w:tcW w:w="299"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0" w:type="dxa"/>
              <w:bottom w:w="28" w:type="dxa"/>
              <w:right w:w="0" w:type="dxa"/>
            </w:tcMar>
            <w:vAlign w:val="center"/>
          </w:tcPr>
          <w:p>
            <w:pPr>
              <w:pStyle w:val="0"/>
              <w:jc w:val="center"/>
              <w:rPr>
                <w:rFonts w:hint="default"/>
                <w:sz w:val="14"/>
              </w:rPr>
            </w:pPr>
            <w:r>
              <w:rPr>
                <w:rFonts w:hint="default"/>
                <w:b w:val="1"/>
                <w:sz w:val="14"/>
              </w:rPr>
              <w:t>認定率</w:t>
            </w:r>
          </w:p>
        </w:tc>
        <w:tc>
          <w:tcPr>
            <w:tcW w:w="533"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0" w:type="dxa"/>
              <w:bottom w:w="28" w:type="dxa"/>
              <w:right w:w="0" w:type="dxa"/>
            </w:tcMar>
            <w:vAlign w:val="center"/>
          </w:tcPr>
          <w:p>
            <w:pPr>
              <w:pStyle w:val="0"/>
              <w:jc w:val="center"/>
              <w:rPr>
                <w:rFonts w:hint="default"/>
                <w:sz w:val="14"/>
              </w:rPr>
            </w:pPr>
            <w:r>
              <w:rPr>
                <w:rFonts w:hint="default"/>
                <w:b w:val="1"/>
                <w:sz w:val="14"/>
              </w:rPr>
              <w:t>認定者数（人）</w:t>
            </w:r>
          </w:p>
        </w:tc>
        <w:tc>
          <w:tcPr>
            <w:tcW w:w="315"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0" w:type="dxa"/>
              <w:bottom w:w="28" w:type="dxa"/>
              <w:right w:w="0" w:type="dxa"/>
            </w:tcMar>
            <w:vAlign w:val="center"/>
          </w:tcPr>
          <w:p>
            <w:pPr>
              <w:pStyle w:val="0"/>
              <w:jc w:val="center"/>
              <w:rPr>
                <w:rFonts w:hint="default"/>
                <w:sz w:val="14"/>
              </w:rPr>
            </w:pPr>
            <w:r>
              <w:rPr>
                <w:rFonts w:hint="default"/>
                <w:b w:val="1"/>
                <w:sz w:val="14"/>
              </w:rPr>
              <w:t>認定率</w:t>
            </w:r>
          </w:p>
        </w:tc>
        <w:tc>
          <w:tcPr>
            <w:tcW w:w="549"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0" w:type="dxa"/>
              <w:bottom w:w="28" w:type="dxa"/>
              <w:right w:w="0" w:type="dxa"/>
            </w:tcMar>
            <w:vAlign w:val="center"/>
          </w:tcPr>
          <w:p>
            <w:pPr>
              <w:pStyle w:val="0"/>
              <w:jc w:val="center"/>
              <w:rPr>
                <w:rFonts w:hint="default"/>
                <w:sz w:val="14"/>
              </w:rPr>
            </w:pPr>
            <w:r>
              <w:rPr>
                <w:rFonts w:hint="default"/>
                <w:b w:val="1"/>
                <w:sz w:val="14"/>
              </w:rPr>
              <w:t>認定者数（人）</w:t>
            </w:r>
          </w:p>
        </w:tc>
        <w:tc>
          <w:tcPr>
            <w:tcW w:w="300"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0" w:type="dxa"/>
              <w:bottom w:w="28" w:type="dxa"/>
              <w:right w:w="0" w:type="dxa"/>
            </w:tcMar>
            <w:vAlign w:val="center"/>
          </w:tcPr>
          <w:p>
            <w:pPr>
              <w:pStyle w:val="0"/>
              <w:jc w:val="center"/>
              <w:rPr>
                <w:rFonts w:hint="default"/>
                <w:sz w:val="14"/>
              </w:rPr>
            </w:pPr>
            <w:r>
              <w:rPr>
                <w:rFonts w:hint="default"/>
                <w:b w:val="1"/>
                <w:sz w:val="14"/>
              </w:rPr>
              <w:t>認定率</w:t>
            </w:r>
          </w:p>
        </w:tc>
        <w:tc>
          <w:tcPr>
            <w:tcW w:w="424"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認定率</w:t>
            </w:r>
          </w:p>
        </w:tc>
        <w:tc>
          <w:tcPr>
            <w:tcW w:w="424"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認定率</w:t>
            </w:r>
          </w:p>
        </w:tc>
        <w:tc>
          <w:tcPr>
            <w:tcW w:w="420"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認定率</w:t>
            </w:r>
          </w:p>
        </w:tc>
      </w:tr>
      <w:tr>
        <w:trPr>
          <w:trHeight w:val="20" w:hRule="atLeast"/>
        </w:trPr>
        <w:tc>
          <w:tcPr>
            <w:tcW w:w="5000" w:type="pct"/>
            <w:gridSpan w:val="12"/>
            <w:tcBorders>
              <w:top w:val="none" w:color="auto" w:sz="0" w:space="0"/>
              <w:left w:val="none" w:color="auto" w:sz="0" w:space="0"/>
              <w:bottom w:val="nil"/>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1</w:t>
            </w:r>
            <w:r>
              <w:rPr>
                <w:rFonts w:hint="default"/>
              </w:rPr>
              <w:t>号</w:t>
            </w:r>
          </w:p>
        </w:tc>
      </w:tr>
      <w:tr>
        <w:trPr>
          <w:trHeight w:val="20" w:hRule="atLeast"/>
        </w:trPr>
        <w:tc>
          <w:tcPr>
            <w:tcW w:w="121" w:type="pct"/>
            <w:vMerge w:val="restart"/>
            <w:tcBorders>
              <w:top w:val="nil"/>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49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65-74</w:t>
            </w:r>
            <w:r>
              <w:rPr>
                <w:rFonts w:hint="default"/>
              </w:rPr>
              <w:t>歳</w:t>
            </w:r>
          </w:p>
        </w:tc>
        <w:tc>
          <w:tcPr>
            <w:tcW w:w="576"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11,497</w:t>
            </w:r>
          </w:p>
        </w:tc>
        <w:tc>
          <w:tcPr>
            <w:tcW w:w="549"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123</w:t>
            </w:r>
          </w:p>
        </w:tc>
        <w:tc>
          <w:tcPr>
            <w:tcW w:w="299"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533"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179</w:t>
            </w:r>
          </w:p>
        </w:tc>
        <w:tc>
          <w:tcPr>
            <w:tcW w:w="315"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549"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156</w:t>
            </w:r>
          </w:p>
        </w:tc>
        <w:tc>
          <w:tcPr>
            <w:tcW w:w="30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42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2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c>
          <w:tcPr>
            <w:tcW w:w="42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121" w:type="pct"/>
            <w:vMerge w:val="continue"/>
            <w:shd w:val="clear" w:color="auto" w:fill="auto"/>
            <w:tcMar>
              <w:top w:w="28" w:type="dxa"/>
              <w:left w:w="28" w:type="dxa"/>
              <w:bottom w:w="28" w:type="dxa"/>
              <w:right w:w="28" w:type="dxa"/>
            </w:tcMar>
            <w:vAlign w:val="center"/>
          </w:tcPr>
          <w:p>
            <w:pPr>
              <w:pStyle w:val="0"/>
              <w:rPr>
                <w:rFonts w:hint="default"/>
              </w:rPr>
            </w:pPr>
          </w:p>
        </w:tc>
        <w:tc>
          <w:tcPr>
            <w:tcW w:w="490" w:type="pct"/>
            <w:shd w:val="clear" w:color="auto" w:fill="auto"/>
            <w:tcMar>
              <w:top w:w="28" w:type="dxa"/>
              <w:left w:w="28" w:type="dxa"/>
              <w:bottom w:w="28" w:type="dxa"/>
              <w:right w:w="28" w:type="dxa"/>
            </w:tcMar>
            <w:vAlign w:val="center"/>
          </w:tcPr>
          <w:p>
            <w:pPr>
              <w:pStyle w:val="0"/>
              <w:rPr>
                <w:rFonts w:hint="default"/>
              </w:rPr>
            </w:pPr>
            <w:r>
              <w:rPr>
                <w:rFonts w:hint="default"/>
              </w:rPr>
              <w:t>75</w:t>
            </w:r>
            <w:r>
              <w:rPr>
                <w:rFonts w:hint="default"/>
              </w:rPr>
              <w:t>歳以上</w:t>
            </w:r>
          </w:p>
        </w:tc>
        <w:tc>
          <w:tcPr>
            <w:tcW w:w="576" w:type="pct"/>
            <w:shd w:val="clear" w:color="auto" w:fill="auto"/>
            <w:tcMar>
              <w:top w:w="28" w:type="dxa"/>
              <w:left w:w="28" w:type="dxa"/>
              <w:bottom w:w="28" w:type="dxa"/>
              <w:right w:w="28" w:type="dxa"/>
            </w:tcMar>
            <w:vAlign w:val="center"/>
          </w:tcPr>
          <w:p>
            <w:pPr>
              <w:pStyle w:val="0"/>
              <w:jc w:val="right"/>
              <w:rPr>
                <w:rFonts w:hint="default"/>
              </w:rPr>
            </w:pPr>
            <w:r>
              <w:rPr>
                <w:rFonts w:hint="default"/>
              </w:rPr>
              <w:t>10,303</w:t>
            </w:r>
          </w:p>
        </w:tc>
        <w:tc>
          <w:tcPr>
            <w:tcW w:w="549" w:type="pct"/>
            <w:shd w:val="clear" w:color="auto" w:fill="auto"/>
            <w:tcMar>
              <w:top w:w="28" w:type="dxa"/>
              <w:left w:w="28" w:type="dxa"/>
              <w:bottom w:w="28" w:type="dxa"/>
              <w:right w:w="28" w:type="dxa"/>
            </w:tcMar>
            <w:vAlign w:val="center"/>
          </w:tcPr>
          <w:p>
            <w:pPr>
              <w:pStyle w:val="0"/>
              <w:jc w:val="right"/>
              <w:rPr>
                <w:rFonts w:hint="default"/>
              </w:rPr>
            </w:pPr>
            <w:r>
              <w:rPr>
                <w:rFonts w:hint="default"/>
              </w:rPr>
              <w:t>599</w:t>
            </w:r>
          </w:p>
        </w:tc>
        <w:tc>
          <w:tcPr>
            <w:tcW w:w="299" w:type="pct"/>
            <w:shd w:val="clear" w:color="auto" w:fill="auto"/>
            <w:tcMar>
              <w:top w:w="28" w:type="dxa"/>
              <w:left w:w="28" w:type="dxa"/>
              <w:bottom w:w="28" w:type="dxa"/>
              <w:right w:w="28" w:type="dxa"/>
            </w:tcMar>
            <w:vAlign w:val="center"/>
          </w:tcPr>
          <w:p>
            <w:pPr>
              <w:pStyle w:val="0"/>
              <w:jc w:val="right"/>
              <w:rPr>
                <w:rFonts w:hint="default"/>
              </w:rPr>
            </w:pPr>
            <w:r>
              <w:rPr>
                <w:rFonts w:hint="default"/>
              </w:rPr>
              <w:t>5.8%</w:t>
            </w:r>
          </w:p>
        </w:tc>
        <w:tc>
          <w:tcPr>
            <w:tcW w:w="533" w:type="pct"/>
            <w:shd w:val="clear" w:color="auto" w:fill="auto"/>
            <w:tcMar>
              <w:top w:w="28" w:type="dxa"/>
              <w:left w:w="28" w:type="dxa"/>
              <w:bottom w:w="28" w:type="dxa"/>
              <w:right w:w="28" w:type="dxa"/>
            </w:tcMar>
            <w:vAlign w:val="center"/>
          </w:tcPr>
          <w:p>
            <w:pPr>
              <w:pStyle w:val="0"/>
              <w:jc w:val="right"/>
              <w:rPr>
                <w:rFonts w:hint="default"/>
              </w:rPr>
            </w:pPr>
            <w:r>
              <w:rPr>
                <w:rFonts w:hint="default"/>
              </w:rPr>
              <w:t>954</w:t>
            </w:r>
          </w:p>
        </w:tc>
        <w:tc>
          <w:tcPr>
            <w:tcW w:w="315" w:type="pct"/>
            <w:shd w:val="clear" w:color="auto" w:fill="auto"/>
            <w:tcMar>
              <w:top w:w="28" w:type="dxa"/>
              <w:left w:w="28" w:type="dxa"/>
              <w:bottom w:w="28" w:type="dxa"/>
              <w:right w:w="28" w:type="dxa"/>
            </w:tcMar>
            <w:vAlign w:val="center"/>
          </w:tcPr>
          <w:p>
            <w:pPr>
              <w:pStyle w:val="0"/>
              <w:jc w:val="right"/>
              <w:rPr>
                <w:rFonts w:hint="default"/>
              </w:rPr>
            </w:pPr>
            <w:r>
              <w:rPr>
                <w:rFonts w:hint="default"/>
              </w:rPr>
              <w:t>9.3%</w:t>
            </w:r>
          </w:p>
        </w:tc>
        <w:tc>
          <w:tcPr>
            <w:tcW w:w="549" w:type="pct"/>
            <w:shd w:val="clear" w:color="auto" w:fill="auto"/>
            <w:tcMar>
              <w:top w:w="28" w:type="dxa"/>
              <w:left w:w="28" w:type="dxa"/>
              <w:bottom w:w="28" w:type="dxa"/>
              <w:right w:w="28" w:type="dxa"/>
            </w:tcMar>
            <w:vAlign w:val="center"/>
          </w:tcPr>
          <w:p>
            <w:pPr>
              <w:pStyle w:val="0"/>
              <w:jc w:val="right"/>
              <w:rPr>
                <w:rFonts w:hint="default"/>
              </w:rPr>
            </w:pPr>
            <w:r>
              <w:rPr>
                <w:rFonts w:hint="default"/>
              </w:rPr>
              <w:t>1,037</w:t>
            </w:r>
          </w:p>
        </w:tc>
        <w:tc>
          <w:tcPr>
            <w:tcW w:w="300"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c>
          <w:tcPr>
            <w:tcW w:w="424" w:type="pct"/>
            <w:shd w:val="clear" w:color="auto" w:fill="auto"/>
            <w:tcMar>
              <w:top w:w="28" w:type="dxa"/>
              <w:left w:w="28" w:type="dxa"/>
              <w:bottom w:w="28" w:type="dxa"/>
              <w:right w:w="28" w:type="dxa"/>
            </w:tcMar>
            <w:vAlign w:val="center"/>
          </w:tcPr>
          <w:p>
            <w:pPr>
              <w:pStyle w:val="0"/>
              <w:jc w:val="right"/>
              <w:rPr>
                <w:rFonts w:hint="default"/>
              </w:rPr>
            </w:pPr>
            <w:r>
              <w:rPr>
                <w:rFonts w:hint="default"/>
              </w:rPr>
              <w:t>25.1%</w:t>
            </w:r>
          </w:p>
        </w:tc>
        <w:tc>
          <w:tcPr>
            <w:tcW w:w="424" w:type="pct"/>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c>
          <w:tcPr>
            <w:tcW w:w="420" w:type="pct"/>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121"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490"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計</w:t>
            </w:r>
          </w:p>
        </w:tc>
        <w:tc>
          <w:tcPr>
            <w:tcW w:w="576"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21,800</w:t>
            </w:r>
          </w:p>
        </w:tc>
        <w:tc>
          <w:tcPr>
            <w:tcW w:w="549"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722</w:t>
            </w:r>
          </w:p>
        </w:tc>
        <w:tc>
          <w:tcPr>
            <w:tcW w:w="299"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3.3%</w:t>
            </w:r>
          </w:p>
        </w:tc>
        <w:tc>
          <w:tcPr>
            <w:tcW w:w="533"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1,133</w:t>
            </w:r>
          </w:p>
        </w:tc>
        <w:tc>
          <w:tcPr>
            <w:tcW w:w="315"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5.2%</w:t>
            </w:r>
          </w:p>
        </w:tc>
        <w:tc>
          <w:tcPr>
            <w:tcW w:w="549"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1,193</w:t>
            </w:r>
          </w:p>
        </w:tc>
        <w:tc>
          <w:tcPr>
            <w:tcW w:w="300"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424"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14.0%</w:t>
            </w:r>
          </w:p>
        </w:tc>
        <w:tc>
          <w:tcPr>
            <w:tcW w:w="424"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18.7%</w:t>
            </w:r>
          </w:p>
        </w:tc>
        <w:tc>
          <w:tcPr>
            <w:tcW w:w="420"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17.6%</w:t>
            </w:r>
          </w:p>
        </w:tc>
      </w:tr>
      <w:tr>
        <w:trPr>
          <w:trHeight w:val="25" w:hRule="atLeast"/>
        </w:trPr>
        <w:tc>
          <w:tcPr>
            <w:tcW w:w="5000" w:type="pct"/>
            <w:gridSpan w:val="12"/>
            <w:tcBorders>
              <w:top w:val="none" w:color="auto" w:sz="0" w:space="0"/>
              <w:left w:val="none" w:color="auto" w:sz="0" w:space="0"/>
              <w:bottom w:val="nil"/>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2</w:t>
            </w:r>
            <w:r>
              <w:rPr>
                <w:rFonts w:hint="default"/>
              </w:rPr>
              <w:t>号</w:t>
            </w:r>
          </w:p>
        </w:tc>
      </w:tr>
      <w:tr>
        <w:trPr>
          <w:trHeight w:val="20" w:hRule="atLeast"/>
        </w:trPr>
        <w:tc>
          <w:tcPr>
            <w:tcW w:w="121" w:type="pct"/>
            <w:tcBorders>
              <w:top w:val="nil"/>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49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40-64</w:t>
            </w:r>
            <w:r>
              <w:rPr>
                <w:rFonts w:hint="default"/>
              </w:rPr>
              <w:t>歳</w:t>
            </w:r>
          </w:p>
        </w:tc>
        <w:tc>
          <w:tcPr>
            <w:tcW w:w="576"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23,755</w:t>
            </w:r>
          </w:p>
        </w:tc>
        <w:tc>
          <w:tcPr>
            <w:tcW w:w="549"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299"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533"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315"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549"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30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42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42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c>
          <w:tcPr>
            <w:tcW w:w="42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r>
      <w:tr>
        <w:trPr>
          <w:trHeight w:val="20" w:hRule="atLeast"/>
        </w:trPr>
        <w:tc>
          <w:tcPr>
            <w:tcW w:w="611" w:type="pct"/>
            <w:gridSpan w:val="2"/>
            <w:shd w:val="clear" w:color="auto" w:fill="auto"/>
            <w:tcMar>
              <w:top w:w="28" w:type="dxa"/>
              <w:left w:w="28" w:type="dxa"/>
              <w:bottom w:w="28" w:type="dxa"/>
              <w:right w:w="28" w:type="dxa"/>
            </w:tcMar>
            <w:vAlign w:val="center"/>
          </w:tcPr>
          <w:p>
            <w:pPr>
              <w:pStyle w:val="0"/>
              <w:rPr>
                <w:rFonts w:hint="default"/>
              </w:rPr>
            </w:pPr>
            <w:r>
              <w:rPr>
                <w:rFonts w:hint="default"/>
              </w:rPr>
              <w:t>総計</w:t>
            </w:r>
          </w:p>
        </w:tc>
        <w:tc>
          <w:tcPr>
            <w:tcW w:w="576" w:type="pct"/>
            <w:shd w:val="clear" w:color="auto" w:fill="auto"/>
            <w:tcMar>
              <w:top w:w="28" w:type="dxa"/>
              <w:left w:w="28" w:type="dxa"/>
              <w:bottom w:w="28" w:type="dxa"/>
              <w:right w:w="28" w:type="dxa"/>
            </w:tcMar>
            <w:vAlign w:val="center"/>
          </w:tcPr>
          <w:p>
            <w:pPr>
              <w:pStyle w:val="0"/>
              <w:jc w:val="right"/>
              <w:rPr>
                <w:rFonts w:hint="default"/>
              </w:rPr>
            </w:pPr>
            <w:r>
              <w:rPr>
                <w:rFonts w:hint="default"/>
              </w:rPr>
              <w:t>45,555</w:t>
            </w:r>
          </w:p>
        </w:tc>
        <w:tc>
          <w:tcPr>
            <w:tcW w:w="549" w:type="pct"/>
            <w:shd w:val="clear" w:color="auto" w:fill="auto"/>
            <w:tcMar>
              <w:top w:w="28" w:type="dxa"/>
              <w:left w:w="28" w:type="dxa"/>
              <w:bottom w:w="28" w:type="dxa"/>
              <w:right w:w="28" w:type="dxa"/>
            </w:tcMar>
            <w:vAlign w:val="center"/>
          </w:tcPr>
          <w:p>
            <w:pPr>
              <w:pStyle w:val="0"/>
              <w:jc w:val="right"/>
              <w:rPr>
                <w:rFonts w:hint="default"/>
              </w:rPr>
            </w:pPr>
            <w:r>
              <w:rPr>
                <w:rFonts w:hint="default"/>
              </w:rPr>
              <w:t>745</w:t>
            </w:r>
          </w:p>
        </w:tc>
        <w:tc>
          <w:tcPr>
            <w:tcW w:w="299"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533" w:type="pct"/>
            <w:shd w:val="clear" w:color="auto" w:fill="auto"/>
            <w:tcMar>
              <w:top w:w="28" w:type="dxa"/>
              <w:left w:w="28" w:type="dxa"/>
              <w:bottom w:w="28" w:type="dxa"/>
              <w:right w:w="28" w:type="dxa"/>
            </w:tcMar>
            <w:vAlign w:val="center"/>
          </w:tcPr>
          <w:p>
            <w:pPr>
              <w:pStyle w:val="0"/>
              <w:jc w:val="right"/>
              <w:rPr>
                <w:rFonts w:hint="default"/>
              </w:rPr>
            </w:pPr>
            <w:r>
              <w:rPr>
                <w:rFonts w:hint="default"/>
              </w:rPr>
              <w:t>1,183</w:t>
            </w:r>
          </w:p>
        </w:tc>
        <w:tc>
          <w:tcPr>
            <w:tcW w:w="315"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549" w:type="pct"/>
            <w:shd w:val="clear" w:color="auto" w:fill="auto"/>
            <w:tcMar>
              <w:top w:w="28" w:type="dxa"/>
              <w:left w:w="28" w:type="dxa"/>
              <w:bottom w:w="28" w:type="dxa"/>
              <w:right w:w="28" w:type="dxa"/>
            </w:tcMar>
            <w:vAlign w:val="center"/>
          </w:tcPr>
          <w:p>
            <w:pPr>
              <w:pStyle w:val="0"/>
              <w:jc w:val="right"/>
              <w:rPr>
                <w:rFonts w:hint="default"/>
              </w:rPr>
            </w:pPr>
            <w:r>
              <w:rPr>
                <w:rFonts w:hint="default"/>
              </w:rPr>
              <w:t>1,243</w:t>
            </w:r>
          </w:p>
        </w:tc>
        <w:tc>
          <w:tcPr>
            <w:tcW w:w="300"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c>
          <w:tcPr>
            <w:tcW w:w="424" w:type="pct"/>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c>
          <w:tcPr>
            <w:tcW w:w="424" w:type="pct"/>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c>
          <w:tcPr>
            <w:tcW w:w="420" w:type="pct"/>
            <w:shd w:val="clear" w:color="auto" w:fill="EFEFEF"/>
            <w:tcMar>
              <w:top w:w="28" w:type="dxa"/>
              <w:left w:w="28" w:type="dxa"/>
              <w:bottom w:w="28" w:type="dxa"/>
              <w:right w:w="28" w:type="dxa"/>
            </w:tcMar>
            <w:vAlign w:val="center"/>
          </w:tcPr>
          <w:p>
            <w:pPr>
              <w:pStyle w:val="0"/>
              <w:jc w:val="right"/>
              <w:rPr>
                <w:rFonts w:hint="default"/>
              </w:rPr>
            </w:pPr>
            <w:r>
              <w:rPr>
                <w:rFonts w:hint="default"/>
              </w:rPr>
              <w:t>-</w:t>
            </w:r>
          </w:p>
        </w:tc>
      </w:tr>
    </w:tbl>
    <w:p>
      <w:pPr>
        <w:pStyle w:val="44"/>
        <w:rPr>
          <w:rFonts w:hint="default"/>
        </w:rPr>
      </w:pPr>
      <w:r>
        <w:rPr>
          <w:rFonts w:hint="default"/>
        </w:rPr>
        <w:t>【出典】住民基本台帳</w:t>
      </w:r>
      <w:r>
        <w:rPr>
          <w:rFonts w:hint="eastAsia"/>
        </w:rPr>
        <w:t xml:space="preserve"> </w:t>
      </w:r>
      <w:r>
        <w:rPr>
          <w:rFonts w:hint="default"/>
        </w:rPr>
        <w:t>令和</w:t>
      </w:r>
      <w:r>
        <w:rPr>
          <w:rFonts w:hint="eastAsia"/>
        </w:rPr>
        <w:t>4</w:t>
      </w:r>
      <w:r>
        <w:rPr>
          <w:rFonts w:hint="default"/>
        </w:rPr>
        <w:t>年</w:t>
      </w:r>
      <w:r>
        <w:rPr>
          <w:rFonts w:hint="eastAsia"/>
        </w:rPr>
        <w:t>度</w:t>
      </w:r>
    </w:p>
    <w:p>
      <w:pPr>
        <w:pStyle w:val="44"/>
        <w:rPr>
          <w:rFonts w:hint="default"/>
        </w:rPr>
      </w:pP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4"/>
        <w:rPr>
          <w:rFonts w:hint="default"/>
        </w:rPr>
      </w:pPr>
      <w:r>
        <w:rPr>
          <w:rFonts w:hint="default"/>
        </w:rPr>
        <w:t>KDB</w:t>
      </w:r>
      <w:r>
        <w:rPr>
          <w:rFonts w:hint="default"/>
        </w:rPr>
        <w:t>帳票</w:t>
      </w:r>
      <w:r>
        <w:rPr>
          <w:rFonts w:hint="default"/>
        </w:rPr>
        <w:t xml:space="preserve"> S24_001-</w:t>
      </w:r>
      <w:r>
        <w:rPr>
          <w:rFonts w:hint="default"/>
        </w:rPr>
        <w:t>要介護（</w:t>
      </w:r>
      <w:r>
        <w:rPr>
          <w:rFonts w:hint="eastAsia"/>
        </w:rPr>
        <w:t>支援</w:t>
      </w:r>
      <w:r>
        <w:rPr>
          <w:rFonts w:hint="default"/>
        </w:rPr>
        <w:t>）者認定状況</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bookmarkStart w:id="35" w:name="_687zqap31xos"/>
      <w:bookmarkEnd w:id="35"/>
      <w:r>
        <w:rPr>
          <w:rFonts w:hint="eastAsia"/>
        </w:rPr>
        <w:t>※認定率は、</w:t>
      </w:r>
      <w:r>
        <w:rPr>
          <w:rFonts w:hint="default"/>
        </w:rPr>
        <w:t>KDB</w:t>
      </w:r>
      <w:r>
        <w:rPr>
          <w:rFonts w:hint="default"/>
        </w:rPr>
        <w:t>帳票における年度毎の</w:t>
      </w:r>
      <w:r>
        <w:rPr>
          <w:rFonts w:hint="eastAsia"/>
        </w:rPr>
        <w:t>介護認定者</w:t>
      </w:r>
      <w:r>
        <w:rPr>
          <w:rFonts w:hint="default"/>
        </w:rPr>
        <w:t>数を住民基本台帳における年毎の人口で割って算出している</w:t>
      </w:r>
    </w:p>
    <w:p>
      <w:pPr>
        <w:pStyle w:val="0"/>
        <w:rPr>
          <w:rFonts w:hint="default"/>
        </w:rPr>
      </w:pPr>
    </w:p>
    <w:p>
      <w:pPr>
        <w:pStyle w:val="4"/>
        <w:rPr>
          <w:rFonts w:hint="default"/>
        </w:rPr>
      </w:pPr>
      <w:r>
        <w:rPr>
          <w:rFonts w:hint="default"/>
        </w:rPr>
        <w:t>介護給付費</w:t>
      </w:r>
    </w:p>
    <w:p>
      <w:pPr>
        <w:pStyle w:val="39"/>
        <w:ind w:firstLine="200"/>
        <w:rPr>
          <w:rFonts w:hint="default"/>
        </w:rPr>
      </w:pPr>
      <w:r>
        <w:rPr>
          <w:rFonts w:hint="eastAsia"/>
        </w:rPr>
        <w:t>介護レセプト一件当たりの介護給付費（</w:t>
      </w:r>
      <w:r>
        <w:rPr>
          <w:rFonts w:hint="eastAsia"/>
        </w:rPr>
        <w:fldChar w:fldCharType="begin"/>
      </w:r>
      <w:r>
        <w:rPr>
          <w:rFonts w:hint="eastAsia"/>
        </w:rPr>
        <w:instrText xml:space="preserve">REF _Ref122520119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6</w:t>
      </w:r>
      <w:r>
        <w:rPr>
          <w:rFonts w:hint="eastAsia"/>
        </w:rPr>
        <w:t>-</w:t>
      </w:r>
      <w:r>
        <w:rPr>
          <w:rFonts w:hint="default"/>
        </w:rPr>
        <w:t>2</w:t>
      </w:r>
      <w:r>
        <w:rPr>
          <w:rFonts w:hint="eastAsia"/>
        </w:rPr>
        <w:fldChar w:fldCharType="end"/>
      </w:r>
      <w:r>
        <w:rPr>
          <w:rFonts w:hint="default"/>
        </w:rPr>
        <w:t>）をみると、居宅サービス・施設サービスいずれの給付費も県より多くなっている。</w:t>
      </w:r>
    </w:p>
    <w:p>
      <w:pPr>
        <w:pStyle w:val="39"/>
        <w:ind w:firstLine="200"/>
        <w:rPr>
          <w:rFonts w:hint="default"/>
        </w:rPr>
      </w:pPr>
    </w:p>
    <w:p>
      <w:pPr>
        <w:pStyle w:val="38"/>
        <w:rPr>
          <w:rFonts w:hint="default"/>
        </w:rPr>
      </w:pPr>
      <w:bookmarkStart w:id="36" w:name="_Ref122520119"/>
      <w:bookmarkStart w:id="37" w:name="_Toc12493681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36"/>
      <w:r>
        <w:rPr>
          <w:rFonts w:hint="default"/>
        </w:rPr>
        <w:t>：</w:t>
      </w:r>
      <w:r>
        <w:rPr>
          <w:rFonts w:hint="eastAsia"/>
        </w:rPr>
        <w:t>介護レセプト</w:t>
      </w:r>
      <w:r>
        <w:rPr>
          <w:rFonts w:hint="default"/>
        </w:rPr>
        <w:t>一件当たり</w:t>
      </w:r>
      <w:r>
        <w:rPr>
          <w:rFonts w:hint="eastAsia"/>
        </w:rPr>
        <w:t>の</w:t>
      </w:r>
      <w:r>
        <w:rPr>
          <w:rFonts w:hint="default"/>
        </w:rPr>
        <w:t>介護給付費</w:t>
      </w:r>
      <w:bookmarkEnd w:id="37"/>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547"/>
        <w:gridCol w:w="1631"/>
        <w:gridCol w:w="1733"/>
        <w:gridCol w:w="1733"/>
        <w:gridCol w:w="1731"/>
      </w:tblGrid>
      <w:tr>
        <w:trPr>
          <w:trHeight w:val="32" w:hRule="atLeast"/>
        </w:trPr>
        <w:tc>
          <w:tcPr>
            <w:tcW w:w="1358" w:type="pct"/>
            <w:shd w:val="clear" w:color="auto" w:fill="CCD6FF"/>
            <w:tcMar>
              <w:top w:w="28" w:type="dxa"/>
              <w:left w:w="28" w:type="dxa"/>
              <w:bottom w:w="28" w:type="dxa"/>
              <w:right w:w="28" w:type="dxa"/>
            </w:tcMar>
            <w:vAlign w:val="center"/>
          </w:tcPr>
          <w:p>
            <w:pPr>
              <w:pStyle w:val="0"/>
              <w:jc w:val="center"/>
              <w:rPr>
                <w:rFonts w:hint="default"/>
              </w:rPr>
            </w:pPr>
          </w:p>
        </w:tc>
        <w:tc>
          <w:tcPr>
            <w:tcW w:w="87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八街市</w:t>
            </w:r>
          </w:p>
        </w:tc>
        <w:tc>
          <w:tcPr>
            <w:tcW w:w="924"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国</w:t>
            </w:r>
          </w:p>
        </w:tc>
        <w:tc>
          <w:tcPr>
            <w:tcW w:w="924"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県</w:t>
            </w:r>
          </w:p>
        </w:tc>
        <w:tc>
          <w:tcPr>
            <w:tcW w:w="923"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同規模</w:t>
            </w:r>
          </w:p>
        </w:tc>
      </w:tr>
      <w:tr>
        <w:trPr>
          <w:trHeight w:val="32" w:hRule="atLeast"/>
        </w:trPr>
        <w:tc>
          <w:tcPr>
            <w:tcW w:w="1358" w:type="pct"/>
            <w:tcMar>
              <w:top w:w="28" w:type="dxa"/>
              <w:left w:w="28" w:type="dxa"/>
              <w:bottom w:w="28" w:type="dxa"/>
              <w:right w:w="28" w:type="dxa"/>
            </w:tcMar>
            <w:vAlign w:val="center"/>
          </w:tcPr>
          <w:p>
            <w:pPr>
              <w:pStyle w:val="0"/>
              <w:rPr>
                <w:rFonts w:hint="default"/>
              </w:rPr>
            </w:pPr>
            <w:r>
              <w:rPr>
                <w:rFonts w:hint="default"/>
              </w:rPr>
              <w:t>計</w:t>
            </w:r>
            <w:r>
              <w:rPr>
                <w:rFonts w:hint="default"/>
              </w:rPr>
              <w:t>_</w:t>
            </w:r>
            <w:r>
              <w:rPr>
                <w:rFonts w:hint="default"/>
              </w:rPr>
              <w:t>一件当たり給付費（円）</w:t>
            </w:r>
          </w:p>
        </w:tc>
        <w:tc>
          <w:tcPr>
            <w:tcW w:w="870" w:type="pct"/>
            <w:tcMar>
              <w:top w:w="28" w:type="dxa"/>
              <w:left w:w="28" w:type="dxa"/>
              <w:bottom w:w="28" w:type="dxa"/>
              <w:right w:w="28" w:type="dxa"/>
            </w:tcMar>
            <w:vAlign w:val="center"/>
          </w:tcPr>
          <w:p>
            <w:pPr>
              <w:pStyle w:val="0"/>
              <w:jc w:val="right"/>
              <w:rPr>
                <w:rFonts w:hint="default"/>
              </w:rPr>
            </w:pPr>
            <w:r>
              <w:rPr>
                <w:rFonts w:hint="default"/>
              </w:rPr>
              <w:t>67,157</w:t>
            </w:r>
          </w:p>
        </w:tc>
        <w:tc>
          <w:tcPr>
            <w:tcW w:w="924" w:type="pct"/>
            <w:tcMar>
              <w:top w:w="28" w:type="dxa"/>
              <w:left w:w="28" w:type="dxa"/>
              <w:bottom w:w="28" w:type="dxa"/>
              <w:right w:w="28" w:type="dxa"/>
            </w:tcMar>
            <w:vAlign w:val="center"/>
          </w:tcPr>
          <w:p>
            <w:pPr>
              <w:pStyle w:val="0"/>
              <w:jc w:val="right"/>
              <w:rPr>
                <w:rFonts w:hint="default"/>
              </w:rPr>
            </w:pPr>
            <w:r>
              <w:rPr>
                <w:rFonts w:hint="default"/>
              </w:rPr>
              <w:t>59,662</w:t>
            </w:r>
          </w:p>
        </w:tc>
        <w:tc>
          <w:tcPr>
            <w:tcW w:w="924" w:type="pct"/>
            <w:tcMar>
              <w:top w:w="28" w:type="dxa"/>
              <w:left w:w="28" w:type="dxa"/>
              <w:bottom w:w="28" w:type="dxa"/>
              <w:right w:w="28" w:type="dxa"/>
            </w:tcMar>
            <w:vAlign w:val="center"/>
          </w:tcPr>
          <w:p>
            <w:pPr>
              <w:pStyle w:val="0"/>
              <w:jc w:val="right"/>
              <w:rPr>
                <w:rFonts w:hint="default"/>
              </w:rPr>
            </w:pPr>
            <w:r>
              <w:rPr>
                <w:rFonts w:hint="default"/>
              </w:rPr>
              <w:t>57,498</w:t>
            </w:r>
          </w:p>
        </w:tc>
        <w:tc>
          <w:tcPr>
            <w:tcW w:w="923" w:type="pct"/>
            <w:tcMar>
              <w:top w:w="28" w:type="dxa"/>
              <w:left w:w="28" w:type="dxa"/>
              <w:bottom w:w="28" w:type="dxa"/>
              <w:right w:w="28" w:type="dxa"/>
            </w:tcMar>
            <w:vAlign w:val="center"/>
          </w:tcPr>
          <w:p>
            <w:pPr>
              <w:pStyle w:val="0"/>
              <w:jc w:val="right"/>
              <w:rPr>
                <w:rFonts w:hint="default"/>
              </w:rPr>
            </w:pPr>
            <w:r>
              <w:rPr>
                <w:rFonts w:hint="default"/>
              </w:rPr>
              <w:t>63,298</w:t>
            </w:r>
          </w:p>
        </w:tc>
      </w:tr>
      <w:tr>
        <w:trPr>
          <w:trHeight w:val="32" w:hRule="atLeast"/>
        </w:trPr>
        <w:tc>
          <w:tcPr>
            <w:tcW w:w="1358" w:type="pct"/>
            <w:tcMar>
              <w:top w:w="28" w:type="dxa"/>
              <w:left w:w="28" w:type="dxa"/>
              <w:bottom w:w="28" w:type="dxa"/>
              <w:right w:w="28" w:type="dxa"/>
            </w:tcMar>
            <w:vAlign w:val="center"/>
          </w:tcPr>
          <w:p>
            <w:pPr>
              <w:pStyle w:val="0"/>
              <w:rPr>
                <w:rFonts w:hint="default"/>
              </w:rPr>
            </w:pPr>
            <w:r>
              <w:rPr>
                <w:rFonts w:hint="default"/>
              </w:rPr>
              <w:t>（居宅）一件当たり給付費（円）</w:t>
            </w:r>
          </w:p>
        </w:tc>
        <w:tc>
          <w:tcPr>
            <w:tcW w:w="870" w:type="pct"/>
            <w:tcMar>
              <w:top w:w="28" w:type="dxa"/>
              <w:left w:w="28" w:type="dxa"/>
              <w:bottom w:w="28" w:type="dxa"/>
              <w:right w:w="28" w:type="dxa"/>
            </w:tcMar>
            <w:vAlign w:val="center"/>
          </w:tcPr>
          <w:p>
            <w:pPr>
              <w:pStyle w:val="0"/>
              <w:jc w:val="right"/>
              <w:rPr>
                <w:rFonts w:hint="default"/>
              </w:rPr>
            </w:pPr>
            <w:r>
              <w:rPr>
                <w:rFonts w:hint="default"/>
              </w:rPr>
              <w:t>40,869</w:t>
            </w:r>
          </w:p>
        </w:tc>
        <w:tc>
          <w:tcPr>
            <w:tcW w:w="924" w:type="pct"/>
            <w:tcMar>
              <w:top w:w="28" w:type="dxa"/>
              <w:left w:w="28" w:type="dxa"/>
              <w:bottom w:w="28" w:type="dxa"/>
              <w:right w:w="28" w:type="dxa"/>
            </w:tcMar>
            <w:vAlign w:val="center"/>
          </w:tcPr>
          <w:p>
            <w:pPr>
              <w:pStyle w:val="0"/>
              <w:jc w:val="right"/>
              <w:rPr>
                <w:rFonts w:hint="default"/>
              </w:rPr>
            </w:pPr>
            <w:r>
              <w:rPr>
                <w:rFonts w:hint="default"/>
              </w:rPr>
              <w:t>41,272</w:t>
            </w:r>
          </w:p>
        </w:tc>
        <w:tc>
          <w:tcPr>
            <w:tcW w:w="924" w:type="pct"/>
            <w:tcMar>
              <w:top w:w="28" w:type="dxa"/>
              <w:left w:w="28" w:type="dxa"/>
              <w:bottom w:w="28" w:type="dxa"/>
              <w:right w:w="28" w:type="dxa"/>
            </w:tcMar>
            <w:vAlign w:val="center"/>
          </w:tcPr>
          <w:p>
            <w:pPr>
              <w:pStyle w:val="0"/>
              <w:jc w:val="right"/>
              <w:rPr>
                <w:rFonts w:hint="default"/>
              </w:rPr>
            </w:pPr>
            <w:r>
              <w:rPr>
                <w:rFonts w:hint="default"/>
              </w:rPr>
              <w:t>39,827</w:t>
            </w:r>
          </w:p>
        </w:tc>
        <w:tc>
          <w:tcPr>
            <w:tcW w:w="923" w:type="pct"/>
            <w:tcMar>
              <w:top w:w="28" w:type="dxa"/>
              <w:left w:w="28" w:type="dxa"/>
              <w:bottom w:w="28" w:type="dxa"/>
              <w:right w:w="28" w:type="dxa"/>
            </w:tcMar>
            <w:vAlign w:val="center"/>
          </w:tcPr>
          <w:p>
            <w:pPr>
              <w:pStyle w:val="0"/>
              <w:jc w:val="right"/>
              <w:rPr>
                <w:rFonts w:hint="default"/>
              </w:rPr>
            </w:pPr>
            <w:r>
              <w:rPr>
                <w:rFonts w:hint="default"/>
              </w:rPr>
              <w:t>41,822</w:t>
            </w:r>
          </w:p>
        </w:tc>
      </w:tr>
      <w:tr>
        <w:trPr>
          <w:trHeight w:val="32" w:hRule="atLeast"/>
        </w:trPr>
        <w:tc>
          <w:tcPr>
            <w:tcW w:w="1358" w:type="pct"/>
            <w:tcMar>
              <w:top w:w="28" w:type="dxa"/>
              <w:left w:w="28" w:type="dxa"/>
              <w:bottom w:w="28" w:type="dxa"/>
              <w:right w:w="28" w:type="dxa"/>
            </w:tcMar>
            <w:vAlign w:val="center"/>
          </w:tcPr>
          <w:p>
            <w:pPr>
              <w:pStyle w:val="0"/>
              <w:rPr>
                <w:rFonts w:hint="default"/>
              </w:rPr>
            </w:pPr>
            <w:r>
              <w:rPr>
                <w:rFonts w:hint="default"/>
              </w:rPr>
              <w:t>（施設）一件当たり給付費（円）</w:t>
            </w:r>
          </w:p>
        </w:tc>
        <w:tc>
          <w:tcPr>
            <w:tcW w:w="870" w:type="pct"/>
            <w:tcMar>
              <w:top w:w="28" w:type="dxa"/>
              <w:left w:w="28" w:type="dxa"/>
              <w:bottom w:w="28" w:type="dxa"/>
              <w:right w:w="28" w:type="dxa"/>
            </w:tcMar>
            <w:vAlign w:val="center"/>
          </w:tcPr>
          <w:p>
            <w:pPr>
              <w:pStyle w:val="0"/>
              <w:jc w:val="right"/>
              <w:rPr>
                <w:rFonts w:hint="default"/>
              </w:rPr>
            </w:pPr>
            <w:r>
              <w:rPr>
                <w:rFonts w:hint="default"/>
              </w:rPr>
              <w:t>296,005</w:t>
            </w:r>
          </w:p>
        </w:tc>
        <w:tc>
          <w:tcPr>
            <w:tcW w:w="924" w:type="pct"/>
            <w:tcMar>
              <w:top w:w="28" w:type="dxa"/>
              <w:left w:w="28" w:type="dxa"/>
              <w:bottom w:w="28" w:type="dxa"/>
              <w:right w:w="28" w:type="dxa"/>
            </w:tcMar>
            <w:vAlign w:val="center"/>
          </w:tcPr>
          <w:p>
            <w:pPr>
              <w:pStyle w:val="0"/>
              <w:jc w:val="right"/>
              <w:rPr>
                <w:rFonts w:hint="default"/>
              </w:rPr>
            </w:pPr>
            <w:r>
              <w:rPr>
                <w:rFonts w:hint="default"/>
              </w:rPr>
              <w:t>296,364</w:t>
            </w:r>
          </w:p>
        </w:tc>
        <w:tc>
          <w:tcPr>
            <w:tcW w:w="924" w:type="pct"/>
            <w:tcMar>
              <w:top w:w="28" w:type="dxa"/>
              <w:left w:w="28" w:type="dxa"/>
              <w:bottom w:w="28" w:type="dxa"/>
              <w:right w:w="28" w:type="dxa"/>
            </w:tcMar>
            <w:vAlign w:val="center"/>
          </w:tcPr>
          <w:p>
            <w:pPr>
              <w:pStyle w:val="0"/>
              <w:jc w:val="right"/>
              <w:rPr>
                <w:rFonts w:hint="default"/>
              </w:rPr>
            </w:pPr>
            <w:r>
              <w:rPr>
                <w:rFonts w:hint="default"/>
              </w:rPr>
              <w:t>294,486</w:t>
            </w:r>
          </w:p>
        </w:tc>
        <w:tc>
          <w:tcPr>
            <w:tcW w:w="923" w:type="pct"/>
            <w:tcMar>
              <w:top w:w="28" w:type="dxa"/>
              <w:left w:w="28" w:type="dxa"/>
              <w:bottom w:w="28" w:type="dxa"/>
              <w:right w:w="28" w:type="dxa"/>
            </w:tcMar>
            <w:vAlign w:val="center"/>
          </w:tcPr>
          <w:p>
            <w:pPr>
              <w:pStyle w:val="0"/>
              <w:jc w:val="right"/>
              <w:rPr>
                <w:rFonts w:hint="default"/>
              </w:rPr>
            </w:pPr>
            <w:r>
              <w:rPr>
                <w:rFonts w:hint="default"/>
              </w:rPr>
              <w:t>292,502</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S25_004-</w:t>
      </w:r>
      <w:r>
        <w:rPr>
          <w:rFonts w:hint="default"/>
        </w:rPr>
        <w:t>医療・介護の突合の経年比較</w:t>
      </w:r>
      <w:r>
        <w:rPr>
          <w:rFonts w:hint="default"/>
        </w:rPr>
        <w:t xml:space="preserve"> </w:t>
      </w:r>
      <w:r>
        <w:rPr>
          <w:rFonts w:hint="default"/>
        </w:rPr>
        <w:t>令和</w:t>
      </w:r>
      <w:r>
        <w:rPr>
          <w:rFonts w:hint="eastAsia"/>
        </w:rPr>
        <w:t>4</w:t>
      </w:r>
      <w:r>
        <w:rPr>
          <w:rFonts w:hint="default"/>
        </w:rPr>
        <w:t>年度</w:t>
      </w:r>
      <w:r>
        <w:rPr>
          <w:rFonts w:hint="eastAsia"/>
        </w:rPr>
        <w:t xml:space="preserve"> </w:t>
      </w:r>
      <w:r>
        <w:rPr>
          <w:rFonts w:hint="eastAsia"/>
        </w:rPr>
        <w:t>年次</w:t>
      </w:r>
    </w:p>
    <w:p>
      <w:pPr>
        <w:pStyle w:val="0"/>
        <w:rPr>
          <w:rFonts w:hint="default"/>
          <w:sz w:val="18"/>
        </w:rPr>
      </w:pPr>
    </w:p>
    <w:p>
      <w:pPr>
        <w:pStyle w:val="44"/>
        <w:ind w:right="640"/>
        <w:jc w:val="left"/>
        <w:rPr>
          <w:rFonts w:hint="default"/>
        </w:rPr>
      </w:pPr>
      <w:r>
        <w:rPr>
          <w:rFonts w:hint="default"/>
        </w:rPr>
        <w:br w:type="page"/>
      </w:r>
    </w:p>
    <w:p>
      <w:pPr>
        <w:pStyle w:val="4"/>
        <w:rPr>
          <w:rFonts w:hint="default"/>
        </w:rPr>
      </w:pPr>
      <w:r>
        <w:rPr>
          <w:rFonts w:hint="eastAsia"/>
        </w:rPr>
        <w:t>要介護・要支援</w:t>
      </w:r>
      <w:r>
        <w:rPr>
          <w:rFonts w:hint="default"/>
        </w:rPr>
        <w:t>認定者の有病状況</w:t>
      </w:r>
    </w:p>
    <w:p>
      <w:pPr>
        <w:pStyle w:val="39"/>
        <w:ind w:firstLine="200"/>
        <w:rPr>
          <w:rFonts w:hint="default"/>
        </w:rPr>
      </w:pPr>
      <w:r>
        <w:rPr>
          <w:rFonts w:hint="eastAsia"/>
        </w:rPr>
        <w:t>要介護または要支援の認定を受けた人の有病割合（</w:t>
      </w:r>
      <w:r>
        <w:rPr>
          <w:rFonts w:hint="eastAsia"/>
        </w:rPr>
        <w:fldChar w:fldCharType="begin"/>
      </w:r>
      <w:r>
        <w:rPr>
          <w:rFonts w:hint="eastAsia"/>
        </w:rPr>
        <w:instrText xml:space="preserve">REF _Ref130215540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6</w:t>
      </w:r>
      <w:r>
        <w:rPr>
          <w:rFonts w:hint="eastAsia"/>
        </w:rPr>
        <w:t>-</w:t>
      </w:r>
      <w:r>
        <w:rPr>
          <w:rFonts w:hint="default"/>
        </w:rPr>
        <w:t>3</w:t>
      </w:r>
      <w:r>
        <w:rPr>
          <w:rFonts w:hint="eastAsia"/>
        </w:rPr>
        <w:fldChar w:fldCharType="end"/>
      </w:r>
      <w:r>
        <w:rPr>
          <w:rFonts w:hint="default"/>
        </w:rPr>
        <w:t>）をみると、「心臓病」（</w:t>
      </w:r>
      <w:r>
        <w:rPr>
          <w:rFonts w:hint="default"/>
        </w:rPr>
        <w:t>52.9%</w:t>
      </w:r>
      <w:r>
        <w:rPr>
          <w:rFonts w:hint="default"/>
        </w:rPr>
        <w:t>）が最も高く、次いで「高血圧症」（</w:t>
      </w:r>
      <w:r>
        <w:rPr>
          <w:rFonts w:hint="default"/>
        </w:rPr>
        <w:t>46.9%</w:t>
      </w:r>
      <w:r>
        <w:rPr>
          <w:rFonts w:hint="default"/>
        </w:rPr>
        <w:t>）</w:t>
      </w:r>
      <w:r>
        <w:rPr>
          <w:rFonts w:hint="eastAsia"/>
        </w:rPr>
        <w:t>、</w:t>
      </w:r>
      <w:r>
        <w:rPr>
          <w:rFonts w:hint="default"/>
        </w:rPr>
        <w:t>「筋・骨格関連疾患」（</w:t>
      </w:r>
      <w:r>
        <w:rPr>
          <w:rFonts w:hint="default"/>
        </w:rPr>
        <w:t>44.1%</w:t>
      </w:r>
      <w:r>
        <w:rPr>
          <w:rFonts w:hint="default"/>
        </w:rPr>
        <w:t>）となっている。</w:t>
      </w:r>
    </w:p>
    <w:p>
      <w:pPr>
        <w:pStyle w:val="39"/>
        <w:ind w:firstLine="200"/>
        <w:rPr>
          <w:rFonts w:hint="default"/>
        </w:rPr>
      </w:pPr>
      <w:r>
        <w:rPr>
          <w:rFonts w:hint="eastAsia"/>
        </w:rPr>
        <w:t>国・県と比較すると、</w:t>
      </w:r>
      <w:r>
        <w:rPr>
          <w:rFonts w:hint="default"/>
        </w:rPr>
        <w:t>「糖尿病」の有病割合が高い。</w:t>
      </w:r>
    </w:p>
    <w:p>
      <w:pPr>
        <w:pStyle w:val="39"/>
        <w:ind w:firstLine="200"/>
        <w:rPr>
          <w:rFonts w:hint="default"/>
        </w:rPr>
      </w:pPr>
      <w:r>
        <w:rPr>
          <w:rFonts w:hint="eastAsia"/>
        </w:rPr>
        <w:t>保健事業により予防可能な疾患に焦点をあて、介護認定者における重篤な疾患の有病割合をみると、「心臓病」は</w:t>
      </w:r>
      <w:r>
        <w:rPr>
          <w:rFonts w:hint="eastAsia"/>
        </w:rPr>
        <w:t>52.9%</w:t>
      </w:r>
      <w:r>
        <w:rPr>
          <w:rFonts w:hint="default"/>
        </w:rPr>
        <w:t>、「脳血管疾患」は</w:t>
      </w:r>
      <w:r>
        <w:rPr>
          <w:rFonts w:hint="eastAsia"/>
        </w:rPr>
        <w:t>17.9%</w:t>
      </w:r>
      <w:r>
        <w:rPr>
          <w:rFonts w:hint="default"/>
        </w:rPr>
        <w:t>となっている。また、重篤な疾患</w:t>
      </w:r>
      <w:r>
        <w:rPr>
          <w:rFonts w:hint="eastAsia"/>
        </w:rPr>
        <w:t>に進行する可能性のある</w:t>
      </w:r>
      <w:r>
        <w:rPr>
          <w:rFonts w:hint="default"/>
        </w:rPr>
        <w:t>基礎疾患の有病割合を</w:t>
      </w:r>
      <w:r>
        <w:rPr>
          <w:rFonts w:hint="eastAsia"/>
        </w:rPr>
        <w:t>み</w:t>
      </w:r>
      <w:r>
        <w:rPr>
          <w:rFonts w:hint="default"/>
        </w:rPr>
        <w:t>ると、「高血圧症」は</w:t>
      </w:r>
      <w:r>
        <w:rPr>
          <w:rFonts w:hint="eastAsia"/>
        </w:rPr>
        <w:t>46.9%</w:t>
      </w:r>
      <w:r>
        <w:rPr>
          <w:rFonts w:hint="default"/>
        </w:rPr>
        <w:t>、「糖尿病」は</w:t>
      </w:r>
      <w:r>
        <w:rPr>
          <w:rFonts w:hint="eastAsia"/>
        </w:rPr>
        <w:t>29.7%</w:t>
      </w:r>
      <w:r>
        <w:rPr>
          <w:rFonts w:hint="default"/>
        </w:rPr>
        <w:t>、「脂質異常症」は</w:t>
      </w:r>
    </w:p>
    <w:p>
      <w:pPr>
        <w:pStyle w:val="39"/>
        <w:ind w:left="0" w:firstLine="300" w:firstLineChars="150"/>
        <w:rPr>
          <w:rFonts w:hint="default"/>
        </w:rPr>
      </w:pPr>
      <w:r>
        <w:rPr>
          <w:rFonts w:hint="eastAsia"/>
        </w:rPr>
        <w:t>26.6%</w:t>
      </w:r>
      <w:r>
        <w:rPr>
          <w:rFonts w:hint="default"/>
        </w:rPr>
        <w:t>となっている。</w:t>
      </w:r>
    </w:p>
    <w:p>
      <w:pPr>
        <w:pStyle w:val="0"/>
        <w:rPr>
          <w:rFonts w:hint="default"/>
        </w:rPr>
      </w:pPr>
    </w:p>
    <w:p>
      <w:pPr>
        <w:pStyle w:val="38"/>
        <w:rPr>
          <w:rFonts w:hint="default"/>
        </w:rPr>
      </w:pPr>
      <w:bookmarkStart w:id="38" w:name="_Ref13021554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38"/>
      <w:r>
        <w:rPr>
          <w:rFonts w:hint="default"/>
        </w:rPr>
        <w:t>：</w:t>
      </w:r>
      <w:bookmarkStart w:id="39" w:name="_Toc124936820"/>
      <w:r>
        <w:rPr>
          <w:rFonts w:hint="default"/>
        </w:rPr>
        <w:t>要介護</w:t>
      </w:r>
      <w:r>
        <w:rPr>
          <w:rFonts w:hint="eastAsia"/>
        </w:rPr>
        <w:t>・</w:t>
      </w:r>
      <w:r>
        <w:rPr>
          <w:rFonts w:hint="default"/>
        </w:rPr>
        <w:t>要支援認定者の有病状況</w:t>
      </w:r>
      <w:bookmarkEnd w:id="39"/>
    </w:p>
    <w:p>
      <w:pPr>
        <w:pStyle w:val="0"/>
        <w:jc w:val="center"/>
        <w:rPr>
          <w:rFonts w:hint="default"/>
        </w:rPr>
      </w:pPr>
      <w:r>
        <w:rPr>
          <w:rFonts w:hint="default"/>
        </w:rPr>
        <w:drawing>
          <wp:inline distT="0" distB="0" distL="0" distR="0">
            <wp:extent cx="5939790" cy="2519680"/>
            <wp:effectExtent l="0" t="0" r="0" b="0"/>
            <wp:docPr id="1068" name="オブジェクト 0"/>
            <a:graphic xmlns:a="http://schemas.openxmlformats.org/drawingml/2006/main">
              <a:graphicData uri="http://schemas.openxmlformats.org/drawingml/2006/chart">
                <c:chart xmlns:c="http://schemas.openxmlformats.org/drawingml/2006/chart" r:id="rId18"/>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1"/>
        <w:gridCol w:w="1564"/>
        <w:gridCol w:w="1564"/>
        <w:gridCol w:w="1562"/>
        <w:gridCol w:w="1564"/>
        <w:gridCol w:w="1560"/>
      </w:tblGrid>
      <w:tr>
        <w:trPr>
          <w:trHeight w:val="20" w:hRule="atLeast"/>
        </w:trPr>
        <w:tc>
          <w:tcPr>
            <w:tcW w:w="83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疾病名</w:t>
            </w:r>
          </w:p>
        </w:tc>
        <w:tc>
          <w:tcPr>
            <w:tcW w:w="1668" w:type="pct"/>
            <w:gridSpan w:val="2"/>
            <w:shd w:val="clear" w:color="auto" w:fill="CCD6FF"/>
            <w:tcMar>
              <w:top w:w="28" w:type="dxa"/>
              <w:left w:w="0" w:type="dxa"/>
              <w:bottom w:w="28" w:type="dxa"/>
              <w:right w:w="0" w:type="dxa"/>
            </w:tcMar>
            <w:vAlign w:val="center"/>
          </w:tcPr>
          <w:p>
            <w:pPr>
              <w:pStyle w:val="0"/>
              <w:jc w:val="center"/>
              <w:rPr>
                <w:rFonts w:hint="default"/>
                <w:b w:val="1"/>
              </w:rPr>
            </w:pPr>
            <w:r>
              <w:rPr>
                <w:rFonts w:hint="eastAsia"/>
                <w:b w:val="1"/>
              </w:rPr>
              <w:t>要</w:t>
            </w:r>
            <w:r>
              <w:rPr>
                <w:rFonts w:hint="default"/>
                <w:b w:val="1"/>
              </w:rPr>
              <w:t>介護</w:t>
            </w:r>
            <w:r>
              <w:rPr>
                <w:rFonts w:hint="eastAsia"/>
                <w:b w:val="1"/>
              </w:rPr>
              <w:t>・要支援</w:t>
            </w:r>
            <w:r>
              <w:rPr>
                <w:rFonts w:hint="default"/>
                <w:b w:val="1"/>
              </w:rPr>
              <w:t>認定者（</w:t>
            </w:r>
            <w:r>
              <w:rPr>
                <w:rFonts w:hint="default"/>
                <w:b w:val="1"/>
              </w:rPr>
              <w:t>1</w:t>
            </w:r>
            <w:r>
              <w:rPr>
                <w:rFonts w:hint="default"/>
                <w:b w:val="1"/>
              </w:rPr>
              <w:t>・</w:t>
            </w:r>
            <w:r>
              <w:rPr>
                <w:rFonts w:hint="default"/>
                <w:b w:val="1"/>
              </w:rPr>
              <w:t>2</w:t>
            </w:r>
            <w:r>
              <w:rPr>
                <w:rFonts w:hint="default"/>
                <w:b w:val="1"/>
              </w:rPr>
              <w:t>号</w:t>
            </w:r>
            <w:r>
              <w:rPr>
                <w:rFonts w:hint="eastAsia"/>
                <w:b w:val="1"/>
              </w:rPr>
              <w:t>被保険者</w:t>
            </w:r>
            <w:r>
              <w:rPr>
                <w:rFonts w:hint="default"/>
                <w:b w:val="1"/>
              </w:rPr>
              <w:t>）</w:t>
            </w:r>
          </w:p>
        </w:tc>
        <w:tc>
          <w:tcPr>
            <w:tcW w:w="83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国</w:t>
            </w:r>
          </w:p>
        </w:tc>
        <w:tc>
          <w:tcPr>
            <w:tcW w:w="83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県</w:t>
            </w:r>
          </w:p>
        </w:tc>
        <w:tc>
          <w:tcPr>
            <w:tcW w:w="83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同規模</w:t>
            </w:r>
          </w:p>
        </w:tc>
      </w:tr>
      <w:tr>
        <w:trPr>
          <w:trHeight w:val="20" w:hRule="atLeast"/>
        </w:trPr>
        <w:tc>
          <w:tcPr>
            <w:tcW w:w="833" w:type="pct"/>
            <w:vMerge w:val="continue"/>
            <w:shd w:val="clear" w:color="auto" w:fill="auto"/>
            <w:tcMar>
              <w:top w:w="28" w:type="dxa"/>
              <w:left w:w="28" w:type="dxa"/>
              <w:bottom w:w="28" w:type="dxa"/>
              <w:right w:w="28" w:type="dxa"/>
            </w:tcMar>
            <w:vAlign w:val="center"/>
          </w:tcPr>
          <w:p>
            <w:pPr>
              <w:pStyle w:val="0"/>
              <w:rPr>
                <w:rFonts w:hint="default"/>
              </w:rPr>
            </w:pPr>
          </w:p>
        </w:tc>
        <w:tc>
          <w:tcPr>
            <w:tcW w:w="83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該当者数（人）</w:t>
            </w:r>
          </w:p>
        </w:tc>
        <w:tc>
          <w:tcPr>
            <w:tcW w:w="83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833" w:type="pct"/>
            <w:vMerge w:val="continue"/>
            <w:shd w:val="clear" w:color="auto" w:fill="auto"/>
            <w:tcMar>
              <w:top w:w="28" w:type="dxa"/>
              <w:left w:w="28" w:type="dxa"/>
              <w:bottom w:w="28" w:type="dxa"/>
              <w:right w:w="28" w:type="dxa"/>
            </w:tcMar>
            <w:vAlign w:val="center"/>
          </w:tcPr>
          <w:p>
            <w:pPr>
              <w:pStyle w:val="0"/>
              <w:rPr>
                <w:rFonts w:hint="default"/>
              </w:rPr>
            </w:pPr>
          </w:p>
        </w:tc>
        <w:tc>
          <w:tcPr>
            <w:tcW w:w="833" w:type="pct"/>
            <w:vMerge w:val="continue"/>
            <w:shd w:val="clear" w:color="auto" w:fill="auto"/>
            <w:tcMar>
              <w:top w:w="28" w:type="dxa"/>
              <w:left w:w="28" w:type="dxa"/>
              <w:bottom w:w="28" w:type="dxa"/>
              <w:right w:w="28" w:type="dxa"/>
            </w:tcMar>
            <w:vAlign w:val="center"/>
          </w:tcPr>
          <w:p>
            <w:pPr>
              <w:pStyle w:val="0"/>
              <w:rPr>
                <w:rFonts w:hint="default"/>
              </w:rPr>
            </w:pPr>
          </w:p>
        </w:tc>
        <w:tc>
          <w:tcPr>
            <w:tcW w:w="833" w:type="pct"/>
            <w:vMerge w:val="continue"/>
            <w:shd w:val="clear" w:color="auto" w:fill="auto"/>
            <w:tcMar>
              <w:top w:w="28" w:type="dxa"/>
              <w:left w:w="28" w:type="dxa"/>
              <w:bottom w:w="28" w:type="dxa"/>
              <w:right w:w="28" w:type="dxa"/>
            </w:tcMar>
            <w:vAlign w:val="center"/>
          </w:tcPr>
          <w:p>
            <w:pPr>
              <w:pStyle w:val="0"/>
              <w:rPr>
                <w:rFonts w:hint="default"/>
              </w:rPr>
            </w:pP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981</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29.7%</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24.3%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23.7%</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24.2%</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高血圧</w:t>
            </w:r>
            <w:r>
              <w:rPr>
                <w:rFonts w:hint="eastAsia"/>
              </w:rPr>
              <w:t>症</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1,544</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46.9%</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53.3%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50.9%</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53.8%</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877</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26.6%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32.6%</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30.6%</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31.8%</w:t>
            </w:r>
          </w:p>
        </w:tc>
      </w:tr>
      <w:tr>
        <w:trPr>
          <w:trHeight w:val="20" w:hRule="atLeast"/>
        </w:trPr>
        <w:tc>
          <w:tcPr>
            <w:tcW w:w="833" w:type="pct"/>
            <w:shd w:val="clear" w:color="auto" w:fill="FFFFFF"/>
            <w:tcMar>
              <w:top w:w="28" w:type="dxa"/>
              <w:left w:w="28" w:type="dxa"/>
              <w:bottom w:w="28" w:type="dxa"/>
              <w:right w:w="28" w:type="dxa"/>
            </w:tcMar>
            <w:vAlign w:val="center"/>
          </w:tcPr>
          <w:p>
            <w:pPr>
              <w:pStyle w:val="0"/>
              <w:rPr>
                <w:rFonts w:hint="default"/>
              </w:rPr>
            </w:pPr>
            <w:r>
              <w:rPr>
                <w:rFonts w:hint="default"/>
              </w:rPr>
              <w:t>心臓病</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1,738</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52.9%</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60.3%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57.5%</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60.8%</w:t>
            </w:r>
          </w:p>
        </w:tc>
      </w:tr>
      <w:tr>
        <w:trPr>
          <w:trHeight w:val="20" w:hRule="atLeast"/>
        </w:trPr>
        <w:tc>
          <w:tcPr>
            <w:tcW w:w="833" w:type="pct"/>
            <w:shd w:val="clear" w:color="auto" w:fill="FFFFFF"/>
            <w:tcMar>
              <w:top w:w="28" w:type="dxa"/>
              <w:left w:w="28" w:type="dxa"/>
              <w:bottom w:w="28" w:type="dxa"/>
              <w:right w:w="28" w:type="dxa"/>
            </w:tcMar>
            <w:vAlign w:val="center"/>
          </w:tcPr>
          <w:p>
            <w:pPr>
              <w:pStyle w:val="0"/>
              <w:rPr>
                <w:rFonts w:hint="default"/>
              </w:rPr>
            </w:pPr>
            <w:r>
              <w:rPr>
                <w:rFonts w:hint="default"/>
              </w:rPr>
              <w:t>脳血管</w:t>
            </w:r>
            <w:r>
              <w:rPr>
                <w:rFonts w:hint="eastAsia"/>
              </w:rPr>
              <w:t>疾患</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575</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17.9%</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22.6%</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21.3%</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23.1%</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eastAsia"/>
              </w:rPr>
              <w:t>がん</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317</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9.7%</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11.8%</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12.3%</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11.3%</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精神疾患</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929</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28.7%</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36.8%</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33.7%</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37.0%</w:t>
            </w:r>
          </w:p>
        </w:tc>
      </w:tr>
      <w:tr>
        <w:trPr>
          <w:trHeight w:val="20" w:hRule="atLeast"/>
        </w:trPr>
        <w:tc>
          <w:tcPr>
            <w:tcW w:w="833" w:type="pct"/>
            <w:shd w:val="clear" w:color="auto" w:fill="auto"/>
            <w:tcMar>
              <w:top w:w="28" w:type="dxa"/>
              <w:left w:w="28" w:type="dxa"/>
              <w:bottom w:w="28" w:type="dxa"/>
              <w:right w:w="28" w:type="dxa"/>
            </w:tcMar>
            <w:vAlign w:val="center"/>
          </w:tcPr>
          <w:p>
            <w:pPr>
              <w:pStyle w:val="0"/>
              <w:widowControl w:val="0"/>
              <w:ind w:firstLine="160" w:firstLineChars="100"/>
              <w:rPr>
                <w:rFonts w:hint="default"/>
              </w:rPr>
            </w:pPr>
            <w:r>
              <w:rPr>
                <w:rFonts w:hint="eastAsia"/>
              </w:rPr>
              <w:t>うち</w:t>
            </w:r>
            <w:r>
              <w:rPr>
                <w:rFonts w:hint="eastAsia"/>
              </w:rPr>
              <w:t>_</w:t>
            </w:r>
            <w:r>
              <w:rPr>
                <w:rFonts w:hint="default"/>
              </w:rPr>
              <w:t>認知症</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570</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17.2%</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24.0%</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21.1%</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24.4%</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アルツハイマー病</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453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13.6%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18.1%</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15.6%</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18.5%</w:t>
            </w:r>
          </w:p>
        </w:tc>
      </w:tr>
      <w:tr>
        <w:trPr>
          <w:trHeight w:val="25"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筋・骨格</w:t>
            </w:r>
            <w:r>
              <w:rPr>
                <w:rFonts w:hint="eastAsia"/>
              </w:rPr>
              <w:t>関連疾患</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1,440</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44.1%</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default"/>
              </w:rPr>
              <w:t>53.4%</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default"/>
              </w:rPr>
              <w:t>50.4%</w:t>
            </w:r>
          </w:p>
        </w:tc>
        <w:tc>
          <w:tcPr>
            <w:tcW w:w="832" w:type="pct"/>
            <w:shd w:val="clear" w:color="auto" w:fill="auto"/>
            <w:tcMar>
              <w:top w:w="28" w:type="dxa"/>
              <w:left w:w="28" w:type="dxa"/>
              <w:bottom w:w="28" w:type="dxa"/>
              <w:right w:w="28" w:type="dxa"/>
            </w:tcMar>
            <w:vAlign w:val="center"/>
          </w:tcPr>
          <w:p>
            <w:pPr>
              <w:pStyle w:val="0"/>
              <w:jc w:val="right"/>
              <w:rPr>
                <w:rFonts w:hint="default"/>
              </w:rPr>
            </w:pPr>
            <w:r>
              <w:rPr>
                <w:rFonts w:hint="default"/>
              </w:rPr>
              <w:t>53.1%</w:t>
            </w:r>
          </w:p>
        </w:tc>
      </w:tr>
    </w:tbl>
    <w:p>
      <w:pPr>
        <w:pStyle w:val="44"/>
        <w:rPr>
          <w:rFonts w:hint="default"/>
        </w:rPr>
        <w:sectPr>
          <w:headerReference r:id="rId12" w:type="even"/>
          <w:headerReference r:id="rId13" w:type="default"/>
          <w:headerReference r:id="rId11" w:type="first"/>
          <w:pgSz w:w="11909" w:h="16834"/>
          <w:pgMar w:top="1418" w:right="1106" w:bottom="1418" w:left="1418" w:header="850" w:footer="720" w:gutter="0"/>
          <w:cols w:space="720"/>
          <w:textDirection w:val="lrTb"/>
          <w:docGrid w:linePitch="272"/>
        </w:sect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3"/>
        <w:rPr>
          <w:rFonts w:hint="default"/>
        </w:rPr>
      </w:pPr>
      <w:bookmarkStart w:id="40" w:name="_Toc162548684"/>
      <w:r>
        <w:rPr>
          <w:rFonts w:hint="default"/>
        </w:rPr>
        <w:t>死亡の状況</w:t>
      </w:r>
      <w:bookmarkEnd w:id="40"/>
    </w:p>
    <w:p>
      <w:pPr>
        <w:pStyle w:val="4"/>
        <w:rPr>
          <w:rFonts w:hint="default"/>
        </w:rPr>
      </w:pPr>
      <w:r>
        <w:rPr>
          <w:rFonts w:hint="eastAsia"/>
        </w:rPr>
        <w:t>死因別の</w:t>
      </w:r>
      <w:r>
        <w:rPr>
          <w:rFonts w:hint="default"/>
        </w:rPr>
        <w:t>死亡者数・割合</w:t>
      </w:r>
    </w:p>
    <w:p>
      <w:pPr>
        <w:pStyle w:val="39"/>
        <w:ind w:firstLine="200"/>
        <w:rPr>
          <w:rFonts w:hint="default"/>
        </w:rPr>
      </w:pPr>
      <w:r>
        <w:rPr>
          <w:rFonts w:hint="eastAsia"/>
        </w:rPr>
        <w:t>まず、死亡の状況について概観する。令和</w:t>
      </w:r>
      <w:r>
        <w:rPr>
          <w:rFonts w:hint="eastAsia"/>
        </w:rPr>
        <w:t>3</w:t>
      </w:r>
      <w:r>
        <w:rPr>
          <w:rFonts w:hint="eastAsia"/>
        </w:rPr>
        <w:t>年の人口動態調査から、国保被保険者以外も含む全住民の死因別の</w:t>
      </w:r>
      <w:r>
        <w:rPr>
          <w:rFonts w:hint="default"/>
        </w:rPr>
        <w:t>死亡者数を</w:t>
      </w:r>
      <w:r>
        <w:rPr>
          <w:rFonts w:hint="eastAsia"/>
        </w:rPr>
        <w:t>死因</w:t>
      </w:r>
      <w:r>
        <w:rPr>
          <w:rFonts w:hint="default"/>
        </w:rPr>
        <w:t>順位別にみると（</w:t>
      </w:r>
      <w:r>
        <w:rPr>
          <w:rFonts w:hint="eastAsia"/>
        </w:rPr>
        <w:fldChar w:fldCharType="begin"/>
      </w:r>
      <w:r>
        <w:rPr>
          <w:rFonts w:hint="eastAsia"/>
        </w:rPr>
        <w:instrText xml:space="preserve">REF _Ref122519425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1</w:t>
      </w:r>
      <w:r>
        <w:rPr>
          <w:rFonts w:hint="eastAsia"/>
        </w:rPr>
        <w:fldChar w:fldCharType="end"/>
      </w:r>
      <w:r>
        <w:rPr>
          <w:rFonts w:hint="default"/>
        </w:rPr>
        <w:t>）、死因第</w:t>
      </w:r>
      <w:r>
        <w:rPr>
          <w:rFonts w:hint="default"/>
        </w:rPr>
        <w:t>1</w:t>
      </w:r>
      <w:r>
        <w:rPr>
          <w:rFonts w:hint="default"/>
        </w:rPr>
        <w:t>位は「心不全」で全死亡者の</w:t>
      </w:r>
      <w:r>
        <w:rPr>
          <w:rFonts w:hint="default"/>
        </w:rPr>
        <w:t>9.0%</w:t>
      </w:r>
      <w:r>
        <w:rPr>
          <w:rFonts w:hint="default"/>
        </w:rPr>
        <w:t>を占めて</w:t>
      </w:r>
      <w:r>
        <w:rPr>
          <w:rFonts w:hint="eastAsia"/>
        </w:rPr>
        <w:t>いる。次いで</w:t>
      </w:r>
      <w:r>
        <w:rPr>
          <w:rFonts w:hint="default"/>
        </w:rPr>
        <w:t>「老衰」（</w:t>
      </w:r>
      <w:r>
        <w:rPr>
          <w:rFonts w:hint="default"/>
        </w:rPr>
        <w:t>8.0%</w:t>
      </w:r>
      <w:r>
        <w:rPr>
          <w:rFonts w:hint="default"/>
        </w:rPr>
        <w:t>）、「脳血管疾患」（</w:t>
      </w:r>
      <w:r>
        <w:rPr>
          <w:rFonts w:hint="default"/>
        </w:rPr>
        <w:t>7.1%</w:t>
      </w:r>
      <w:r>
        <w:rPr>
          <w:rFonts w:hint="default"/>
        </w:rPr>
        <w:t>）となっている。</w:t>
      </w:r>
      <w:r>
        <w:rPr>
          <w:rFonts w:hint="eastAsia"/>
        </w:rPr>
        <w:t>死亡者数の多い上位</w:t>
      </w:r>
      <w:r>
        <w:rPr>
          <w:rFonts w:hint="default"/>
        </w:rPr>
        <w:t>1</w:t>
      </w:r>
      <w:r>
        <w:rPr>
          <w:rFonts w:hint="eastAsia"/>
        </w:rPr>
        <w:t>5</w:t>
      </w:r>
      <w:r>
        <w:rPr>
          <w:rFonts w:hint="eastAsia"/>
        </w:rPr>
        <w:t>死因</w:t>
      </w:r>
      <w:r>
        <w:rPr>
          <w:rFonts w:hint="default"/>
        </w:rPr>
        <w:t>について、全死亡者に占める</w:t>
      </w:r>
      <w:r>
        <w:rPr>
          <w:rFonts w:hint="eastAsia"/>
        </w:rPr>
        <w:t>死因別の</w:t>
      </w:r>
      <w:r>
        <w:rPr>
          <w:rFonts w:hint="default"/>
        </w:rPr>
        <w:t>死亡者数の割合を国</w:t>
      </w:r>
      <w:r>
        <w:rPr>
          <w:rFonts w:hint="eastAsia"/>
        </w:rPr>
        <w:t>や</w:t>
      </w:r>
      <w:r>
        <w:rPr>
          <w:rFonts w:hint="default"/>
        </w:rPr>
        <w:t>県と比較すると、「心不全」「肺炎」「大腸の悪性新生物」「胃の悪性新生物」「膵の悪性新生物」「肝疾患」「自殺」「胆のう及びその他の胆道の悪性新生物」「慢性閉塞性肺疾患」の割合が高い。</w:t>
      </w:r>
    </w:p>
    <w:p>
      <w:pPr>
        <w:pStyle w:val="39"/>
        <w:ind w:firstLine="200"/>
        <w:rPr>
          <w:rFonts w:hint="default"/>
        </w:rPr>
      </w:pPr>
      <w:r>
        <w:rPr>
          <w:rFonts w:hint="eastAsia"/>
        </w:rPr>
        <w:t>保健事業により予防可能な疾患における健康課題を抽出するという観点で、生活習慣病の重篤な疾患に焦点をあてて死因別の順位と割合をみると、「脳血管疾患」は</w:t>
      </w:r>
      <w:r>
        <w:rPr>
          <w:rFonts w:hint="default"/>
        </w:rPr>
        <w:t>第</w:t>
      </w:r>
      <w:r>
        <w:rPr>
          <w:rFonts w:hint="default"/>
        </w:rPr>
        <w:t>3</w:t>
      </w:r>
      <w:r>
        <w:rPr>
          <w:rFonts w:hint="default"/>
        </w:rPr>
        <w:t>位</w:t>
      </w:r>
      <w:r>
        <w:rPr>
          <w:rFonts w:hint="eastAsia"/>
        </w:rPr>
        <w:t>（</w:t>
      </w:r>
      <w:r>
        <w:rPr>
          <w:rFonts w:hint="eastAsia"/>
        </w:rPr>
        <w:t>7.1%</w:t>
      </w:r>
      <w:r>
        <w:rPr>
          <w:rFonts w:hint="eastAsia"/>
        </w:rPr>
        <w:t>）</w:t>
      </w:r>
      <w:r>
        <w:rPr>
          <w:rFonts w:hint="default"/>
        </w:rPr>
        <w:t>、</w:t>
      </w:r>
      <w:r>
        <w:rPr>
          <w:rFonts w:hint="eastAsia"/>
        </w:rPr>
        <w:t>「</w:t>
      </w:r>
      <w:r>
        <w:rPr>
          <w:rFonts w:hint="default"/>
        </w:rPr>
        <w:t>虚血性心疾患」は第</w:t>
      </w:r>
      <w:r>
        <w:rPr>
          <w:rFonts w:hint="default"/>
        </w:rPr>
        <w:t>9</w:t>
      </w:r>
      <w:r>
        <w:rPr>
          <w:rFonts w:hint="default"/>
        </w:rPr>
        <w:t>位</w:t>
      </w:r>
      <w:r>
        <w:rPr>
          <w:rFonts w:hint="eastAsia"/>
        </w:rPr>
        <w:t>（</w:t>
      </w:r>
      <w:r>
        <w:rPr>
          <w:rFonts w:hint="eastAsia"/>
        </w:rPr>
        <w:t>2.8%</w:t>
      </w:r>
      <w:r>
        <w:rPr>
          <w:rFonts w:hint="eastAsia"/>
        </w:rPr>
        <w:t>）、</w:t>
      </w:r>
      <w:r>
        <w:rPr>
          <w:rFonts w:hint="default"/>
        </w:rPr>
        <w:t>「腎不全」は第</w:t>
      </w:r>
      <w:r>
        <w:rPr>
          <w:rFonts w:hint="default"/>
        </w:rPr>
        <w:t>13</w:t>
      </w:r>
      <w:r>
        <w:rPr>
          <w:rFonts w:hint="default"/>
        </w:rPr>
        <w:t>位</w:t>
      </w:r>
      <w:r>
        <w:rPr>
          <w:rFonts w:hint="eastAsia"/>
        </w:rPr>
        <w:t>（</w:t>
      </w:r>
      <w:r>
        <w:rPr>
          <w:rFonts w:hint="default"/>
        </w:rPr>
        <w:t>1.8%</w:t>
      </w:r>
      <w:r>
        <w:rPr>
          <w:rFonts w:hint="eastAsia"/>
        </w:rPr>
        <w:t>）</w:t>
      </w:r>
      <w:r>
        <w:rPr>
          <w:rFonts w:hint="default"/>
        </w:rPr>
        <w:t>と、いずれも死因の上位に位置している。</w:t>
      </w:r>
    </w:p>
    <w:p>
      <w:pPr>
        <w:pStyle w:val="39"/>
        <w:ind w:firstLine="200"/>
        <w:rPr>
          <w:rFonts w:hint="default"/>
        </w:rPr>
      </w:pPr>
      <w:r>
        <w:rPr>
          <w:rFonts w:hint="eastAsia"/>
        </w:rPr>
        <w:t>また、死因別割合を県と比較すると</w:t>
      </w:r>
      <w:r>
        <w:rPr>
          <w:rFonts w:hint="eastAsia"/>
        </w:rPr>
        <w:t>(</w:t>
      </w:r>
      <w:r>
        <w:rPr>
          <w:rFonts w:hint="eastAsia"/>
        </w:rPr>
        <w:fldChar w:fldCharType="begin"/>
      </w:r>
      <w:r>
        <w:rPr>
          <w:rFonts w:hint="eastAsia"/>
        </w:rPr>
        <w:instrText xml:space="preserve">REF _Ref130887348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2</w:t>
      </w:r>
      <w:r>
        <w:rPr>
          <w:rFonts w:hint="eastAsia"/>
        </w:rPr>
        <w:fldChar w:fldCharType="end"/>
      </w:r>
      <w:r>
        <w:rPr>
          <w:rFonts w:hint="eastAsia"/>
        </w:rPr>
        <w:t>)</w:t>
      </w:r>
      <w:r>
        <w:rPr>
          <w:rFonts w:hint="eastAsia"/>
        </w:rPr>
        <w:t>、「心不全」「肺炎」「肝疾患」「大腸の悪性生物」「胃の悪性生物」「膵の悪性生物・自殺」「閉塞性肺疾患」｢腎不全｣の順で八街市の方が高い。</w:t>
      </w:r>
    </w:p>
    <w:p>
      <w:pPr>
        <w:pStyle w:val="0"/>
        <w:rPr>
          <w:rFonts w:hint="default"/>
        </w:rPr>
      </w:pPr>
      <w:r>
        <w:rPr>
          <w:rFonts w:hint="default"/>
        </w:rPr>
        <w:br w:type="page"/>
      </w:r>
    </w:p>
    <w:p>
      <w:pPr>
        <w:pStyle w:val="38"/>
        <w:rPr>
          <w:rFonts w:hint="default"/>
        </w:rPr>
      </w:pPr>
      <w:bookmarkStart w:id="41" w:name="_Ref122519425"/>
      <w:bookmarkStart w:id="42" w:name="_Ref123923431"/>
      <w:bookmarkStart w:id="43" w:name="_Toc12493681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41"/>
      <w:r>
        <w:rPr>
          <w:rFonts w:hint="default"/>
        </w:rPr>
        <w:t>：</w:t>
      </w:r>
      <w:r>
        <w:rPr>
          <w:rFonts w:hint="eastAsia"/>
        </w:rPr>
        <w:t>死因別の</w:t>
      </w:r>
      <w:r>
        <w:rPr>
          <w:rFonts w:hint="default"/>
        </w:rPr>
        <w:t>死亡者数</w:t>
      </w:r>
      <w:r>
        <w:rPr>
          <w:rFonts w:hint="eastAsia"/>
        </w:rPr>
        <w:t>・</w:t>
      </w:r>
      <w:r>
        <w:rPr>
          <w:rFonts w:hint="default"/>
        </w:rPr>
        <w:t>割合</w:t>
      </w:r>
      <w:bookmarkEnd w:id="42"/>
      <w:bookmarkEnd w:id="43"/>
    </w:p>
    <w:p>
      <w:pPr>
        <w:pStyle w:val="0"/>
        <w:jc w:val="center"/>
        <w:rPr>
          <w:rFonts w:hint="default"/>
        </w:rPr>
      </w:pPr>
      <w:r>
        <w:rPr>
          <w:rFonts w:hint="default"/>
        </w:rPr>
        <w:drawing>
          <wp:inline distT="0" distB="0" distL="0" distR="0">
            <wp:extent cx="5939790" cy="1979930"/>
            <wp:effectExtent l="0" t="0" r="0" b="0"/>
            <wp:docPr id="1069" name="オブジェクト 0"/>
            <a:graphic xmlns:a="http://schemas.openxmlformats.org/drawingml/2006/main">
              <a:graphicData uri="http://schemas.openxmlformats.org/drawingml/2006/chart">
                <c:chart xmlns:c="http://schemas.openxmlformats.org/drawingml/2006/chart" r:id="rId22"/>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07"/>
        <w:gridCol w:w="2930"/>
        <w:gridCol w:w="1459"/>
        <w:gridCol w:w="1459"/>
        <w:gridCol w:w="1459"/>
        <w:gridCol w:w="1461"/>
      </w:tblGrid>
      <w:tr>
        <w:trPr>
          <w:trHeight w:val="20" w:hRule="atLeast"/>
        </w:trPr>
        <w:tc>
          <w:tcPr>
            <w:tcW w:w="324"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順位</w:t>
            </w:r>
          </w:p>
        </w:tc>
        <w:tc>
          <w:tcPr>
            <w:tcW w:w="156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死因</w:t>
            </w:r>
          </w:p>
        </w:tc>
        <w:tc>
          <w:tcPr>
            <w:tcW w:w="1556"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八街市</w:t>
            </w:r>
          </w:p>
        </w:tc>
        <w:tc>
          <w:tcPr>
            <w:tcW w:w="778"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国</w:t>
            </w:r>
          </w:p>
        </w:tc>
        <w:tc>
          <w:tcPr>
            <w:tcW w:w="779"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県</w:t>
            </w:r>
          </w:p>
        </w:tc>
      </w:tr>
      <w:tr>
        <w:trPr>
          <w:trHeight w:val="20" w:hRule="atLeast"/>
        </w:trPr>
        <w:tc>
          <w:tcPr>
            <w:tcW w:w="324" w:type="pct"/>
            <w:vMerge w:val="continue"/>
            <w:tcMar>
              <w:top w:w="28" w:type="dxa"/>
              <w:left w:w="28" w:type="dxa"/>
              <w:bottom w:w="28" w:type="dxa"/>
              <w:right w:w="28" w:type="dxa"/>
            </w:tcMar>
            <w:vAlign w:val="center"/>
          </w:tcPr>
          <w:p>
            <w:pPr>
              <w:pStyle w:val="0"/>
              <w:rPr>
                <w:rFonts w:hint="default"/>
              </w:rPr>
            </w:pPr>
          </w:p>
        </w:tc>
        <w:tc>
          <w:tcPr>
            <w:tcW w:w="1563" w:type="pct"/>
            <w:vMerge w:val="continue"/>
            <w:tcMar>
              <w:top w:w="28" w:type="dxa"/>
              <w:left w:w="28" w:type="dxa"/>
              <w:bottom w:w="28" w:type="dxa"/>
              <w:right w:w="28" w:type="dxa"/>
            </w:tcMar>
            <w:vAlign w:val="center"/>
          </w:tcPr>
          <w:p>
            <w:pPr>
              <w:pStyle w:val="0"/>
              <w:rPr>
                <w:rFonts w:hint="default"/>
              </w:rPr>
            </w:pPr>
          </w:p>
        </w:tc>
        <w:tc>
          <w:tcPr>
            <w:tcW w:w="778"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死亡者数（人）</w:t>
            </w:r>
          </w:p>
        </w:tc>
        <w:tc>
          <w:tcPr>
            <w:tcW w:w="778"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778" w:type="pct"/>
            <w:vMerge w:val="continue"/>
            <w:tcMar>
              <w:top w:w="28" w:type="dxa"/>
              <w:left w:w="28" w:type="dxa"/>
              <w:bottom w:w="28" w:type="dxa"/>
              <w:right w:w="28" w:type="dxa"/>
            </w:tcMar>
            <w:vAlign w:val="center"/>
          </w:tcPr>
          <w:p>
            <w:pPr>
              <w:pStyle w:val="0"/>
              <w:rPr>
                <w:rFonts w:hint="default"/>
              </w:rPr>
            </w:pPr>
          </w:p>
        </w:tc>
        <w:tc>
          <w:tcPr>
            <w:tcW w:w="779" w:type="pct"/>
            <w:vMerge w:val="continue"/>
            <w:tcMar>
              <w:top w:w="28" w:type="dxa"/>
              <w:left w:w="28" w:type="dxa"/>
              <w:bottom w:w="28" w:type="dxa"/>
              <w:right w:w="28" w:type="dxa"/>
            </w:tcMar>
            <w:vAlign w:val="center"/>
          </w:tcPr>
          <w:p>
            <w:pPr>
              <w:pStyle w:val="0"/>
              <w:rPr>
                <w:rFonts w:hint="default"/>
              </w:rPr>
            </w:pP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心不全</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73</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9.0%</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6.1%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2</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老衰</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8.0%</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10.6%</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9.8%</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3</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脳血管疾患</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58</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7.1%</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7.3%</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7.2%</w:t>
            </w:r>
          </w:p>
        </w:tc>
      </w:tr>
      <w:tr>
        <w:trPr>
          <w:trHeight w:val="20" w:hRule="atLeast"/>
        </w:trPr>
        <w:tc>
          <w:tcPr>
            <w:tcW w:w="324" w:type="pct"/>
            <w:shd w:val="clear" w:color="auto" w:themeFill="background2" w:themeFillTint="FF" w:themeFillShade="FF"/>
            <w:tcMar>
              <w:top w:w="28" w:type="dxa"/>
              <w:left w:w="28" w:type="dxa"/>
              <w:bottom w:w="28" w:type="dxa"/>
              <w:right w:w="28" w:type="dxa"/>
            </w:tcMar>
            <w:vAlign w:val="center"/>
          </w:tcPr>
          <w:p>
            <w:pPr>
              <w:pStyle w:val="0"/>
              <w:jc w:val="center"/>
              <w:rPr>
                <w:rFonts w:hint="default"/>
              </w:rPr>
            </w:pPr>
            <w:r>
              <w:rPr>
                <w:rFonts w:hint="eastAsia"/>
              </w:rPr>
              <w:t>4</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肺炎</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r>
      <w:tr>
        <w:trPr>
          <w:trHeight w:val="20" w:hRule="atLeast"/>
        </w:trPr>
        <w:tc>
          <w:tcPr>
            <w:tcW w:w="324" w:type="pct"/>
            <w:shd w:val="clear" w:color="auto" w:themeFill="background2" w:themeFillTint="FF" w:themeFillShade="FF"/>
            <w:tcMar>
              <w:top w:w="28" w:type="dxa"/>
              <w:left w:w="28" w:type="dxa"/>
              <w:bottom w:w="28" w:type="dxa"/>
              <w:right w:w="28" w:type="dxa"/>
            </w:tcMar>
            <w:vAlign w:val="center"/>
          </w:tcPr>
          <w:p>
            <w:pPr>
              <w:pStyle w:val="0"/>
              <w:jc w:val="center"/>
              <w:rPr>
                <w:rFonts w:hint="default"/>
              </w:rPr>
            </w:pPr>
            <w:r>
              <w:rPr>
                <w:rFonts w:hint="eastAsia"/>
              </w:rPr>
              <w:t>5</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大腸の悪性新生物</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4.5%</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6</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気管、気管支及び肺の悪性新生物</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5.3%</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7</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胃の悪性新生物</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8</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膵の悪性新生物</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9</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虚血性心疾患</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4.7%</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4.1%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10</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不整脈及び伝導障害</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22</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11</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肝疾患</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2.2%</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12</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自殺</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17</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2.1%</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13</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1.7%</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14</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胆のう及びその他の胆道の悪性新生物</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14</w:t>
            </w:r>
            <w:r>
              <w:rPr>
                <w:rFonts w:hint="eastAsia"/>
              </w:rPr>
              <w:t>位</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慢性閉塞性肺疾患</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eastAsia"/>
              </w:rPr>
              <w:t>その他</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eastAsia"/>
              </w:rPr>
              <w:t>312</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38.3%</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42.3%</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42.0%</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eastAsia"/>
              </w:rPr>
              <w:t>-</w:t>
            </w:r>
          </w:p>
        </w:tc>
        <w:tc>
          <w:tcPr>
            <w:tcW w:w="1563" w:type="pct"/>
            <w:shd w:val="clear" w:color="auto" w:fill="auto"/>
            <w:tcMar>
              <w:top w:w="28" w:type="dxa"/>
              <w:left w:w="28" w:type="dxa"/>
              <w:bottom w:w="28" w:type="dxa"/>
              <w:right w:w="28" w:type="dxa"/>
            </w:tcMar>
            <w:vAlign w:val="center"/>
          </w:tcPr>
          <w:p>
            <w:pPr>
              <w:pStyle w:val="0"/>
              <w:rPr>
                <w:rFonts w:hint="default"/>
              </w:rPr>
            </w:pPr>
            <w:r>
              <w:rPr>
                <w:rFonts w:hint="default"/>
              </w:rPr>
              <w:t>死亡総数</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815</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77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779"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bl>
    <w:p>
      <w:pPr>
        <w:pStyle w:val="44"/>
        <w:rPr>
          <w:rFonts w:hint="default"/>
        </w:rPr>
      </w:pPr>
      <w:r>
        <w:rPr>
          <w:rFonts w:hint="default"/>
        </w:rPr>
        <w:t>【出典】厚生労働省</w:t>
      </w:r>
      <w:r>
        <w:rPr>
          <w:rFonts w:hint="default"/>
        </w:rPr>
        <w:t xml:space="preserve"> </w:t>
      </w:r>
      <w:r>
        <w:rPr>
          <w:rFonts w:hint="default"/>
        </w:rPr>
        <w:t>人口動態調査</w:t>
      </w:r>
      <w:r>
        <w:rPr>
          <w:rFonts w:hint="default"/>
        </w:rPr>
        <w:t xml:space="preserve"> </w:t>
      </w:r>
      <w:r>
        <w:rPr>
          <w:rFonts w:hint="eastAsia"/>
        </w:rPr>
        <w:t>令和</w:t>
      </w:r>
      <w:r>
        <w:rPr>
          <w:rFonts w:hint="eastAsia"/>
        </w:rPr>
        <w:t>3</w:t>
      </w:r>
      <w:r>
        <w:rPr>
          <w:rFonts w:hint="eastAsia"/>
        </w:rPr>
        <w:t>年</w:t>
      </w:r>
    </w:p>
    <w:p>
      <w:pPr>
        <w:pStyle w:val="38"/>
        <w:rPr>
          <w:rFonts w:hint="default"/>
        </w:rPr>
      </w:pPr>
      <w:bookmarkStart w:id="44" w:name="_Ref13088734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44"/>
      <w:r>
        <w:rPr>
          <w:rFonts w:hint="default"/>
        </w:rPr>
        <w:t>：</w:t>
      </w:r>
      <w:r>
        <w:rPr>
          <w:rFonts w:hint="eastAsia"/>
          <w:color w:val="000000"/>
        </w:rPr>
        <w:t>死因別</w:t>
      </w:r>
      <w:r>
        <w:rPr>
          <w:rFonts w:hint="default"/>
          <w:color w:val="000000"/>
        </w:rPr>
        <w:t>割合</w:t>
      </w:r>
      <w:r>
        <w:rPr>
          <w:rFonts w:hint="eastAsia"/>
          <w:color w:val="000000"/>
        </w:rPr>
        <w:t>の県との比較</w:t>
      </w:r>
    </w:p>
    <w:tbl>
      <w:tblPr>
        <w:tblStyle w:val="11"/>
        <w:tblpPr w:leftFromText="142" w:rightFromText="142" w:topFromText="0" w:bottomFromText="0" w:vertAnchor="text" w:horzAnchor="text" w:tblpX="83" w:tblpY="68"/>
        <w:tblW w:w="5000" w:type="pct"/>
        <w:tblBorders>
          <w:top w:val="single" w:color="auto" w:sz="4" w:space="0"/>
          <w:left w:val="single" w:color="auto" w:sz="4" w:space="0"/>
          <w:bottom w:val="single" w:color="auto" w:sz="4" w:space="0"/>
          <w:right w:val="single" w:color="auto" w:sz="4" w:space="0"/>
        </w:tblBorders>
        <w:tblLayout w:type="fixed"/>
        <w:tblLook w:firstRow="0" w:lastRow="0" w:firstColumn="0" w:lastColumn="0" w:noHBand="1" w:noVBand="1" w:val="0600"/>
      </w:tblPr>
      <w:tblGrid>
        <w:gridCol w:w="552"/>
        <w:gridCol w:w="552"/>
        <w:gridCol w:w="552"/>
        <w:gridCol w:w="552"/>
        <w:gridCol w:w="552"/>
        <w:gridCol w:w="552"/>
        <w:gridCol w:w="552"/>
        <w:gridCol w:w="552"/>
        <w:gridCol w:w="551"/>
        <w:gridCol w:w="551"/>
        <w:gridCol w:w="551"/>
        <w:gridCol w:w="551"/>
        <w:gridCol w:w="551"/>
        <w:gridCol w:w="551"/>
        <w:gridCol w:w="551"/>
        <w:gridCol w:w="551"/>
        <w:gridCol w:w="551"/>
      </w:tblGrid>
      <w:tr>
        <w:trPr>
          <w:cantSplit/>
          <w:trHeight w:val="2256"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eastAsia"/>
                <w:b w:val="1"/>
                <w:color w:val="000000"/>
              </w:rPr>
              <w:t>八街市の方が</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心不全</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老衰</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脳血管疾患</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肺炎</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大腸の悪性新生物</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気管、気管支及び</w:t>
            </w:r>
          </w:p>
          <w:p>
            <w:pPr>
              <w:pStyle w:val="0"/>
              <w:jc w:val="both"/>
              <w:rPr>
                <w:rFonts w:hint="default"/>
                <w:b w:val="1"/>
                <w:color w:val="000000"/>
              </w:rPr>
            </w:pPr>
            <w:r>
              <w:rPr>
                <w:rFonts w:hint="default"/>
                <w:b w:val="1"/>
                <w:color w:val="000000"/>
              </w:rPr>
              <w:t>肺の悪性新生物</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胃の悪性新生物</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膵の悪性新生物</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虚血性心疾患</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不整脈及び伝導障害</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肝疾患</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自殺</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腎不全</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胆のう及び</w:t>
            </w:r>
          </w:p>
          <w:p>
            <w:pPr>
              <w:pStyle w:val="0"/>
              <w:jc w:val="both"/>
              <w:rPr>
                <w:rFonts w:hint="default"/>
                <w:b w:val="1"/>
                <w:color w:val="000000"/>
              </w:rPr>
            </w:pPr>
            <w:r>
              <w:rPr>
                <w:rFonts w:hint="default"/>
                <w:b w:val="1"/>
                <w:color w:val="000000"/>
              </w:rPr>
              <w:t>その他の胆道の悪性新生物</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default"/>
                <w:b w:val="1"/>
                <w:color w:val="000000"/>
              </w:rPr>
              <w:t>慢性閉塞性肺疾患</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vAlign w:val="center"/>
          </w:tcPr>
          <w:p>
            <w:pPr>
              <w:pStyle w:val="0"/>
              <w:jc w:val="both"/>
              <w:rPr>
                <w:rFonts w:hint="default"/>
                <w:b w:val="1"/>
                <w:color w:val="000000"/>
              </w:rPr>
            </w:pPr>
            <w:r>
              <w:rPr>
                <w:rFonts w:hint="eastAsia"/>
                <w:b w:val="1"/>
                <w:color w:val="000000"/>
              </w:rPr>
              <w:t>その他</w:t>
            </w:r>
          </w:p>
        </w:tc>
      </w:tr>
      <w:tr>
        <w:trPr>
          <w:trHeight w:val="139"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color w:val="000000"/>
              </w:rPr>
            </w:pPr>
            <w:r>
              <w:rPr>
                <w:rFonts w:hint="eastAsia"/>
                <w:color w:val="000000"/>
              </w:rPr>
              <w:t>高い</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2</w:t>
            </w:r>
            <w:r>
              <w:rPr>
                <w:rFonts w:hint="default"/>
                <w:color w:val="000000"/>
              </w:rPr>
              <w:t>.9</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1.3</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0.9</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0.8</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0.6</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1.0</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0.6</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0.1</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0.4</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r>
      <w:tr>
        <w:trPr>
          <w:trHeight w:val="172"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color w:val="000000"/>
              </w:rPr>
            </w:pPr>
            <w:r>
              <w:rPr>
                <w:rFonts w:hint="eastAsia"/>
                <w:color w:val="000000"/>
              </w:rPr>
              <w:t>低い</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default"/>
                <w:color w:val="000000"/>
              </w:rPr>
              <w:t>-1</w:t>
            </w:r>
            <w:r>
              <w:rPr>
                <w:rFonts w:hint="eastAsia"/>
                <w:color w:val="000000"/>
              </w:rPr>
              <w:t>.8</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-0.1</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-1.1</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-1.3</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-1.0</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-0.3</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w:t>
            </w:r>
          </w:p>
        </w:tc>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default"/>
                <w:color w:val="000000"/>
              </w:rPr>
            </w:pPr>
            <w:r>
              <w:rPr>
                <w:rFonts w:hint="eastAsia"/>
                <w:color w:val="000000"/>
              </w:rPr>
              <w:t>-3.7</w:t>
            </w:r>
          </w:p>
        </w:tc>
      </w:tr>
    </w:tbl>
    <w:p>
      <w:pPr>
        <w:pStyle w:val="39"/>
        <w:ind w:left="0" w:firstLine="0" w:firstLineChars="0"/>
        <w:rPr>
          <w:rFonts w:hint="default"/>
        </w:rPr>
      </w:pPr>
    </w:p>
    <w:p>
      <w:pPr>
        <w:pStyle w:val="0"/>
        <w:rPr>
          <w:rFonts w:hint="default"/>
          <w:sz w:val="20"/>
        </w:rPr>
      </w:pPr>
      <w:r>
        <w:rPr>
          <w:rFonts w:hint="default"/>
        </w:rPr>
        <w:br w:type="page"/>
      </w:r>
    </w:p>
    <w:p>
      <w:pPr>
        <w:pStyle w:val="4"/>
        <w:rPr>
          <w:rFonts w:hint="default"/>
        </w:rPr>
      </w:pPr>
      <w:r>
        <w:rPr>
          <w:rFonts w:hint="eastAsia"/>
        </w:rPr>
        <w:t>死因別の</w:t>
      </w:r>
      <w:r>
        <w:rPr>
          <w:rFonts w:hint="default"/>
        </w:rPr>
        <w:t>標準化死亡比（</w:t>
      </w:r>
      <w:r>
        <w:rPr>
          <w:rFonts w:hint="default"/>
        </w:rPr>
        <w:t>SMR</w:t>
      </w:r>
      <w:r>
        <w:rPr>
          <w:rFonts w:hint="default"/>
        </w:rPr>
        <w:t>）</w:t>
      </w:r>
      <w:r>
        <w:rPr>
          <w:rFonts w:hint="default"/>
        </w:rPr>
        <w:tab/>
      </w:r>
    </w:p>
    <w:p>
      <w:pPr>
        <w:pStyle w:val="39"/>
        <w:ind w:firstLine="200"/>
        <w:rPr>
          <w:rFonts w:hint="default"/>
        </w:rPr>
      </w:pPr>
      <w:r>
        <w:rPr>
          <w:rFonts w:hint="eastAsia"/>
        </w:rPr>
        <w:t>平成</w:t>
      </w:r>
      <w:r>
        <w:rPr>
          <w:rFonts w:hint="eastAsia"/>
        </w:rPr>
        <w:t>2</w:t>
      </w:r>
      <w:r>
        <w:rPr>
          <w:rFonts w:hint="default"/>
        </w:rPr>
        <w:t>5</w:t>
      </w:r>
      <w:r>
        <w:rPr>
          <w:rFonts w:hint="default"/>
        </w:rPr>
        <w:t>年から平成</w:t>
      </w:r>
      <w:r>
        <w:rPr>
          <w:rFonts w:hint="default"/>
        </w:rPr>
        <w:t>29</w:t>
      </w:r>
      <w:r>
        <w:rPr>
          <w:rFonts w:hint="default"/>
        </w:rPr>
        <w:t>年までの累積疾病別死亡者数（</w:t>
      </w:r>
      <w:r>
        <w:rPr>
          <w:rFonts w:hint="eastAsia"/>
        </w:rPr>
        <w:fldChar w:fldCharType="begin"/>
      </w:r>
      <w:r>
        <w:rPr>
          <w:rFonts w:hint="eastAsia"/>
        </w:rPr>
        <w:instrText xml:space="preserve">REF _Ref122519641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3</w:t>
      </w:r>
      <w:r>
        <w:rPr>
          <w:rFonts w:hint="eastAsia"/>
        </w:rPr>
        <w:fldChar w:fldCharType="end"/>
      </w:r>
      <w:r>
        <w:rPr>
          <w:rFonts w:hint="default"/>
        </w:rPr>
        <w:t>・</w:t>
      </w:r>
      <w:r>
        <w:rPr>
          <w:rFonts w:hint="eastAsia"/>
        </w:rPr>
        <w:fldChar w:fldCharType="begin"/>
      </w:r>
      <w:r>
        <w:rPr>
          <w:rFonts w:hint="eastAsia"/>
        </w:rPr>
        <w:instrText xml:space="preserve">REF _Ref131395679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4</w:t>
      </w:r>
      <w:r>
        <w:rPr>
          <w:rFonts w:hint="eastAsia"/>
        </w:rPr>
        <w:fldChar w:fldCharType="end"/>
      </w:r>
      <w:r>
        <w:rPr>
          <w:rFonts w:hint="default"/>
        </w:rPr>
        <w:t>）をみると、男性の死因第</w:t>
      </w:r>
      <w:r>
        <w:rPr>
          <w:rFonts w:hint="eastAsia"/>
        </w:rPr>
        <w:t>1</w:t>
      </w:r>
      <w:r>
        <w:rPr>
          <w:rFonts w:hint="default"/>
        </w:rPr>
        <w:t>位は「脳血管疾患」、第</w:t>
      </w:r>
      <w:r>
        <w:rPr>
          <w:rFonts w:hint="default"/>
        </w:rPr>
        <w:t>2</w:t>
      </w:r>
      <w:r>
        <w:rPr>
          <w:rFonts w:hint="default"/>
        </w:rPr>
        <w:t>位は「肺炎」、第</w:t>
      </w:r>
      <w:r>
        <w:rPr>
          <w:rFonts w:hint="default"/>
        </w:rPr>
        <w:t>3</w:t>
      </w:r>
      <w:r>
        <w:rPr>
          <w:rFonts w:hint="default"/>
        </w:rPr>
        <w:t>位は「心不全」となっている。女性の死因第</w:t>
      </w:r>
      <w:r>
        <w:rPr>
          <w:rFonts w:hint="eastAsia"/>
        </w:rPr>
        <w:t>1</w:t>
      </w:r>
      <w:r>
        <w:rPr>
          <w:rFonts w:hint="default"/>
        </w:rPr>
        <w:t>位は「心不全」、第</w:t>
      </w:r>
      <w:r>
        <w:rPr>
          <w:rFonts w:hint="default"/>
        </w:rPr>
        <w:t>2</w:t>
      </w:r>
      <w:r>
        <w:rPr>
          <w:rFonts w:hint="default"/>
        </w:rPr>
        <w:t>位は「脳血管疾患」、第</w:t>
      </w:r>
      <w:r>
        <w:rPr>
          <w:rFonts w:hint="default"/>
        </w:rPr>
        <w:t>3</w:t>
      </w:r>
      <w:r>
        <w:rPr>
          <w:rFonts w:hint="default"/>
        </w:rPr>
        <w:t>位は「肺炎」となっている。</w:t>
      </w:r>
    </w:p>
    <w:p>
      <w:pPr>
        <w:pStyle w:val="39"/>
        <w:ind w:firstLine="200"/>
        <w:rPr>
          <w:rFonts w:hint="default"/>
        </w:rPr>
      </w:pPr>
      <w:r>
        <w:rPr>
          <w:rFonts w:hint="eastAsia"/>
        </w:rPr>
        <w:t>国・</w:t>
      </w:r>
      <w:r>
        <w:rPr>
          <w:rFonts w:hint="default"/>
        </w:rPr>
        <w:t>県と死亡状況を比較するため年齢調整を行った標準化死亡比（</w:t>
      </w:r>
      <w:r>
        <w:rPr>
          <w:rFonts w:hint="default"/>
        </w:rPr>
        <w:t>SMR</w:t>
      </w:r>
      <w:r>
        <w:rPr>
          <w:rFonts w:hint="default"/>
        </w:rPr>
        <w:t>）を求めると、男性では、「心不全」（</w:t>
      </w:r>
      <w:r>
        <w:rPr>
          <w:rFonts w:hint="default"/>
        </w:rPr>
        <w:t>257.8</w:t>
      </w:r>
      <w:r>
        <w:rPr>
          <w:rFonts w:hint="default"/>
        </w:rPr>
        <w:t>）「脳血管疾患」（</w:t>
      </w:r>
      <w:r>
        <w:rPr>
          <w:rFonts w:hint="default"/>
        </w:rPr>
        <w:t>137.0</w:t>
      </w:r>
      <w:r>
        <w:rPr>
          <w:rFonts w:hint="default"/>
        </w:rPr>
        <w:t>）「肺炎」（</w:t>
      </w:r>
      <w:r>
        <w:rPr>
          <w:rFonts w:hint="default"/>
        </w:rPr>
        <w:t>127.5</w:t>
      </w:r>
      <w:r>
        <w:rPr>
          <w:rFonts w:hint="default"/>
        </w:rPr>
        <w:t>）が高くなっている。女性では、「心不全」（</w:t>
      </w:r>
      <w:r>
        <w:rPr>
          <w:rFonts w:hint="default"/>
        </w:rPr>
        <w:t>205.0</w:t>
      </w:r>
      <w:r>
        <w:rPr>
          <w:rFonts w:hint="default"/>
        </w:rPr>
        <w:t>）「肺炎」（</w:t>
      </w:r>
      <w:r>
        <w:rPr>
          <w:rFonts w:hint="default"/>
        </w:rPr>
        <w:t>165.4</w:t>
      </w:r>
      <w:r>
        <w:rPr>
          <w:rFonts w:hint="default"/>
        </w:rPr>
        <w:t>）「脳血管疾患」（</w:t>
      </w:r>
      <w:r>
        <w:rPr>
          <w:rFonts w:hint="default"/>
        </w:rPr>
        <w:t>142.1</w:t>
      </w:r>
      <w:r>
        <w:rPr>
          <w:rFonts w:hint="default"/>
        </w:rPr>
        <w:t>）が高くなっている。</w:t>
      </w:r>
    </w:p>
    <w:p>
      <w:pPr>
        <w:pStyle w:val="39"/>
        <w:ind w:firstLine="200"/>
        <w:rPr>
          <w:rFonts w:hint="default"/>
        </w:rPr>
      </w:pPr>
      <w:r>
        <w:rPr>
          <w:rFonts w:hint="eastAsia"/>
        </w:rPr>
        <w:t>保健事業により予防可能な疾患に焦点をあてて</w:t>
      </w:r>
      <w:r>
        <w:rPr>
          <w:rFonts w:hint="default"/>
        </w:rPr>
        <w:t>SMR</w:t>
      </w:r>
      <w:r>
        <w:rPr>
          <w:rFonts w:hint="default"/>
        </w:rPr>
        <w:t>をみると、男性では「脳血管疾患」は</w:t>
      </w:r>
      <w:r>
        <w:rPr>
          <w:rFonts w:hint="default"/>
        </w:rPr>
        <w:t>137.0</w:t>
      </w:r>
      <w:r>
        <w:rPr>
          <w:rFonts w:hint="default"/>
        </w:rPr>
        <w:t>、「腎不全」は</w:t>
      </w:r>
      <w:r>
        <w:rPr>
          <w:rFonts w:hint="default"/>
        </w:rPr>
        <w:t>99.2</w:t>
      </w:r>
      <w:r>
        <w:rPr>
          <w:rFonts w:hint="eastAsia"/>
        </w:rPr>
        <w:t>、</w:t>
      </w:r>
      <w:r>
        <w:rPr>
          <w:rFonts w:hint="default"/>
        </w:rPr>
        <w:t>「急性心筋梗塞」は</w:t>
      </w:r>
      <w:r>
        <w:rPr>
          <w:rFonts w:hint="default"/>
        </w:rPr>
        <w:t>90.9</w:t>
      </w:r>
      <w:r>
        <w:rPr>
          <w:rFonts w:hint="default"/>
        </w:rPr>
        <w:t>、となっており、女性では「脳血管疾患」は</w:t>
      </w:r>
      <w:r>
        <w:rPr>
          <w:rFonts w:hint="default"/>
        </w:rPr>
        <w:t>142.1</w:t>
      </w:r>
      <w:r>
        <w:rPr>
          <w:rFonts w:hint="default"/>
        </w:rPr>
        <w:t>、</w:t>
      </w:r>
    </w:p>
    <w:p>
      <w:pPr>
        <w:pStyle w:val="39"/>
        <w:ind w:left="0" w:firstLine="300" w:firstLineChars="150"/>
        <w:rPr>
          <w:rFonts w:hint="default"/>
        </w:rPr>
      </w:pPr>
      <w:r>
        <w:rPr>
          <w:rFonts w:hint="default"/>
        </w:rPr>
        <w:t>「腎不全」は</w:t>
      </w:r>
      <w:r>
        <w:rPr>
          <w:rFonts w:hint="default"/>
        </w:rPr>
        <w:t>101.9</w:t>
      </w:r>
      <w:r>
        <w:rPr>
          <w:rFonts w:hint="default"/>
        </w:rPr>
        <w:t>「急性心筋梗塞」は</w:t>
      </w:r>
      <w:r>
        <w:rPr>
          <w:rFonts w:hint="default"/>
        </w:rPr>
        <w:t>84.3</w:t>
      </w:r>
      <w:r>
        <w:rPr>
          <w:rFonts w:hint="default"/>
        </w:rPr>
        <w:t>、となっている。</w:t>
      </w:r>
    </w:p>
    <w:p>
      <w:pPr>
        <w:pStyle w:val="0"/>
        <w:rPr>
          <w:rFonts w:hint="default"/>
        </w:rPr>
      </w:pPr>
    </w:p>
    <w:p>
      <w:pPr>
        <w:pStyle w:val="42"/>
        <w:rPr>
          <w:rFonts w:hint="default"/>
        </w:rPr>
      </w:pPr>
      <w:r>
        <w:rPr>
          <w:rFonts w:hint="eastAsia"/>
        </w:rPr>
        <w:t>※標準化死亡比（</w:t>
      </w:r>
      <w:r>
        <w:rPr>
          <w:rFonts w:hint="default"/>
        </w:rPr>
        <w:t>SMR</w:t>
      </w:r>
      <w:r>
        <w:rPr>
          <w:rFonts w:hint="default"/>
        </w:rPr>
        <w:t>）：基準死亡率（人口</w:t>
      </w:r>
      <w:r>
        <w:rPr>
          <w:rFonts w:hint="default"/>
        </w:rPr>
        <w:t>10</w:t>
      </w:r>
      <w:r>
        <w:rPr>
          <w:rFonts w:hint="default"/>
        </w:rPr>
        <w:t>万対の死亡者数）を対象地域に当てはめた場合に、計算により求められる期待される死亡者数と実際に観察された死亡者数を比較するものである。国の平均を</w:t>
      </w:r>
      <w:r>
        <w:rPr>
          <w:rFonts w:hint="default"/>
        </w:rPr>
        <w:t>100</w:t>
      </w:r>
      <w:r>
        <w:rPr>
          <w:rFonts w:hint="default"/>
        </w:rPr>
        <w:t>としており、標準化死亡比が</w:t>
      </w:r>
      <w:r>
        <w:rPr>
          <w:rFonts w:hint="default"/>
        </w:rPr>
        <w:t>100</w:t>
      </w:r>
      <w:r>
        <w:rPr>
          <w:rFonts w:hint="default"/>
        </w:rPr>
        <w:t>以上の場合は国の平均より死亡率が高いと判断され、</w:t>
      </w:r>
      <w:r>
        <w:rPr>
          <w:rFonts w:hint="default"/>
        </w:rPr>
        <w:t>100</w:t>
      </w:r>
      <w:r>
        <w:rPr>
          <w:rFonts w:hint="default"/>
        </w:rPr>
        <w:t>以下の場合は死亡率が低いと判断される</w:t>
      </w:r>
    </w:p>
    <w:p>
      <w:pPr>
        <w:pStyle w:val="0"/>
        <w:rPr>
          <w:rFonts w:hint="default"/>
        </w:rPr>
      </w:pPr>
    </w:p>
    <w:p>
      <w:pPr>
        <w:pStyle w:val="38"/>
        <w:rPr>
          <w:rFonts w:hint="default"/>
        </w:rPr>
      </w:pPr>
      <w:bookmarkStart w:id="45" w:name="_Ref122519641"/>
      <w:bookmarkStart w:id="46" w:name="_Toc12493681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45"/>
      <w:r>
        <w:rPr>
          <w:rFonts w:hint="default"/>
        </w:rPr>
        <w:t>：</w:t>
      </w:r>
      <w:bookmarkEnd w:id="46"/>
      <w:r>
        <w:rPr>
          <w:rFonts w:hint="default"/>
        </w:rPr>
        <w:t>平成</w:t>
      </w:r>
      <w:r>
        <w:rPr>
          <w:rFonts w:hint="default"/>
        </w:rPr>
        <w:t>2</w:t>
      </w:r>
      <w:r>
        <w:rPr>
          <w:rFonts w:hint="eastAsia"/>
        </w:rPr>
        <w:t>5</w:t>
      </w:r>
      <w:r>
        <w:rPr>
          <w:rFonts w:hint="default"/>
        </w:rPr>
        <w:t>年から</w:t>
      </w:r>
      <w:r>
        <w:rPr>
          <w:rFonts w:hint="eastAsia"/>
        </w:rPr>
        <w:t>平成</w:t>
      </w:r>
      <w:r>
        <w:rPr>
          <w:rFonts w:hint="eastAsia"/>
        </w:rPr>
        <w:t>29</w:t>
      </w:r>
      <w:r>
        <w:rPr>
          <w:rFonts w:hint="default"/>
        </w:rPr>
        <w:t>年までの</w:t>
      </w:r>
      <w:r>
        <w:rPr>
          <w:rFonts w:hint="eastAsia"/>
        </w:rPr>
        <w:t>死因別の</w:t>
      </w:r>
      <w:r>
        <w:rPr>
          <w:rFonts w:hint="default"/>
        </w:rPr>
        <w:t>死亡者数と</w:t>
      </w:r>
      <w:r>
        <w:rPr>
          <w:rFonts w:hint="default"/>
        </w:rPr>
        <w:t>SMR</w:t>
      </w:r>
      <w:r>
        <w:rPr>
          <w:rFonts w:hint="eastAsia"/>
        </w:rPr>
        <w:t>_</w:t>
      </w:r>
      <w:r>
        <w:rPr>
          <w:rFonts w:hint="eastAsia"/>
        </w:rPr>
        <w:t>男性</w:t>
      </w:r>
    </w:p>
    <w:p>
      <w:pPr>
        <w:pStyle w:val="0"/>
        <w:jc w:val="center"/>
        <w:rPr>
          <w:rFonts w:hint="default"/>
        </w:rPr>
      </w:pPr>
      <w:r>
        <w:rPr>
          <w:rFonts w:hint="eastAsia"/>
        </w:rPr>
        <w:drawing>
          <wp:inline distT="0" distB="0" distL="0" distR="0">
            <wp:extent cx="5939790" cy="2519680"/>
            <wp:effectExtent l="0" t="0" r="0" b="0"/>
            <wp:docPr id="1070" name="オブジェクト 0"/>
            <a:graphic xmlns:a="http://schemas.openxmlformats.org/drawingml/2006/main">
              <a:graphicData uri="http://schemas.openxmlformats.org/drawingml/2006/chart">
                <c:chart xmlns:c="http://schemas.openxmlformats.org/drawingml/2006/chart" r:id="rId23"/>
              </a:graphicData>
            </a:graphic>
          </wp:inline>
        </w:drawing>
      </w:r>
    </w:p>
    <w:tbl>
      <w:tblPr>
        <w:tblStyle w:val="11"/>
        <w:tblW w:w="5000" w:type="pct"/>
        <w:tblInd w:w="0" w:type="dxa"/>
        <w:tblLayout w:type="fixed"/>
        <w:tblCellMar>
          <w:top w:w="15" w:type="dxa"/>
          <w:left w:w="15" w:type="dxa"/>
          <w:bottom w:w="15" w:type="dxa"/>
          <w:right w:w="15" w:type="dxa"/>
        </w:tblCellMar>
        <w:tblLook w:firstRow="1" w:lastRow="0" w:firstColumn="1" w:lastColumn="0" w:noHBand="0" w:noVBand="1" w:val="04A0"/>
      </w:tblPr>
      <w:tblGrid>
        <w:gridCol w:w="554"/>
        <w:gridCol w:w="1384"/>
        <w:gridCol w:w="758"/>
        <w:gridCol w:w="677"/>
        <w:gridCol w:w="681"/>
        <w:gridCol w:w="609"/>
        <w:gridCol w:w="144"/>
        <w:gridCol w:w="606"/>
        <w:gridCol w:w="1367"/>
        <w:gridCol w:w="759"/>
        <w:gridCol w:w="609"/>
        <w:gridCol w:w="606"/>
        <w:gridCol w:w="621"/>
      </w:tblGrid>
      <w:tr>
        <w:trPr>
          <w:trHeight w:val="32" w:hRule="atLeast"/>
        </w:trPr>
        <w:tc>
          <w:tcPr>
            <w:tcW w:w="295"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順位</w:t>
            </w:r>
          </w:p>
        </w:tc>
        <w:tc>
          <w:tcPr>
            <w:tcW w:w="738"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死因</w:t>
            </w:r>
          </w:p>
        </w:tc>
        <w:tc>
          <w:tcPr>
            <w:tcW w:w="404"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死亡者数</w:t>
            </w:r>
          </w:p>
          <w:p>
            <w:pPr>
              <w:pStyle w:val="0"/>
              <w:jc w:val="center"/>
              <w:rPr>
                <w:rFonts w:hint="default"/>
                <w:b w:val="1"/>
              </w:rPr>
            </w:pPr>
            <w:r>
              <w:rPr>
                <w:rFonts w:hint="eastAsia"/>
                <w:b w:val="1"/>
              </w:rPr>
              <w:t>（人）</w:t>
            </w:r>
          </w:p>
        </w:tc>
        <w:tc>
          <w:tcPr>
            <w:tcW w:w="1049"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標準化死亡比（</w:t>
            </w:r>
            <w:r>
              <w:rPr>
                <w:rFonts w:hint="eastAsia"/>
                <w:b w:val="1"/>
              </w:rPr>
              <w:t>SMR</w:t>
            </w:r>
            <w:r>
              <w:rPr>
                <w:rFonts w:hint="eastAsia"/>
                <w:b w:val="1"/>
              </w:rPr>
              <w:t>）</w:t>
            </w:r>
          </w:p>
        </w:tc>
        <w:tc>
          <w:tcPr>
            <w:tcW w:w="77" w:type="pct"/>
            <w:vMerge w:val="restart"/>
            <w:tcBorders>
              <w:top w:val="single" w:color="FFFFFF" w:themeColor="background1" w:sz="2"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順位</w:t>
            </w:r>
          </w:p>
        </w:tc>
        <w:tc>
          <w:tcPr>
            <w:tcW w:w="729"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死因</w:t>
            </w:r>
          </w:p>
        </w:tc>
        <w:tc>
          <w:tcPr>
            <w:tcW w:w="405"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死亡者数</w:t>
            </w:r>
          </w:p>
          <w:p>
            <w:pPr>
              <w:pStyle w:val="0"/>
              <w:jc w:val="center"/>
              <w:rPr>
                <w:rFonts w:hint="default"/>
                <w:b w:val="1"/>
              </w:rPr>
            </w:pPr>
            <w:r>
              <w:rPr>
                <w:rFonts w:hint="eastAsia"/>
                <w:b w:val="1"/>
              </w:rPr>
              <w:t>（人）</w:t>
            </w:r>
          </w:p>
        </w:tc>
        <w:tc>
          <w:tcPr>
            <w:tcW w:w="979"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標準化死亡比（</w:t>
            </w:r>
            <w:r>
              <w:rPr>
                <w:rFonts w:hint="eastAsia"/>
                <w:b w:val="1"/>
              </w:rPr>
              <w:t>SMR</w:t>
            </w:r>
            <w:r>
              <w:rPr>
                <w:rFonts w:hint="eastAsia"/>
                <w:b w:val="1"/>
              </w:rPr>
              <w:t>）</w:t>
            </w:r>
          </w:p>
        </w:tc>
      </w:tr>
      <w:tr>
        <w:trPr>
          <w:trHeight w:val="25" w:hRule="atLeast"/>
        </w:trPr>
        <w:tc>
          <w:tcPr>
            <w:tcW w:w="29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738"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404"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県</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729"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40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県</w:t>
            </w:r>
          </w:p>
        </w:tc>
        <w:tc>
          <w:tcPr>
            <w:tcW w:w="33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脳血管疾患</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195</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137.0</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94.5</w:t>
            </w:r>
          </w:p>
        </w:tc>
        <w:tc>
          <w:tcPr>
            <w:tcW w:w="325"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eastAsia"/>
              </w:rPr>
              <w:t>100</w:t>
            </w: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8</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急性心筋梗塞</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50</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90.9</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101.5</w:t>
            </w:r>
          </w:p>
        </w:tc>
        <w:tc>
          <w:tcPr>
            <w:tcW w:w="331"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eastAsia"/>
              </w:rPr>
              <w:t>100</w:t>
            </w: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2</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肺炎</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186</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127.5</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104.0</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10</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自殺</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49</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102.8</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98.2</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3</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心不全</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169</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257.8</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117.8</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11</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肝疾患</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33</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97.4</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84.9</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4</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気管、気管支及び肺の悪性新生物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145</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98.6</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94.8</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12</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腎不全</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30</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99.2</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89.4</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胃の悪性新生物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104</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116.8</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101.9</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12</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老衰</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30</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75.9</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107.2</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6</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大腸の悪性新生物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95</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115.4</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99.5</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参考</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がん</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644</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105.6</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96.6</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7</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不慮の事故</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73</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114.2</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81.9</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参考</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心疾患</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369</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153.2</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115.0</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8</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肝及び肝内胆管の悪性新生物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50</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94.5</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91.2</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参考</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全死因</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1,968</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115.2</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97.4</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bl>
    <w:p>
      <w:pPr>
        <w:pStyle w:val="40"/>
        <w:rPr>
          <w:rFonts w:hint="default"/>
        </w:rPr>
      </w:pPr>
      <w:r>
        <w:rPr>
          <w:rFonts w:hint="eastAsia"/>
        </w:rPr>
        <w:t>【出典】厚生労働省</w:t>
      </w:r>
      <w:r>
        <w:rPr>
          <w:rFonts w:hint="default"/>
        </w:rPr>
        <w:t xml:space="preserve"> </w:t>
      </w:r>
      <w:r>
        <w:rPr>
          <w:rFonts w:hint="default"/>
        </w:rPr>
        <w:t>平成</w:t>
      </w:r>
      <w:r>
        <w:rPr>
          <w:rFonts w:hint="default"/>
        </w:rPr>
        <w:t>25</w:t>
      </w:r>
      <w:r>
        <w:rPr>
          <w:rFonts w:hint="eastAsia"/>
        </w:rPr>
        <w:t>～</w:t>
      </w:r>
      <w:r>
        <w:rPr>
          <w:rFonts w:hint="default"/>
        </w:rPr>
        <w:t>29</w:t>
      </w:r>
      <w:r>
        <w:rPr>
          <w:rFonts w:hint="default"/>
        </w:rPr>
        <w:t>年</w:t>
      </w:r>
      <w:r>
        <w:rPr>
          <w:rFonts w:hint="eastAsia"/>
        </w:rPr>
        <w:t xml:space="preserve"> </w:t>
      </w:r>
      <w:r>
        <w:rPr>
          <w:rFonts w:hint="default"/>
        </w:rPr>
        <w:t>人口動態保健所・市区町村別統計</w:t>
      </w:r>
    </w:p>
    <w:p>
      <w:pPr>
        <w:pStyle w:val="0"/>
        <w:rPr>
          <w:rFonts w:hint="default"/>
        </w:rPr>
      </w:pPr>
      <w:r>
        <w:rPr>
          <w:rFonts w:hint="default"/>
        </w:rPr>
        <w:br w:type="page"/>
      </w:r>
    </w:p>
    <w:p>
      <w:pPr>
        <w:pStyle w:val="38"/>
        <w:rPr>
          <w:rFonts w:hint="default"/>
        </w:rPr>
      </w:pPr>
      <w:bookmarkStart w:id="47" w:name="_Ref13139567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47"/>
      <w:r>
        <w:rPr>
          <w:rFonts w:hint="default"/>
        </w:rPr>
        <w:t>：平成</w:t>
      </w:r>
      <w:r>
        <w:rPr>
          <w:rFonts w:hint="default"/>
        </w:rPr>
        <w:t>2</w:t>
      </w:r>
      <w:r>
        <w:rPr>
          <w:rFonts w:hint="eastAsia"/>
        </w:rPr>
        <w:t>5</w:t>
      </w:r>
      <w:r>
        <w:rPr>
          <w:rFonts w:hint="default"/>
        </w:rPr>
        <w:t>年から</w:t>
      </w:r>
      <w:r>
        <w:rPr>
          <w:rFonts w:hint="eastAsia"/>
        </w:rPr>
        <w:t>平成</w:t>
      </w:r>
      <w:r>
        <w:rPr>
          <w:rFonts w:hint="eastAsia"/>
        </w:rPr>
        <w:t>29</w:t>
      </w:r>
      <w:r>
        <w:rPr>
          <w:rFonts w:hint="default"/>
        </w:rPr>
        <w:t>年までの</w:t>
      </w:r>
      <w:r>
        <w:rPr>
          <w:rFonts w:hint="eastAsia"/>
        </w:rPr>
        <w:t>死因別の</w:t>
      </w:r>
      <w:r>
        <w:rPr>
          <w:rFonts w:hint="default"/>
        </w:rPr>
        <w:t>死亡者数と</w:t>
      </w:r>
      <w:r>
        <w:rPr>
          <w:rFonts w:hint="default"/>
        </w:rPr>
        <w:t>SMR</w:t>
      </w:r>
      <w:r>
        <w:rPr>
          <w:rFonts w:hint="eastAsia"/>
        </w:rPr>
        <w:t>_</w:t>
      </w:r>
      <w:r>
        <w:rPr>
          <w:rFonts w:hint="eastAsia"/>
        </w:rPr>
        <w:t>女性</w:t>
      </w:r>
    </w:p>
    <w:p>
      <w:pPr>
        <w:pStyle w:val="0"/>
        <w:rPr>
          <w:rFonts w:hint="default"/>
        </w:rPr>
      </w:pPr>
      <w:r>
        <w:rPr>
          <w:rFonts w:hint="eastAsia"/>
        </w:rPr>
        <w:drawing>
          <wp:inline distT="0" distB="0" distL="0" distR="0">
            <wp:extent cx="5939790" cy="2519680"/>
            <wp:effectExtent l="0" t="0" r="0" b="0"/>
            <wp:docPr id="1071" name="オブジェクト 0"/>
            <a:graphic xmlns:a="http://schemas.openxmlformats.org/drawingml/2006/main">
              <a:graphicData uri="http://schemas.openxmlformats.org/drawingml/2006/chart">
                <c:chart xmlns:c="http://schemas.openxmlformats.org/drawingml/2006/chart" r:id="rId24"/>
              </a:graphicData>
            </a:graphic>
          </wp:inline>
        </w:drawing>
      </w:r>
    </w:p>
    <w:tbl>
      <w:tblPr>
        <w:tblStyle w:val="11"/>
        <w:tblW w:w="5000" w:type="pct"/>
        <w:tblInd w:w="0" w:type="dxa"/>
        <w:tblLayout w:type="fixed"/>
        <w:tblCellMar>
          <w:top w:w="15" w:type="dxa"/>
          <w:left w:w="15" w:type="dxa"/>
          <w:bottom w:w="15" w:type="dxa"/>
          <w:right w:w="15" w:type="dxa"/>
        </w:tblCellMar>
        <w:tblLook w:firstRow="1" w:lastRow="0" w:firstColumn="1" w:lastColumn="0" w:noHBand="0" w:noVBand="1" w:val="04A0"/>
      </w:tblPr>
      <w:tblGrid>
        <w:gridCol w:w="554"/>
        <w:gridCol w:w="1384"/>
        <w:gridCol w:w="758"/>
        <w:gridCol w:w="677"/>
        <w:gridCol w:w="681"/>
        <w:gridCol w:w="609"/>
        <w:gridCol w:w="144"/>
        <w:gridCol w:w="606"/>
        <w:gridCol w:w="1367"/>
        <w:gridCol w:w="759"/>
        <w:gridCol w:w="609"/>
        <w:gridCol w:w="606"/>
        <w:gridCol w:w="621"/>
      </w:tblGrid>
      <w:tr>
        <w:trPr>
          <w:trHeight w:val="32" w:hRule="atLeast"/>
        </w:trPr>
        <w:tc>
          <w:tcPr>
            <w:tcW w:w="295"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順位</w:t>
            </w:r>
          </w:p>
        </w:tc>
        <w:tc>
          <w:tcPr>
            <w:tcW w:w="738"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死因</w:t>
            </w:r>
          </w:p>
        </w:tc>
        <w:tc>
          <w:tcPr>
            <w:tcW w:w="404"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死亡者数</w:t>
            </w:r>
          </w:p>
          <w:p>
            <w:pPr>
              <w:pStyle w:val="0"/>
              <w:jc w:val="center"/>
              <w:rPr>
                <w:rFonts w:hint="default"/>
                <w:b w:val="1"/>
              </w:rPr>
            </w:pPr>
            <w:r>
              <w:rPr>
                <w:rFonts w:hint="eastAsia"/>
                <w:b w:val="1"/>
              </w:rPr>
              <w:t>（人）</w:t>
            </w:r>
          </w:p>
        </w:tc>
        <w:tc>
          <w:tcPr>
            <w:tcW w:w="1049"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標準化死亡比（</w:t>
            </w:r>
            <w:r>
              <w:rPr>
                <w:rFonts w:hint="eastAsia"/>
                <w:b w:val="1"/>
              </w:rPr>
              <w:t>SMR</w:t>
            </w:r>
            <w:r>
              <w:rPr>
                <w:rFonts w:hint="eastAsia"/>
                <w:b w:val="1"/>
              </w:rPr>
              <w:t>）</w:t>
            </w:r>
          </w:p>
        </w:tc>
        <w:tc>
          <w:tcPr>
            <w:tcW w:w="77" w:type="pct"/>
            <w:vMerge w:val="restart"/>
            <w:tcBorders>
              <w:top w:val="single" w:color="FFFFFF" w:themeColor="background1" w:sz="2"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順位</w:t>
            </w:r>
          </w:p>
        </w:tc>
        <w:tc>
          <w:tcPr>
            <w:tcW w:w="729"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死因</w:t>
            </w:r>
          </w:p>
        </w:tc>
        <w:tc>
          <w:tcPr>
            <w:tcW w:w="405"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死亡者数</w:t>
            </w:r>
          </w:p>
          <w:p>
            <w:pPr>
              <w:pStyle w:val="0"/>
              <w:jc w:val="center"/>
              <w:rPr>
                <w:rFonts w:hint="default"/>
                <w:b w:val="1"/>
              </w:rPr>
            </w:pPr>
            <w:r>
              <w:rPr>
                <w:rFonts w:hint="eastAsia"/>
                <w:b w:val="1"/>
              </w:rPr>
              <w:t>（人）</w:t>
            </w:r>
          </w:p>
        </w:tc>
        <w:tc>
          <w:tcPr>
            <w:tcW w:w="979"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標準化死亡比（</w:t>
            </w:r>
            <w:r>
              <w:rPr>
                <w:rFonts w:hint="eastAsia"/>
                <w:b w:val="1"/>
              </w:rPr>
              <w:t>SMR</w:t>
            </w:r>
            <w:r>
              <w:rPr>
                <w:rFonts w:hint="eastAsia"/>
                <w:b w:val="1"/>
              </w:rPr>
              <w:t>）</w:t>
            </w:r>
          </w:p>
        </w:tc>
      </w:tr>
      <w:tr>
        <w:trPr>
          <w:trHeight w:val="25" w:hRule="atLeast"/>
        </w:trPr>
        <w:tc>
          <w:tcPr>
            <w:tcW w:w="29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738"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404"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県</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729"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40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県</w:t>
            </w:r>
          </w:p>
        </w:tc>
        <w:tc>
          <w:tcPr>
            <w:tcW w:w="33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心不全</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187</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205.0</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115.6</w:t>
            </w:r>
          </w:p>
        </w:tc>
        <w:tc>
          <w:tcPr>
            <w:tcW w:w="325"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eastAsia"/>
              </w:rPr>
              <w:t>100</w:t>
            </w: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9</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腎不全</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30</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101.9</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85.5</w:t>
            </w:r>
          </w:p>
        </w:tc>
        <w:tc>
          <w:tcPr>
            <w:tcW w:w="331"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eastAsia"/>
              </w:rPr>
              <w:t>100</w:t>
            </w: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2</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脳血管疾患</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180</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142.1</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99.3</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10</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急性心筋梗塞</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28</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84.3</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99.7</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3</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肺炎</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178</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165.4</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114.1</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11</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肝及び肝内胆管の悪性新生物</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23</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95.1</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89.6</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4</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老衰</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100</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91.1</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109.9</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12</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自殺</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22</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109.0</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102.3</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大腸の悪性新生物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63</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107.4</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96.9</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13</w:t>
            </w:r>
            <w:r>
              <w:rPr>
                <w:rFonts w:hint="eastAsia"/>
              </w:rPr>
              <w:t>位</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肝疾患</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19</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113.7</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96.5</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6</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気管、気管支及び肺の悪性新生物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51</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100.1</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97.3</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参考</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がん</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414</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107.0</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97.5</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7</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胃の悪性新生物</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48</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113.5</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96.3</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参考</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心疾患</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323</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144.7</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112.9</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9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8</w:t>
            </w:r>
            <w:r>
              <w:rPr>
                <w:rFonts w:hint="eastAsia"/>
              </w:rPr>
              <w:t>位</w:t>
            </w:r>
          </w:p>
        </w:tc>
        <w:tc>
          <w:tcPr>
            <w:tcW w:w="73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不慮の事故</w:t>
            </w:r>
          </w:p>
        </w:tc>
        <w:tc>
          <w:tcPr>
            <w:tcW w:w="40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43</w:t>
            </w:r>
          </w:p>
        </w:tc>
        <w:tc>
          <w:tcPr>
            <w:tcW w:w="36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105.7</w:t>
            </w:r>
          </w:p>
        </w:tc>
        <w:tc>
          <w:tcPr>
            <w:tcW w:w="36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83.1</w:t>
            </w:r>
          </w:p>
        </w:tc>
        <w:tc>
          <w:tcPr>
            <w:tcW w:w="32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7" w:type="pct"/>
            <w:vMerge w:val="continue"/>
            <w:tcBorders>
              <w:top w:val="none" w:color="auto" w:sz="0" w:space="0"/>
              <w:left w:val="single" w:color="auto" w:sz="4" w:space="0"/>
              <w:bottom w:val="single" w:color="FFFFFF" w:themeColor="background1" w:sz="2"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参考</w:t>
            </w:r>
          </w:p>
        </w:tc>
        <w:tc>
          <w:tcPr>
            <w:tcW w:w="7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全死因</w:t>
            </w:r>
          </w:p>
        </w:tc>
        <w:tc>
          <w:tcPr>
            <w:tcW w:w="40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1,686</w:t>
            </w:r>
          </w:p>
        </w:tc>
        <w:tc>
          <w:tcPr>
            <w:tcW w:w="3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125.3</w:t>
            </w:r>
          </w:p>
        </w:tc>
        <w:tc>
          <w:tcPr>
            <w:tcW w:w="32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100.9</w:t>
            </w:r>
          </w:p>
        </w:tc>
        <w:tc>
          <w:tcPr>
            <w:tcW w:w="33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bl>
    <w:p>
      <w:pPr>
        <w:pStyle w:val="44"/>
        <w:rPr>
          <w:rFonts w:hint="default"/>
          <w:b w:val="1"/>
          <w:sz w:val="22"/>
        </w:rPr>
      </w:pPr>
      <w:r>
        <w:rPr>
          <w:rFonts w:hint="eastAsia"/>
        </w:rPr>
        <w:t>【出典】厚生労働省</w:t>
      </w:r>
      <w:r>
        <w:rPr>
          <w:rFonts w:hint="default"/>
        </w:rPr>
        <w:t xml:space="preserve"> </w:t>
      </w:r>
      <w:r>
        <w:rPr>
          <w:rFonts w:hint="default"/>
        </w:rPr>
        <w:t>平成</w:t>
      </w:r>
      <w:r>
        <w:rPr>
          <w:rFonts w:hint="default"/>
        </w:rPr>
        <w:t>25</w:t>
      </w:r>
      <w:r>
        <w:rPr>
          <w:rFonts w:hint="eastAsia"/>
        </w:rPr>
        <w:t>～</w:t>
      </w:r>
      <w:r>
        <w:rPr>
          <w:rFonts w:hint="default"/>
        </w:rPr>
        <w:t>29</w:t>
      </w:r>
      <w:r>
        <w:rPr>
          <w:rFonts w:hint="default"/>
        </w:rPr>
        <w:t>年</w:t>
      </w:r>
      <w:r>
        <w:rPr>
          <w:rFonts w:hint="eastAsia"/>
        </w:rPr>
        <w:t xml:space="preserve"> </w:t>
      </w:r>
      <w:r>
        <w:rPr>
          <w:rFonts w:hint="default"/>
        </w:rPr>
        <w:t>人口動態保健所・市区町村別統計</w:t>
      </w:r>
    </w:p>
    <w:p>
      <w:pPr>
        <w:pStyle w:val="42"/>
        <w:rPr>
          <w:rFonts w:hint="default"/>
        </w:rPr>
      </w:pPr>
      <w:r>
        <w:rPr>
          <w:rFonts w:hint="eastAsia"/>
        </w:rPr>
        <w:t>※</w:t>
      </w:r>
      <w:r>
        <w:rPr>
          <w:rFonts w:hint="default"/>
        </w:rPr>
        <w:t>SMR</w:t>
      </w:r>
      <w:r>
        <w:rPr>
          <w:rFonts w:hint="default"/>
        </w:rPr>
        <w:t>の算出に際してはベイズ推定の手法</w:t>
      </w:r>
      <w:r>
        <w:rPr>
          <w:rFonts w:hint="eastAsia"/>
        </w:rPr>
        <w:t>が</w:t>
      </w:r>
      <w:r>
        <w:rPr>
          <w:rFonts w:hint="default"/>
        </w:rPr>
        <w:t>適用</w:t>
      </w:r>
      <w:r>
        <w:rPr>
          <w:rFonts w:hint="eastAsia"/>
        </w:rPr>
        <w:t>されている</w:t>
      </w:r>
    </w:p>
    <w:p>
      <w:pPr>
        <w:pStyle w:val="42"/>
        <w:rPr>
          <w:rFonts w:hint="default"/>
        </w:rPr>
      </w:pPr>
      <w:r>
        <w:rPr>
          <w:rFonts w:hint="default"/>
        </w:rPr>
        <w:t>※</w:t>
      </w:r>
      <w:r>
        <w:rPr>
          <w:rFonts w:hint="eastAsia"/>
        </w:rPr>
        <w:t>「がん」は、表内の「がん」を含む</w:t>
      </w:r>
      <w:r>
        <w:rPr>
          <w:rFonts w:hint="default"/>
        </w:rPr>
        <w:t>ICD</w:t>
      </w:r>
      <w:r>
        <w:rPr>
          <w:rFonts w:hint="eastAsia"/>
        </w:rPr>
        <w:t>-</w:t>
      </w:r>
      <w:r>
        <w:rPr>
          <w:rFonts w:hint="default"/>
        </w:rPr>
        <w:t>10</w:t>
      </w:r>
      <w:r>
        <w:rPr>
          <w:rFonts w:hint="default"/>
        </w:rPr>
        <w:t>死因簡単分類における「悪性新生物」による死亡者数の合計</w:t>
      </w:r>
    </w:p>
    <w:p>
      <w:pPr>
        <w:pStyle w:val="42"/>
        <w:rPr>
          <w:rFonts w:hint="default"/>
        </w:rPr>
      </w:pPr>
      <w:r>
        <w:rPr>
          <w:rFonts w:hint="default"/>
        </w:rPr>
        <w:t>※</w:t>
      </w:r>
      <w:r>
        <w:rPr>
          <w:rFonts w:hint="eastAsia"/>
        </w:rPr>
        <w:t>「心疾患」は、表内の「急性心筋梗塞」「心不全」を含む</w:t>
      </w:r>
      <w:r>
        <w:rPr>
          <w:rFonts w:hint="default"/>
        </w:rPr>
        <w:t>ICD</w:t>
      </w:r>
      <w:r>
        <w:rPr>
          <w:rFonts w:hint="eastAsia"/>
        </w:rPr>
        <w:t>-</w:t>
      </w:r>
      <w:r>
        <w:rPr>
          <w:rFonts w:hint="default"/>
        </w:rPr>
        <w:t>10</w:t>
      </w:r>
      <w:r>
        <w:rPr>
          <w:rFonts w:hint="default"/>
        </w:rPr>
        <w:t>死因簡単分類における「心疾患」による死亡者数の合計</w:t>
      </w:r>
    </w:p>
    <w:p>
      <w:pPr>
        <w:rPr>
          <w:rFonts w:hint="default"/>
        </w:rPr>
        <w:sectPr>
          <w:headerReference r:id="rId20" w:type="even"/>
          <w:headerReference r:id="rId21" w:type="default"/>
          <w:headerReference r:id="rId19" w:type="first"/>
          <w:pgSz w:w="11909" w:h="16834"/>
          <w:pgMar w:top="1418" w:right="1106" w:bottom="1418" w:left="1418" w:header="851" w:footer="720" w:gutter="0"/>
          <w:cols w:space="720"/>
          <w:textDirection w:val="lrTb"/>
          <w:docGrid w:linePitch="272"/>
        </w:sectPr>
      </w:pPr>
    </w:p>
    <w:p>
      <w:pPr>
        <w:pStyle w:val="1"/>
        <w:rPr>
          <w:rFonts w:hint="default"/>
        </w:rPr>
      </w:pPr>
      <w:bookmarkStart w:id="48" w:name="_Toc162548685"/>
      <w:r>
        <w:rPr>
          <w:rFonts w:hint="default"/>
        </w:rPr>
        <w:t>健康・医療</w:t>
      </w:r>
      <w:r>
        <w:rPr>
          <w:rFonts w:hint="eastAsia"/>
        </w:rPr>
        <w:t>・介護</w:t>
      </w:r>
      <w:r>
        <w:rPr>
          <w:rFonts w:hint="default"/>
        </w:rPr>
        <w:t>情報等の分析と分析結果に基づく健康課題の抽出</w:t>
      </w:r>
      <w:bookmarkEnd w:id="48"/>
    </w:p>
    <w:p>
      <w:pPr>
        <w:pStyle w:val="39"/>
        <w:ind w:firstLine="200"/>
        <w:rPr>
          <w:rFonts w:hint="default"/>
        </w:rPr>
      </w:pPr>
      <w:r>
        <w:rPr>
          <w:rFonts w:hint="eastAsia"/>
        </w:rPr>
        <w:t>第</w:t>
      </w:r>
      <w:r>
        <w:rPr>
          <w:rFonts w:hint="default"/>
        </w:rPr>
        <w:t>3</w:t>
      </w:r>
      <w:r>
        <w:rPr>
          <w:rFonts w:hint="default"/>
        </w:rPr>
        <w:t>章においては、</w:t>
      </w:r>
      <w:r>
        <w:rPr>
          <w:rFonts w:hint="eastAsia"/>
        </w:rPr>
        <w:t>健診、</w:t>
      </w:r>
      <w:r>
        <w:rPr>
          <w:rFonts w:hint="default"/>
        </w:rPr>
        <w:t>医療</w:t>
      </w:r>
      <w:r>
        <w:rPr>
          <w:rFonts w:hint="eastAsia"/>
        </w:rPr>
        <w:t>、</w:t>
      </w:r>
      <w:r>
        <w:rPr>
          <w:rFonts w:hint="default"/>
        </w:rPr>
        <w:t>介護などの関連データを分析し、地域における健康課題を抽出する。</w:t>
      </w:r>
    </w:p>
    <w:p>
      <w:pPr>
        <w:pStyle w:val="39"/>
        <w:ind w:firstLine="200"/>
        <w:rPr>
          <w:rFonts w:hint="default"/>
        </w:rPr>
      </w:pPr>
      <w:r>
        <w:rPr>
          <w:rFonts w:hint="default"/>
        </w:rPr>
        <w:t>社会全体の健康や病気の進行は、しばしば、川の流れに例えられる。厚生労働省は、生活習慣病の進行を川の上流から下流まで</w:t>
      </w:r>
      <w:r>
        <w:rPr>
          <w:rFonts w:hint="default"/>
        </w:rPr>
        <w:t>5</w:t>
      </w:r>
      <w:r>
        <w:rPr>
          <w:rFonts w:hint="default"/>
        </w:rPr>
        <w:t>段階に</w:t>
      </w:r>
      <w:r>
        <w:rPr>
          <w:rFonts w:hint="eastAsia"/>
        </w:rPr>
        <w:t>分</w:t>
      </w:r>
      <w:r>
        <w:rPr>
          <w:rFonts w:hint="default"/>
        </w:rPr>
        <w:t>け、レベルが進むごとに下流に流され、流された先には生活機能の低下や要介護状態が待っていることを図で示している。</w:t>
      </w:r>
    </w:p>
    <w:p>
      <w:pPr>
        <w:pStyle w:val="39"/>
        <w:ind w:firstLine="200"/>
        <w:rPr>
          <w:rFonts w:hint="default"/>
        </w:rPr>
      </w:pPr>
      <w:r>
        <w:rPr>
          <w:rFonts w:hint="eastAsia"/>
        </w:rPr>
        <w:t>第</w:t>
      </w:r>
      <w:r>
        <w:rPr>
          <w:rFonts w:hint="default"/>
        </w:rPr>
        <w:t>3</w:t>
      </w:r>
      <w:r>
        <w:rPr>
          <w:rFonts w:hint="default"/>
        </w:rPr>
        <w:t>章では、より多くの人</w:t>
      </w:r>
      <w:r>
        <w:rPr>
          <w:rFonts w:hint="eastAsia"/>
        </w:rPr>
        <w:t>が</w:t>
      </w:r>
      <w:r>
        <w:rPr>
          <w:rFonts w:hint="default"/>
        </w:rPr>
        <w:t>川の上流</w:t>
      </w:r>
      <w:r>
        <w:rPr>
          <w:rFonts w:hint="eastAsia"/>
        </w:rPr>
        <w:t>で健やかに生活できるよう</w:t>
      </w:r>
      <w:r>
        <w:rPr>
          <w:rFonts w:hint="default"/>
        </w:rPr>
        <w:t>課題を抽出し、施策の検討につなげるため、川のどの位置にどのくらいの人がいて、どのような疾病構造になっているか等について、</w:t>
      </w:r>
      <w:r>
        <w:rPr>
          <w:rFonts w:hint="eastAsia"/>
        </w:rPr>
        <w:t>健診、</w:t>
      </w:r>
      <w:r>
        <w:rPr>
          <w:rFonts w:hint="default"/>
        </w:rPr>
        <w:t>医療</w:t>
      </w:r>
      <w:r>
        <w:rPr>
          <w:rFonts w:hint="eastAsia"/>
        </w:rPr>
        <w:t>、</w:t>
      </w:r>
      <w:r>
        <w:rPr>
          <w:rFonts w:hint="default"/>
        </w:rPr>
        <w:t>介護</w:t>
      </w:r>
      <w:r>
        <w:rPr>
          <w:rFonts w:hint="eastAsia"/>
        </w:rPr>
        <w:t>、</w:t>
      </w:r>
      <w:r>
        <w:rPr>
          <w:rFonts w:hint="default"/>
        </w:rPr>
        <w:t>死亡の順に川の上流から</w:t>
      </w:r>
      <w:r>
        <w:rPr>
          <w:rFonts w:hint="eastAsia"/>
        </w:rPr>
        <w:t>下</w:t>
      </w:r>
      <w:r>
        <w:rPr>
          <w:rFonts w:hint="default"/>
        </w:rPr>
        <w:t>流に向かって関連データを分析する。</w:t>
      </w:r>
      <w:r>
        <w:rPr>
          <w:rFonts w:hint="eastAsia"/>
        </w:rPr>
        <w:t>また、データ分析に際しては、保健事業における介入によって予防可能な疾患という観点から生活習慣病に着目し、重篤な疾患として主に国民健康保険法に基づく保健事業の実施等に関する指針にもあげられている「虚血性心疾患」「脳血管疾患」「慢性腎臓病（透析あり）」に、基礎疾患として「糖尿病」「高血圧症」「脂質異常症」に焦点をあてる。</w:t>
      </w:r>
    </w:p>
    <w:p>
      <w:pPr>
        <w:pStyle w:val="39"/>
        <w:ind w:firstLine="200"/>
        <w:rPr>
          <w:rFonts w:hint="default"/>
        </w:rPr>
      </w:pPr>
      <w:r>
        <w:rPr>
          <w:rFonts w:hint="eastAsia"/>
        </w:rPr>
        <w:t>まず、第</w:t>
      </w:r>
      <w:r>
        <w:rPr>
          <w:rFonts w:hint="default"/>
        </w:rPr>
        <w:t>1</w:t>
      </w:r>
      <w:r>
        <w:rPr>
          <w:rFonts w:hint="eastAsia"/>
        </w:rPr>
        <w:t>節</w:t>
      </w:r>
      <w:r>
        <w:rPr>
          <w:rFonts w:hint="default"/>
        </w:rPr>
        <w:t>では特定健診や特定保健指導に関するデータ</w:t>
      </w:r>
      <w:r>
        <w:rPr>
          <w:rFonts w:hint="eastAsia"/>
        </w:rPr>
        <w:t>と医療に関するデータを組み合わせて分析する。</w:t>
      </w:r>
    </w:p>
    <w:p>
      <w:pPr>
        <w:pStyle w:val="39"/>
        <w:ind w:firstLine="200"/>
        <w:rPr>
          <w:rFonts w:hint="default"/>
        </w:rPr>
      </w:pPr>
      <w:r>
        <w:rPr>
          <w:rFonts w:hint="eastAsia"/>
        </w:rPr>
        <w:t>第</w:t>
      </w:r>
      <w:r>
        <w:rPr>
          <w:rFonts w:hint="default"/>
        </w:rPr>
        <w:t>2</w:t>
      </w:r>
      <w:r>
        <w:rPr>
          <w:rFonts w:hint="eastAsia"/>
        </w:rPr>
        <w:t>節</w:t>
      </w:r>
      <w:r>
        <w:rPr>
          <w:rFonts w:hint="default"/>
        </w:rPr>
        <w:t>では入院</w:t>
      </w:r>
      <w:r>
        <w:rPr>
          <w:rFonts w:hint="eastAsia"/>
        </w:rPr>
        <w:t>と</w:t>
      </w:r>
      <w:r>
        <w:rPr>
          <w:rFonts w:hint="default"/>
        </w:rPr>
        <w:t>外来</w:t>
      </w:r>
      <w:r>
        <w:rPr>
          <w:rFonts w:hint="eastAsia"/>
        </w:rPr>
        <w:t>に分けて</w:t>
      </w:r>
      <w:r>
        <w:rPr>
          <w:rFonts w:hint="default"/>
        </w:rPr>
        <w:t>医療費について医療費の</w:t>
      </w:r>
      <w:r>
        <w:rPr>
          <w:rFonts w:hint="default"/>
        </w:rPr>
        <w:t>3</w:t>
      </w:r>
      <w:r>
        <w:rPr>
          <w:rFonts w:hint="default"/>
        </w:rPr>
        <w:t>要素に分解して分析した後、</w:t>
      </w:r>
      <w:r>
        <w:rPr>
          <w:rFonts w:hint="eastAsia"/>
        </w:rPr>
        <w:t>保健事業により</w:t>
      </w:r>
      <w:r>
        <w:rPr>
          <w:rFonts w:hint="default"/>
        </w:rPr>
        <w:t>予防可能な疾患における健康課題を抽出するという観点で、生活習慣病に焦点をあて、</w:t>
      </w:r>
      <w:r>
        <w:rPr>
          <w:rFonts w:hint="eastAsia"/>
        </w:rPr>
        <w:t>前述の重篤な疾患と基礎疾患</w:t>
      </w:r>
      <w:r>
        <w:rPr>
          <w:rFonts w:hint="default"/>
        </w:rPr>
        <w:t>に分けてデータを分析する。</w:t>
      </w:r>
    </w:p>
    <w:p>
      <w:pPr>
        <w:pStyle w:val="39"/>
        <w:ind w:firstLine="200"/>
        <w:rPr>
          <w:rFonts w:hint="default"/>
        </w:rPr>
      </w:pPr>
      <w:r>
        <w:rPr>
          <w:rFonts w:hint="eastAsia"/>
        </w:rPr>
        <w:t>第</w:t>
      </w:r>
      <w:r>
        <w:rPr>
          <w:rFonts w:hint="default"/>
        </w:rPr>
        <w:t>3</w:t>
      </w:r>
      <w:r>
        <w:rPr>
          <w:rFonts w:hint="default"/>
        </w:rPr>
        <w:t>節では後期高齢者医療制度との接続を踏まえ、介護データと後期高齢者データを分析する。</w:t>
      </w:r>
    </w:p>
    <w:p>
      <w:pPr>
        <w:pStyle w:val="39"/>
        <w:ind w:firstLine="200"/>
        <w:rPr>
          <w:rFonts w:hint="default"/>
        </w:rPr>
      </w:pPr>
      <w:r>
        <w:rPr>
          <w:rFonts w:hint="eastAsia"/>
        </w:rPr>
        <w:t>第</w:t>
      </w:r>
      <w:r>
        <w:rPr>
          <w:rFonts w:hint="default"/>
        </w:rPr>
        <w:t>4</w:t>
      </w:r>
      <w:r>
        <w:rPr>
          <w:rFonts w:hint="default"/>
        </w:rPr>
        <w:t>節では、重複服薬や多剤服薬、後発医薬品などの分析を行う。</w:t>
      </w:r>
    </w:p>
    <w:p>
      <w:pPr>
        <w:pStyle w:val="39"/>
        <w:ind w:firstLine="200"/>
        <w:rPr>
          <w:rFonts w:hint="default"/>
        </w:rPr>
      </w:pPr>
      <w:r>
        <w:rPr>
          <w:rFonts w:hint="eastAsia"/>
        </w:rPr>
        <w:t>第</w:t>
      </w:r>
      <w:r>
        <w:rPr>
          <w:rFonts w:hint="default"/>
        </w:rPr>
        <w:t>5</w:t>
      </w:r>
      <w:r>
        <w:rPr>
          <w:rFonts w:hint="default"/>
        </w:rPr>
        <w:t>節では、前期計画等に係る考察を行う。</w:t>
      </w:r>
    </w:p>
    <w:p>
      <w:pPr>
        <w:pStyle w:val="39"/>
        <w:ind w:firstLine="200"/>
        <w:rPr>
          <w:rFonts w:hint="default"/>
        </w:rPr>
      </w:pPr>
      <w:r>
        <w:rPr>
          <w:rFonts w:hint="eastAsia"/>
        </w:rPr>
        <w:t>第</w:t>
      </w:r>
      <w:r>
        <w:rPr>
          <w:rFonts w:hint="default"/>
        </w:rPr>
        <w:t>6</w:t>
      </w:r>
      <w:r>
        <w:rPr>
          <w:rFonts w:hint="default"/>
        </w:rPr>
        <w:t>節では、保険者努力支援制度の取組状況を分析する。</w:t>
      </w:r>
    </w:p>
    <w:p>
      <w:pPr>
        <w:pStyle w:val="39"/>
        <w:ind w:firstLine="200"/>
        <w:rPr>
          <w:rFonts w:hint="default"/>
        </w:rPr>
      </w:pPr>
      <w:r>
        <w:rPr>
          <w:rFonts w:hint="eastAsia"/>
        </w:rPr>
        <w:t>これを踏まえ、第</w:t>
      </w:r>
      <w:r>
        <w:rPr>
          <w:rFonts w:hint="default"/>
        </w:rPr>
        <w:t>7</w:t>
      </w:r>
      <w:r>
        <w:rPr>
          <w:rFonts w:hint="default"/>
        </w:rPr>
        <w:t>節において、地域における健康課題の全体像を整理した後、生活習慣病に関する健康課題とその他の健康課題について長期的評価指標及び短期的評価指標を設定する。</w:t>
      </w:r>
    </w:p>
    <w:p>
      <w:pPr>
        <w:pStyle w:val="0"/>
        <w:jc w:val="center"/>
        <w:rPr>
          <w:rFonts w:hint="default"/>
        </w:rPr>
      </w:pPr>
      <w:r>
        <w:rPr>
          <w:rFonts w:hint="default"/>
        </w:rPr>
        <w:drawing>
          <wp:inline distT="0" distB="0" distL="0" distR="0">
            <wp:extent cx="4962525" cy="3276600"/>
            <wp:effectExtent l="0" t="0" r="0" b="0"/>
            <wp:docPr id="1072" name="図 68"/>
            <a:graphic xmlns:a="http://schemas.openxmlformats.org/drawingml/2006/main">
              <a:graphicData uri="http://schemas.openxmlformats.org/drawingml/2006/picture">
                <pic:pic xmlns:pic="http://schemas.openxmlformats.org/drawingml/2006/picture">
                  <pic:nvPicPr>
                    <pic:cNvPr id="1072" name="図 68"/>
                    <pic:cNvPicPr/>
                  </pic:nvPicPr>
                  <pic:blipFill>
                    <a:blip r:embed="rId27"/>
                    <a:srcRect b="11961"/>
                    <a:stretch>
                      <a:fillRect/>
                    </a:stretch>
                  </pic:blipFill>
                  <pic:spPr>
                    <a:xfrm>
                      <a:off x="0" y="0"/>
                      <a:ext cx="4962525" cy="3276600"/>
                    </a:xfrm>
                    <a:prstGeom prst="rect">
                      <a:avLst/>
                    </a:prstGeom>
                    <a:ln>
                      <a:noFill/>
                    </a:ln>
                  </pic:spPr>
                </pic:pic>
              </a:graphicData>
            </a:graphic>
          </wp:inline>
        </w:drawing>
      </w:r>
    </w:p>
    <w:p>
      <w:pPr>
        <w:pStyle w:val="44"/>
        <w:rPr>
          <w:rFonts w:hint="default"/>
        </w:rPr>
      </w:pPr>
      <w:r>
        <w:rPr>
          <w:rFonts w:hint="eastAsia"/>
        </w:rPr>
        <w:t>【出典】厚生労働省</w:t>
      </w:r>
      <w:r>
        <w:rPr>
          <w:rFonts w:hint="eastAsia"/>
        </w:rPr>
        <w:t xml:space="preserve"> </w:t>
      </w:r>
      <w:r>
        <w:rPr>
          <w:rFonts w:hint="eastAsia"/>
        </w:rPr>
        <w:t>新たな健診・保健指導と生活習慣病対策</w:t>
      </w:r>
      <w:r>
        <w:rPr>
          <w:rFonts w:hint="eastAsia"/>
        </w:rPr>
        <w:t xml:space="preserve"> </w:t>
      </w:r>
      <w:r>
        <w:rPr>
          <w:rFonts w:hint="eastAsia"/>
        </w:rPr>
        <w:t>一部改変</w:t>
      </w:r>
    </w:p>
    <w:p>
      <w:pPr>
        <w:pStyle w:val="42"/>
        <w:rPr>
          <w:rFonts w:hint="default"/>
        </w:rPr>
      </w:pPr>
      <w:r>
        <w:rPr>
          <w:rFonts w:hint="eastAsia"/>
        </w:rPr>
        <w:t>※生活習慣病とは、「食習慣、運動習慣、休養、喫煙、飲酒等の生活習慣が、その発症と進行に関与する疾患群」を指す</w:t>
      </w:r>
    </w:p>
    <w:p>
      <w:pPr>
        <w:pStyle w:val="2"/>
        <w:rPr>
          <w:rFonts w:hint="default"/>
        </w:rPr>
      </w:pPr>
      <w:bookmarkStart w:id="49" w:name="_Toc162548686"/>
      <w:r>
        <w:rPr>
          <w:rFonts w:hint="default"/>
        </w:rPr>
        <w:t>特定健診・特定保健指導・生活習慣の状況</w:t>
      </w:r>
      <w:bookmarkEnd w:id="49"/>
    </w:p>
    <w:p>
      <w:pPr>
        <w:pStyle w:val="3"/>
        <w:rPr>
          <w:rFonts w:hint="default"/>
        </w:rPr>
      </w:pPr>
      <w:bookmarkStart w:id="50" w:name="_Toc162548687"/>
      <w:r>
        <w:rPr>
          <w:rFonts w:hint="default"/>
        </w:rPr>
        <w:t>特定健診受診率</w:t>
      </w:r>
      <w:bookmarkEnd w:id="50"/>
    </w:p>
    <w:p>
      <w:pPr>
        <w:pStyle w:val="4"/>
        <w:rPr>
          <w:rFonts w:hint="default"/>
        </w:rPr>
      </w:pPr>
      <w:r>
        <w:rPr>
          <w:rFonts w:hint="eastAsia"/>
        </w:rPr>
        <w:t>特定健診受診率の推移</w:t>
      </w:r>
    </w:p>
    <w:p>
      <w:pPr>
        <w:pStyle w:val="39"/>
        <w:ind w:firstLine="200"/>
        <w:rPr>
          <w:rFonts w:hint="default"/>
        </w:rPr>
      </w:pPr>
      <w:r>
        <w:rPr>
          <w:rFonts w:hint="eastAsia"/>
        </w:rPr>
        <w:t>以降では、生活習慣病の発症及び重症化予防を目的に実施している、特定健診、特定保健指導及び生活習慣病の治療状況に関連するデータを概観する。</w:t>
      </w:r>
    </w:p>
    <w:p>
      <w:pPr>
        <w:pStyle w:val="39"/>
        <w:ind w:firstLine="200"/>
        <w:rPr>
          <w:rFonts w:hint="default"/>
        </w:rPr>
      </w:pPr>
      <w:r>
        <w:rPr>
          <w:rFonts w:hint="eastAsia"/>
        </w:rPr>
        <w:t>まず、</w:t>
      </w:r>
      <w:r>
        <w:rPr>
          <w:rFonts w:hint="default"/>
        </w:rPr>
        <w:t>特定健診の実施状況をみると（</w:t>
      </w:r>
      <w:r>
        <w:rPr>
          <w:rFonts w:hint="eastAsia"/>
        </w:rPr>
        <w:fldChar w:fldCharType="begin"/>
      </w:r>
      <w:r>
        <w:rPr>
          <w:rFonts w:hint="eastAsia"/>
        </w:rPr>
        <w:instrText xml:space="preserve">REF _Ref122535537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1</w:t>
      </w:r>
      <w:r>
        <w:rPr>
          <w:rFonts w:hint="eastAsia"/>
        </w:rPr>
        <w:t>-</w:t>
      </w:r>
      <w:r>
        <w:rPr>
          <w:rFonts w:hint="default"/>
        </w:rPr>
        <w:t>1</w:t>
      </w:r>
      <w:r>
        <w:rPr>
          <w:rFonts w:hint="eastAsia"/>
        </w:rPr>
        <w:fldChar w:fldCharType="end"/>
      </w:r>
      <w:r>
        <w:rPr>
          <w:rFonts w:hint="default"/>
        </w:rPr>
        <w:t>）、</w:t>
      </w:r>
      <w:bookmarkStart w:id="51" w:name="_Hlk152704900"/>
      <w:r>
        <w:rPr>
          <w:rFonts w:hint="eastAsia"/>
        </w:rPr>
        <w:t>令和</w:t>
      </w:r>
      <w:r>
        <w:rPr>
          <w:rFonts w:hint="default"/>
        </w:rPr>
        <w:t>4</w:t>
      </w:r>
      <w:r>
        <w:rPr>
          <w:rFonts w:hint="default"/>
        </w:rPr>
        <w:t>年度の特定健診受診率（速報値）は</w:t>
      </w:r>
    </w:p>
    <w:p>
      <w:pPr>
        <w:pStyle w:val="39"/>
        <w:ind w:firstLine="0" w:firstLineChars="0"/>
        <w:rPr>
          <w:rFonts w:hint="default"/>
        </w:rPr>
      </w:pPr>
      <w:r>
        <w:rPr>
          <w:rFonts w:hint="eastAsia"/>
        </w:rPr>
        <w:t>2</w:t>
      </w:r>
      <w:r>
        <w:rPr>
          <w:rFonts w:hint="default"/>
        </w:rPr>
        <w:t>8.</w:t>
      </w:r>
      <w:r>
        <w:rPr>
          <w:rFonts w:hint="eastAsia"/>
        </w:rPr>
        <w:t>9</w:t>
      </w:r>
      <w:r>
        <w:rPr>
          <w:rFonts w:hint="default"/>
        </w:rPr>
        <w:t>%</w:t>
      </w:r>
      <w:r>
        <w:rPr>
          <w:rFonts w:hint="default"/>
        </w:rPr>
        <w:t>であり、令和</w:t>
      </w:r>
      <w:r>
        <w:rPr>
          <w:rFonts w:hint="eastAsia"/>
        </w:rPr>
        <w:t>1</w:t>
      </w:r>
      <w:r>
        <w:rPr>
          <w:rFonts w:hint="default"/>
        </w:rPr>
        <w:t>年度と比較して</w:t>
      </w:r>
      <w:r>
        <w:rPr>
          <w:rFonts w:hint="eastAsia"/>
        </w:rPr>
        <w:t>7</w:t>
      </w:r>
      <w:r>
        <w:rPr>
          <w:rFonts w:hint="default"/>
        </w:rPr>
        <w:t>.</w:t>
      </w:r>
      <w:r>
        <w:rPr>
          <w:rFonts w:hint="eastAsia"/>
        </w:rPr>
        <w:t>3</w:t>
      </w:r>
      <w:r>
        <w:rPr>
          <w:rFonts w:hint="default"/>
        </w:rPr>
        <w:t>ポイント</w:t>
      </w:r>
      <w:r>
        <w:rPr>
          <w:rFonts w:hint="eastAsia"/>
        </w:rPr>
        <w:t>低下</w:t>
      </w:r>
      <w:r>
        <w:rPr>
          <w:rFonts w:hint="default"/>
        </w:rPr>
        <w:t>している。令和</w:t>
      </w:r>
      <w:r>
        <w:rPr>
          <w:rFonts w:hint="default"/>
        </w:rPr>
        <w:t>3</w:t>
      </w:r>
      <w:r>
        <w:rPr>
          <w:rFonts w:hint="default"/>
        </w:rPr>
        <w:t>年度までの受診率でみると国</w:t>
      </w:r>
      <w:r>
        <w:rPr>
          <w:rFonts w:hint="eastAsia"/>
        </w:rPr>
        <w:t>・</w:t>
      </w:r>
      <w:r>
        <w:rPr>
          <w:rFonts w:hint="default"/>
        </w:rPr>
        <w:t>県より</w:t>
      </w:r>
      <w:r>
        <w:rPr>
          <w:rFonts w:hint="eastAsia"/>
        </w:rPr>
        <w:t>低い</w:t>
      </w:r>
      <w:r>
        <w:rPr>
          <w:rFonts w:hint="default"/>
        </w:rPr>
        <w:t>。</w:t>
      </w:r>
      <w:bookmarkEnd w:id="51"/>
      <w:r>
        <w:rPr>
          <w:rFonts w:hint="eastAsia"/>
        </w:rPr>
        <w:t>年齢階層別にみると</w:t>
      </w:r>
      <w:r>
        <w:rPr>
          <w:rFonts w:hint="default"/>
        </w:rPr>
        <w:t>（</w:t>
      </w:r>
      <w:r>
        <w:rPr>
          <w:rFonts w:hint="eastAsia"/>
        </w:rPr>
        <w:fldChar w:fldCharType="begin"/>
      </w:r>
      <w:r>
        <w:rPr>
          <w:rFonts w:hint="eastAsia"/>
        </w:rPr>
        <w:instrText xml:space="preserve">REF _Ref122535556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1</w:t>
      </w:r>
      <w:r>
        <w:rPr>
          <w:rFonts w:hint="eastAsia"/>
        </w:rPr>
        <w:t>-</w:t>
      </w:r>
      <w:r>
        <w:rPr>
          <w:rFonts w:hint="default"/>
        </w:rPr>
        <w:t>2</w:t>
      </w:r>
      <w:r>
        <w:rPr>
          <w:rFonts w:hint="eastAsia"/>
        </w:rPr>
        <w:fldChar w:fldCharType="end"/>
      </w:r>
      <w:r>
        <w:rPr>
          <w:rFonts w:hint="default"/>
        </w:rPr>
        <w:t>）、</w:t>
      </w:r>
      <w:r>
        <w:rPr>
          <w:rFonts w:hint="eastAsia"/>
        </w:rPr>
        <w:t>特に</w:t>
      </w:r>
      <w:r>
        <w:rPr>
          <w:rFonts w:hint="default"/>
        </w:rPr>
        <w:t>60-64</w:t>
      </w:r>
      <w:r>
        <w:rPr>
          <w:rFonts w:hint="default"/>
        </w:rPr>
        <w:t>歳</w:t>
      </w:r>
      <w:r>
        <w:rPr>
          <w:rFonts w:hint="eastAsia"/>
        </w:rPr>
        <w:t>の特定健診受診率が</w:t>
      </w:r>
      <w:r>
        <w:rPr>
          <w:rFonts w:hint="default"/>
        </w:rPr>
        <w:t>低下</w:t>
      </w:r>
      <w:r>
        <w:rPr>
          <w:rFonts w:hint="eastAsia"/>
        </w:rPr>
        <w:t>している。</w:t>
      </w:r>
    </w:p>
    <w:p>
      <w:pPr>
        <w:pStyle w:val="0"/>
        <w:rPr>
          <w:rFonts w:hint="default"/>
        </w:rPr>
      </w:pPr>
    </w:p>
    <w:p>
      <w:pPr>
        <w:pStyle w:val="38"/>
        <w:rPr>
          <w:rFonts w:hint="default"/>
        </w:rPr>
      </w:pPr>
      <w:bookmarkStart w:id="52" w:name="_Ref122535537"/>
      <w:bookmarkStart w:id="53" w:name="_Toc12493683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52"/>
      <w:r>
        <w:rPr>
          <w:rFonts w:hint="default"/>
        </w:rPr>
        <w:t>：特定健診受診率（法定報告値）</w:t>
      </w:r>
      <w:bookmarkEnd w:id="53"/>
    </w:p>
    <w:p>
      <w:pPr>
        <w:pStyle w:val="0"/>
        <w:jc w:val="center"/>
        <w:rPr>
          <w:rFonts w:hint="default"/>
        </w:rPr>
      </w:pPr>
      <w:r>
        <w:rPr>
          <w:rFonts w:hint="default"/>
        </w:rPr>
        <w:drawing>
          <wp:inline distT="0" distB="0" distL="0" distR="0">
            <wp:extent cx="5939790" cy="2519680"/>
            <wp:effectExtent l="0" t="0" r="0" b="0"/>
            <wp:docPr id="1073" name="オブジェクト 0"/>
            <a:graphic xmlns:a="http://schemas.openxmlformats.org/drawingml/2006/main">
              <a:graphicData uri="http://schemas.openxmlformats.org/drawingml/2006/chart">
                <c:chart xmlns:c="http://schemas.openxmlformats.org/drawingml/2006/chart" r:id="rId28"/>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338"/>
        <w:gridCol w:w="1338"/>
        <w:gridCol w:w="1339"/>
        <w:gridCol w:w="1341"/>
        <w:gridCol w:w="1339"/>
        <w:gridCol w:w="1341"/>
        <w:gridCol w:w="1339"/>
      </w:tblGrid>
      <w:tr>
        <w:trPr>
          <w:trHeight w:val="20" w:hRule="atLeast"/>
        </w:trPr>
        <w:tc>
          <w:tcPr>
            <w:tcW w:w="1427" w:type="pct"/>
            <w:gridSpan w:val="2"/>
            <w:shd w:val="clear" w:color="auto" w:fill="CCD6FF"/>
            <w:tcMar>
              <w:top w:w="28" w:type="dxa"/>
              <w:left w:w="28" w:type="dxa"/>
              <w:bottom w:w="28" w:type="dxa"/>
              <w:right w:w="28" w:type="dxa"/>
            </w:tcMar>
            <w:vAlign w:val="center"/>
          </w:tcPr>
          <w:p>
            <w:pPr>
              <w:pStyle w:val="0"/>
              <w:jc w:val="center"/>
              <w:rPr>
                <w:rFonts w:hint="default"/>
              </w:rPr>
            </w:pPr>
          </w:p>
        </w:tc>
        <w:tc>
          <w:tcPr>
            <w:tcW w:w="71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71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71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71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714" w:type="pct"/>
            <w:shd w:val="clear" w:color="auto" w:fill="F2F2F2"/>
            <w:tcMar>
              <w:top w:w="28" w:type="dxa"/>
              <w:left w:w="28" w:type="dxa"/>
              <w:bottom w:w="28" w:type="dxa"/>
              <w:right w:w="28" w:type="dxa"/>
            </w:tcMar>
            <w:vAlign w:val="center"/>
          </w:tcPr>
          <w:p>
            <w:pPr>
              <w:pStyle w:val="0"/>
              <w:jc w:val="center"/>
              <w:rPr>
                <w:rFonts w:hint="default"/>
                <w:b w:val="1"/>
              </w:rPr>
            </w:pPr>
            <w:r>
              <w:rPr>
                <w:rFonts w:hint="eastAsia"/>
                <w:b w:val="1"/>
                <w:sz w:val="14"/>
              </w:rPr>
              <w:t>令和</w:t>
            </w:r>
            <w:r>
              <w:rPr>
                <w:rFonts w:hint="eastAsia"/>
                <w:b w:val="1"/>
                <w:sz w:val="14"/>
              </w:rPr>
              <w:t>1</w:t>
            </w:r>
            <w:r>
              <w:rPr>
                <w:rFonts w:hint="eastAsia"/>
                <w:b w:val="1"/>
                <w:sz w:val="14"/>
              </w:rPr>
              <w:t>年度と令和</w:t>
            </w:r>
            <w:r>
              <w:rPr>
                <w:rFonts w:hint="eastAsia"/>
                <w:b w:val="1"/>
                <w:sz w:val="14"/>
              </w:rPr>
              <w:t>4</w:t>
            </w:r>
            <w:r>
              <w:rPr>
                <w:rFonts w:hint="eastAsia"/>
                <w:b w:val="1"/>
                <w:sz w:val="14"/>
              </w:rPr>
              <w:t>年度の差</w:t>
            </w:r>
          </w:p>
        </w:tc>
      </w:tr>
      <w:tr>
        <w:trPr>
          <w:trHeight w:val="20" w:hRule="atLeast"/>
        </w:trPr>
        <w:tc>
          <w:tcPr>
            <w:tcW w:w="1427" w:type="pct"/>
            <w:gridSpan w:val="2"/>
            <w:shd w:val="clear" w:color="auto" w:fill="auto"/>
            <w:tcMar>
              <w:top w:w="28" w:type="dxa"/>
              <w:left w:w="28" w:type="dxa"/>
              <w:bottom w:w="28" w:type="dxa"/>
              <w:right w:w="28" w:type="dxa"/>
            </w:tcMar>
            <w:vAlign w:val="center"/>
          </w:tcPr>
          <w:p>
            <w:pPr>
              <w:pStyle w:val="0"/>
              <w:rPr>
                <w:rFonts w:hint="default"/>
              </w:rPr>
            </w:pPr>
            <w:r>
              <w:rPr>
                <w:rFonts w:hint="eastAsia"/>
              </w:rPr>
              <w:t>特定健診</w:t>
            </w:r>
            <w:r>
              <w:rPr>
                <w:rFonts w:hint="default"/>
              </w:rPr>
              <w:t>対象者</w:t>
            </w:r>
            <w:r>
              <w:rPr>
                <w:rFonts w:hint="eastAsia"/>
              </w:rPr>
              <w:t>数</w:t>
            </w:r>
            <w:r>
              <w:rPr>
                <w:rFonts w:hint="default"/>
              </w:rPr>
              <w:t>（人）</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13,547</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13,421</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eastAsia"/>
              </w:rPr>
              <w:t>13,185</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eastAsia"/>
              </w:rPr>
              <w:t>12,442</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-1,105</w:t>
            </w:r>
          </w:p>
        </w:tc>
      </w:tr>
      <w:tr>
        <w:trPr>
          <w:trHeight w:val="20" w:hRule="atLeast"/>
        </w:trPr>
        <w:tc>
          <w:tcPr>
            <w:tcW w:w="1427" w:type="pct"/>
            <w:gridSpan w:val="2"/>
            <w:shd w:val="clear" w:color="auto" w:fill="auto"/>
            <w:tcMar>
              <w:top w:w="28" w:type="dxa"/>
              <w:left w:w="28" w:type="dxa"/>
              <w:bottom w:w="28" w:type="dxa"/>
              <w:right w:w="28" w:type="dxa"/>
            </w:tcMar>
            <w:vAlign w:val="center"/>
          </w:tcPr>
          <w:p>
            <w:pPr>
              <w:pStyle w:val="0"/>
              <w:rPr>
                <w:rFonts w:hint="default"/>
              </w:rPr>
            </w:pPr>
            <w:r>
              <w:rPr>
                <w:rFonts w:hint="default"/>
              </w:rPr>
              <w:t>特定健診受診者</w:t>
            </w:r>
            <w:r>
              <w:rPr>
                <w:rFonts w:hint="eastAsia"/>
              </w:rPr>
              <w:t>数</w:t>
            </w:r>
            <w:r>
              <w:rPr>
                <w:rFonts w:hint="default"/>
              </w:rPr>
              <w:t>（人）</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4,899</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2,624</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eastAsia"/>
              </w:rPr>
              <w:t>3,789</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eastAsia"/>
              </w:rPr>
              <w:t>3,599</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-1,300</w:t>
            </w:r>
          </w:p>
        </w:tc>
      </w:tr>
      <w:tr>
        <w:trPr>
          <w:trHeight w:val="20" w:hRule="atLeast"/>
        </w:trPr>
        <w:tc>
          <w:tcPr>
            <w:tcW w:w="714"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特定健診受診率</w:t>
            </w:r>
          </w:p>
        </w:tc>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36.2%</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19.6%</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28.7%</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28.9%</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-7.3</w:t>
            </w:r>
          </w:p>
        </w:tc>
      </w:tr>
      <w:tr>
        <w:trPr>
          <w:trHeight w:val="20" w:hRule="atLeast"/>
        </w:trPr>
        <w:tc>
          <w:tcPr>
            <w:tcW w:w="714" w:type="pct"/>
            <w:vMerge w:val="continue"/>
            <w:shd w:val="clear" w:color="auto" w:fill="auto"/>
            <w:tcMar>
              <w:top w:w="28" w:type="dxa"/>
              <w:left w:w="28" w:type="dxa"/>
              <w:bottom w:w="28" w:type="dxa"/>
              <w:right w:w="28" w:type="dxa"/>
            </w:tcMar>
            <w:vAlign w:val="center"/>
          </w:tcPr>
          <w:p>
            <w:pPr>
              <w:pStyle w:val="0"/>
              <w:rPr>
                <w:rFonts w:hint="default"/>
              </w:rPr>
            </w:pPr>
          </w:p>
        </w:tc>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38.0%</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33.7%</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36.4%</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714" w:type="pct"/>
            <w:vMerge w:val="continue"/>
            <w:shd w:val="clear" w:color="auto" w:fill="auto"/>
            <w:tcMar>
              <w:top w:w="28" w:type="dxa"/>
              <w:left w:w="28" w:type="dxa"/>
              <w:bottom w:w="28" w:type="dxa"/>
              <w:right w:w="28" w:type="dxa"/>
            </w:tcMar>
            <w:vAlign w:val="center"/>
          </w:tcPr>
          <w:p>
            <w:pPr>
              <w:pStyle w:val="0"/>
              <w:rPr>
                <w:rFonts w:hint="default"/>
              </w:rPr>
            </w:pPr>
          </w:p>
        </w:tc>
        <w:tc>
          <w:tcPr>
            <w:tcW w:w="714"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40.9%</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33.0%</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default"/>
              </w:rPr>
              <w:t>36.6%</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r>
              <w:rPr>
                <w:rFonts w:hint="eastAsia"/>
              </w:rPr>
              <w:t>8</w:t>
            </w:r>
            <w:r>
              <w:rPr>
                <w:rFonts w:hint="default"/>
              </w:rPr>
              <w:t>.</w:t>
            </w:r>
            <w:r>
              <w:rPr>
                <w:rFonts w:hint="eastAsia"/>
              </w:rPr>
              <w:t>2</w:t>
            </w:r>
            <w:r>
              <w:rPr>
                <w:rFonts w:hint="default"/>
              </w:rPr>
              <w:t>%</w:t>
            </w:r>
          </w:p>
        </w:tc>
        <w:tc>
          <w:tcPr>
            <w:tcW w:w="714" w:type="pct"/>
            <w:shd w:val="clear" w:color="auto" w:fill="auto"/>
            <w:tcMar>
              <w:top w:w="28" w:type="dxa"/>
              <w:left w:w="28" w:type="dxa"/>
              <w:bottom w:w="28" w:type="dxa"/>
              <w:right w:w="28" w:type="dxa"/>
            </w:tcMar>
            <w:vAlign w:val="center"/>
          </w:tcPr>
          <w:p>
            <w:pPr>
              <w:pStyle w:val="0"/>
              <w:jc w:val="right"/>
              <w:rPr>
                <w:rFonts w:hint="default"/>
              </w:rPr>
            </w:pPr>
            <w:r>
              <w:rPr>
                <w:rFonts w:hint="eastAsia"/>
              </w:rPr>
              <w:t>-2.7</w:t>
            </w:r>
          </w:p>
        </w:tc>
      </w:tr>
    </w:tbl>
    <w:p>
      <w:pPr>
        <w:pStyle w:val="44"/>
        <w:rPr>
          <w:rFonts w:hint="default"/>
          <w:shd w:val="clear" w:color="auto" w:fill="FFFFFF"/>
        </w:rPr>
      </w:pPr>
      <w:bookmarkStart w:id="54" w:name="_Hlk136414573"/>
      <w:r>
        <w:rPr>
          <w:rFonts w:hint="eastAsia"/>
        </w:rPr>
        <w:t>【出典】厚生労働省</w:t>
      </w:r>
      <w:r>
        <w:rPr>
          <w:rFonts w:hint="eastAsia"/>
        </w:rPr>
        <w:t xml:space="preserve"> </w:t>
      </w:r>
      <w:r>
        <w:rPr>
          <w:rFonts w:hint="eastAsia"/>
          <w:shd w:val="clear" w:color="auto" w:fill="FFFFFF"/>
        </w:rPr>
        <w:t>2019</w:t>
      </w:r>
      <w:r>
        <w:rPr>
          <w:rFonts w:hint="eastAsia"/>
          <w:shd w:val="clear" w:color="auto" w:fill="FFFFFF"/>
        </w:rPr>
        <w:t>年度から</w:t>
      </w:r>
      <w:r>
        <w:rPr>
          <w:rFonts w:hint="default"/>
          <w:shd w:val="clear" w:color="auto" w:fill="FFFFFF"/>
        </w:rPr>
        <w:t>2021</w:t>
      </w:r>
      <w:r>
        <w:rPr>
          <w:rFonts w:hint="eastAsia"/>
          <w:shd w:val="clear" w:color="auto" w:fill="FFFFFF"/>
        </w:rPr>
        <w:t>年度</w:t>
      </w:r>
      <w:r>
        <w:rPr>
          <w:rFonts w:hint="eastAsia"/>
          <w:shd w:val="clear" w:color="auto" w:fill="FFFFFF"/>
        </w:rPr>
        <w:t xml:space="preserve"> </w:t>
      </w:r>
      <w:r>
        <w:rPr>
          <w:rFonts w:hint="eastAsia"/>
          <w:shd w:val="clear" w:color="auto" w:fill="FFFFFF"/>
        </w:rPr>
        <w:t>特定健診・特定保健指導の実施状況（保険者別）</w:t>
      </w:r>
    </w:p>
    <w:p>
      <w:pPr>
        <w:pStyle w:val="40"/>
        <w:rPr>
          <w:rFonts w:hint="default"/>
        </w:rPr>
      </w:pPr>
      <w:r>
        <w:rPr>
          <w:rFonts w:hint="eastAsia"/>
        </w:rPr>
        <w:t>公益社団法人</w:t>
      </w:r>
      <w:r>
        <w:rPr>
          <w:rFonts w:hint="eastAsia"/>
        </w:rPr>
        <w:t xml:space="preserve"> </w:t>
      </w:r>
      <w:r>
        <w:rPr>
          <w:rFonts w:hint="eastAsia"/>
        </w:rPr>
        <w:t>国民健康保険中央会</w:t>
      </w:r>
      <w:r>
        <w:rPr>
          <w:rFonts w:hint="eastAsia"/>
        </w:rPr>
        <w:t xml:space="preserve"> </w:t>
      </w:r>
      <w:r>
        <w:rPr>
          <w:rFonts w:hint="eastAsia"/>
        </w:rPr>
        <w:t>市町村国保特定健康診査・特定保健指導実施状況報告書</w:t>
      </w:r>
      <w:r>
        <w:rPr>
          <w:rFonts w:hint="eastAsia"/>
        </w:rPr>
        <w:t xml:space="preserve"> </w:t>
      </w:r>
      <w:r>
        <w:rPr>
          <w:rFonts w:hint="eastAsia"/>
        </w:rPr>
        <w:t>令和</w:t>
      </w:r>
      <w:r>
        <w:rPr>
          <w:rFonts w:hint="eastAsia"/>
        </w:rPr>
        <w:t>1</w:t>
      </w:r>
      <w:r>
        <w:rPr>
          <w:rFonts w:hint="eastAsia"/>
        </w:rPr>
        <w:t>年度から令和</w:t>
      </w:r>
      <w:r>
        <w:rPr>
          <w:rFonts w:hint="eastAsia"/>
        </w:rPr>
        <w:t>3</w:t>
      </w:r>
      <w:r>
        <w:rPr>
          <w:rFonts w:hint="eastAsia"/>
        </w:rPr>
        <w:t>年度</w:t>
      </w:r>
    </w:p>
    <w:p>
      <w:pPr>
        <w:pStyle w:val="42"/>
        <w:rPr>
          <w:rFonts w:hint="default"/>
        </w:rPr>
      </w:pPr>
      <w:r>
        <w:rPr>
          <w:rFonts w:hint="eastAsia"/>
        </w:rPr>
        <w:t>※法定報告値に係る図表における令和</w:t>
      </w:r>
      <w:r>
        <w:rPr>
          <w:rFonts w:hint="default"/>
        </w:rPr>
        <w:t>4</w:t>
      </w:r>
      <w:r>
        <w:rPr>
          <w:rFonts w:hint="default"/>
        </w:rPr>
        <w:t>年度の</w:t>
      </w:r>
      <w:r>
        <w:rPr>
          <w:rFonts w:hint="eastAsia"/>
        </w:rPr>
        <w:t>数値は</w:t>
      </w:r>
      <w:r>
        <w:rPr>
          <w:rFonts w:hint="default"/>
        </w:rPr>
        <w:t>速報値である（以下同様）</w:t>
      </w:r>
    </w:p>
    <w:p>
      <w:pPr>
        <w:pStyle w:val="42"/>
        <w:rPr>
          <w:rFonts w:hint="default"/>
        </w:rPr>
      </w:pPr>
      <w:bookmarkStart w:id="55" w:name="_Hlk152704849"/>
      <w:r>
        <w:rPr>
          <w:rFonts w:hint="eastAsia"/>
        </w:rPr>
        <w:t>※令和</w:t>
      </w:r>
      <w:r>
        <w:rPr>
          <w:rFonts w:hint="default"/>
        </w:rPr>
        <w:t>4</w:t>
      </w:r>
      <w:r>
        <w:rPr>
          <w:rFonts w:hint="default"/>
        </w:rPr>
        <w:t>年度の国の法定報告値は令和</w:t>
      </w:r>
      <w:r>
        <w:rPr>
          <w:rFonts w:hint="eastAsia"/>
        </w:rPr>
        <w:t>6</w:t>
      </w:r>
      <w:r>
        <w:rPr>
          <w:rFonts w:hint="default"/>
        </w:rPr>
        <w:t>年</w:t>
      </w:r>
      <w:r>
        <w:rPr>
          <w:rFonts w:hint="eastAsia"/>
        </w:rPr>
        <w:t>3</w:t>
      </w:r>
      <w:r>
        <w:rPr>
          <w:rFonts w:hint="default"/>
        </w:rPr>
        <w:t>月時点で未公表のため、表は「</w:t>
      </w:r>
      <w:r>
        <w:rPr>
          <w:rFonts w:hint="default"/>
        </w:rPr>
        <w:t>-</w:t>
      </w:r>
      <w:r>
        <w:rPr>
          <w:rFonts w:hint="default"/>
        </w:rPr>
        <w:t>」と表記している</w:t>
      </w:r>
    </w:p>
    <w:p>
      <w:pPr>
        <w:pStyle w:val="0"/>
        <w:rPr>
          <w:rFonts w:hint="default"/>
        </w:rPr>
      </w:pPr>
      <w:bookmarkEnd w:id="54"/>
      <w:bookmarkEnd w:id="55"/>
    </w:p>
    <w:p>
      <w:pPr>
        <w:pStyle w:val="38"/>
        <w:rPr>
          <w:rFonts w:hint="default"/>
        </w:rPr>
      </w:pPr>
      <w:bookmarkStart w:id="56" w:name="_Ref122535556"/>
      <w:bookmarkStart w:id="57" w:name="_Toc12493684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56"/>
      <w:r>
        <w:rPr>
          <w:rFonts w:hint="default"/>
        </w:rPr>
        <w:t>：年齢</w:t>
      </w:r>
      <w:r>
        <w:rPr>
          <w:rFonts w:hint="eastAsia"/>
        </w:rPr>
        <w:t>階層</w:t>
      </w:r>
      <w:r>
        <w:rPr>
          <w:rFonts w:hint="default"/>
        </w:rPr>
        <w:t>別</w:t>
      </w:r>
      <w:r>
        <w:rPr>
          <w:rFonts w:hint="default"/>
        </w:rPr>
        <w:t>_</w:t>
      </w:r>
      <w:r>
        <w:rPr>
          <w:rFonts w:hint="default"/>
        </w:rPr>
        <w:t>特定健診受診率</w:t>
      </w:r>
      <w:bookmarkEnd w:id="57"/>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71"/>
        <w:gridCol w:w="1172"/>
        <w:gridCol w:w="1172"/>
        <w:gridCol w:w="1172"/>
        <w:gridCol w:w="1172"/>
        <w:gridCol w:w="1172"/>
        <w:gridCol w:w="1172"/>
        <w:gridCol w:w="1172"/>
      </w:tblGrid>
      <w:tr>
        <w:trPr>
          <w:trHeight w:val="20" w:hRule="atLeast"/>
        </w:trPr>
        <w:tc>
          <w:tcPr>
            <w:tcW w:w="625" w:type="pct"/>
            <w:shd w:val="clear" w:color="auto" w:fill="CCD6FF"/>
            <w:tcMar>
              <w:top w:w="28" w:type="dxa"/>
              <w:left w:w="28" w:type="dxa"/>
              <w:bottom w:w="28" w:type="dxa"/>
              <w:right w:w="28" w:type="dxa"/>
            </w:tcMar>
            <w:vAlign w:val="center"/>
          </w:tcPr>
          <w:p>
            <w:pPr>
              <w:pStyle w:val="0"/>
              <w:jc w:val="center"/>
              <w:rPr>
                <w:rFonts w:hint="default"/>
              </w:rPr>
            </w:pP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40-44</w:t>
            </w:r>
            <w:r>
              <w:rPr>
                <w:rFonts w:hint="default"/>
                <w:b w:val="1"/>
              </w:rPr>
              <w:t>歳</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45-49</w:t>
            </w:r>
            <w:r>
              <w:rPr>
                <w:rFonts w:hint="default"/>
                <w:b w:val="1"/>
              </w:rPr>
              <w:t>歳</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50-54</w:t>
            </w:r>
            <w:r>
              <w:rPr>
                <w:rFonts w:hint="default"/>
                <w:b w:val="1"/>
              </w:rPr>
              <w:t>歳</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55-59</w:t>
            </w:r>
            <w:r>
              <w:rPr>
                <w:rFonts w:hint="default"/>
                <w:b w:val="1"/>
              </w:rPr>
              <w:t>歳</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60-64</w:t>
            </w:r>
            <w:r>
              <w:rPr>
                <w:rFonts w:hint="default"/>
                <w:b w:val="1"/>
              </w:rPr>
              <w:t>歳</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65-69</w:t>
            </w:r>
            <w:r>
              <w:rPr>
                <w:rFonts w:hint="default"/>
                <w:b w:val="1"/>
              </w:rPr>
              <w:t>歳</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70-74</w:t>
            </w:r>
            <w:r>
              <w:rPr>
                <w:rFonts w:hint="default"/>
                <w:b w:val="1"/>
              </w:rPr>
              <w:t>歳</w:t>
            </w:r>
          </w:p>
        </w:tc>
      </w:tr>
      <w:tr>
        <w:trPr>
          <w:trHeight w:val="20" w:hRule="atLeast"/>
        </w:trPr>
        <w:tc>
          <w:tcPr>
            <w:tcW w:w="625" w:type="pct"/>
            <w:tcMar>
              <w:top w:w="28" w:type="dxa"/>
              <w:left w:w="28" w:type="dxa"/>
              <w:bottom w:w="28" w:type="dxa"/>
              <w:right w:w="28" w:type="dxa"/>
            </w:tcMar>
            <w:vAlign w:val="center"/>
          </w:tcPr>
          <w:p>
            <w:pPr>
              <w:pStyle w:val="0"/>
              <w:rPr>
                <w:rFonts w:hint="default"/>
              </w:rPr>
            </w:pPr>
            <w:r>
              <w:rPr>
                <w:rFonts w:hint="default"/>
              </w:rPr>
              <w:t>令和</w:t>
            </w:r>
            <w:r>
              <w:rPr>
                <w:rFonts w:hint="default"/>
              </w:rPr>
              <w:t>1</w:t>
            </w:r>
            <w:r>
              <w:rPr>
                <w:rFonts w:hint="default"/>
              </w:rPr>
              <w:t>年度</w:t>
            </w:r>
          </w:p>
        </w:tc>
        <w:tc>
          <w:tcPr>
            <w:tcW w:w="625" w:type="pct"/>
            <w:tcMar>
              <w:top w:w="28" w:type="dxa"/>
              <w:left w:w="28" w:type="dxa"/>
              <w:bottom w:w="28" w:type="dxa"/>
              <w:right w:w="28" w:type="dxa"/>
            </w:tcMar>
            <w:vAlign w:val="center"/>
          </w:tcPr>
          <w:p>
            <w:pPr>
              <w:pStyle w:val="0"/>
              <w:jc w:val="right"/>
              <w:rPr>
                <w:rFonts w:hint="default"/>
              </w:rPr>
            </w:pPr>
            <w:r>
              <w:rPr>
                <w:rFonts w:hint="default"/>
              </w:rPr>
              <w:t>24.4%</w:t>
            </w:r>
          </w:p>
        </w:tc>
        <w:tc>
          <w:tcPr>
            <w:tcW w:w="625" w:type="pct"/>
            <w:tcMar>
              <w:top w:w="28" w:type="dxa"/>
              <w:left w:w="28" w:type="dxa"/>
              <w:bottom w:w="28" w:type="dxa"/>
              <w:right w:w="28" w:type="dxa"/>
            </w:tcMar>
            <w:vAlign w:val="center"/>
          </w:tcPr>
          <w:p>
            <w:pPr>
              <w:pStyle w:val="0"/>
              <w:jc w:val="right"/>
              <w:rPr>
                <w:rFonts w:hint="default"/>
              </w:rPr>
            </w:pPr>
            <w:r>
              <w:rPr>
                <w:rFonts w:hint="default"/>
              </w:rPr>
              <w:t>24.2%</w:t>
            </w:r>
          </w:p>
        </w:tc>
        <w:tc>
          <w:tcPr>
            <w:tcW w:w="625" w:type="pct"/>
            <w:tcMar>
              <w:top w:w="28" w:type="dxa"/>
              <w:left w:w="28" w:type="dxa"/>
              <w:bottom w:w="28" w:type="dxa"/>
              <w:right w:w="28" w:type="dxa"/>
            </w:tcMar>
            <w:vAlign w:val="center"/>
          </w:tcPr>
          <w:p>
            <w:pPr>
              <w:pStyle w:val="0"/>
              <w:jc w:val="right"/>
              <w:rPr>
                <w:rFonts w:hint="default"/>
              </w:rPr>
            </w:pPr>
            <w:r>
              <w:rPr>
                <w:rFonts w:hint="default"/>
              </w:rPr>
              <w:t>24.5%</w:t>
            </w:r>
          </w:p>
        </w:tc>
        <w:tc>
          <w:tcPr>
            <w:tcW w:w="625" w:type="pct"/>
            <w:tcMar>
              <w:top w:w="28" w:type="dxa"/>
              <w:left w:w="28" w:type="dxa"/>
              <w:bottom w:w="28" w:type="dxa"/>
              <w:right w:w="28" w:type="dxa"/>
            </w:tcMar>
            <w:vAlign w:val="center"/>
          </w:tcPr>
          <w:p>
            <w:pPr>
              <w:pStyle w:val="0"/>
              <w:jc w:val="right"/>
              <w:rPr>
                <w:rFonts w:hint="default"/>
              </w:rPr>
            </w:pPr>
            <w:r>
              <w:rPr>
                <w:rFonts w:hint="default"/>
              </w:rPr>
              <w:t>28.2%</w:t>
            </w:r>
          </w:p>
        </w:tc>
        <w:tc>
          <w:tcPr>
            <w:tcW w:w="625" w:type="pct"/>
            <w:tcMar>
              <w:top w:w="28" w:type="dxa"/>
              <w:left w:w="28" w:type="dxa"/>
              <w:bottom w:w="28" w:type="dxa"/>
              <w:right w:w="28" w:type="dxa"/>
            </w:tcMar>
            <w:vAlign w:val="center"/>
          </w:tcPr>
          <w:p>
            <w:pPr>
              <w:pStyle w:val="0"/>
              <w:jc w:val="right"/>
              <w:rPr>
                <w:rFonts w:hint="default"/>
              </w:rPr>
            </w:pPr>
            <w:r>
              <w:rPr>
                <w:rFonts w:hint="default"/>
              </w:rPr>
              <w:t>36.5%</w:t>
            </w:r>
          </w:p>
        </w:tc>
        <w:tc>
          <w:tcPr>
            <w:tcW w:w="625" w:type="pct"/>
            <w:tcMar>
              <w:top w:w="28" w:type="dxa"/>
              <w:left w:w="28" w:type="dxa"/>
              <w:bottom w:w="28" w:type="dxa"/>
              <w:right w:w="28" w:type="dxa"/>
            </w:tcMar>
            <w:vAlign w:val="center"/>
          </w:tcPr>
          <w:p>
            <w:pPr>
              <w:pStyle w:val="0"/>
              <w:jc w:val="right"/>
              <w:rPr>
                <w:rFonts w:hint="default"/>
              </w:rPr>
            </w:pPr>
            <w:r>
              <w:rPr>
                <w:rFonts w:hint="default"/>
              </w:rPr>
              <w:t>42.5%</w:t>
            </w:r>
          </w:p>
        </w:tc>
        <w:tc>
          <w:tcPr>
            <w:tcW w:w="625" w:type="pct"/>
            <w:tcMar>
              <w:top w:w="28" w:type="dxa"/>
              <w:left w:w="28" w:type="dxa"/>
              <w:bottom w:w="28" w:type="dxa"/>
              <w:right w:w="28" w:type="dxa"/>
            </w:tcMar>
            <w:vAlign w:val="center"/>
          </w:tcPr>
          <w:p>
            <w:pPr>
              <w:pStyle w:val="0"/>
              <w:jc w:val="right"/>
              <w:rPr>
                <w:rFonts w:hint="default"/>
              </w:rPr>
            </w:pPr>
            <w:r>
              <w:rPr>
                <w:rFonts w:hint="default"/>
              </w:rPr>
              <w:t>41.1%</w:t>
            </w:r>
          </w:p>
        </w:tc>
      </w:tr>
      <w:tr>
        <w:trPr>
          <w:trHeight w:val="20" w:hRule="atLeast"/>
        </w:trPr>
        <w:tc>
          <w:tcPr>
            <w:tcW w:w="625" w:type="pct"/>
            <w:tcMar>
              <w:top w:w="28" w:type="dxa"/>
              <w:left w:w="28" w:type="dxa"/>
              <w:bottom w:w="28" w:type="dxa"/>
              <w:right w:w="28" w:type="dxa"/>
            </w:tcMar>
            <w:vAlign w:val="center"/>
          </w:tcPr>
          <w:p>
            <w:pPr>
              <w:pStyle w:val="0"/>
              <w:rPr>
                <w:rFonts w:hint="default"/>
              </w:rPr>
            </w:pPr>
            <w:r>
              <w:rPr>
                <w:rFonts w:hint="default"/>
              </w:rPr>
              <w:t>令和</w:t>
            </w:r>
            <w:r>
              <w:rPr>
                <w:rFonts w:hint="default"/>
              </w:rPr>
              <w:t>2</w:t>
            </w:r>
            <w:r>
              <w:rPr>
                <w:rFonts w:hint="default"/>
              </w:rPr>
              <w:t>年度</w:t>
            </w:r>
          </w:p>
        </w:tc>
        <w:tc>
          <w:tcPr>
            <w:tcW w:w="625" w:type="pct"/>
            <w:tcMar>
              <w:top w:w="28" w:type="dxa"/>
              <w:left w:w="28" w:type="dxa"/>
              <w:bottom w:w="28" w:type="dxa"/>
              <w:right w:w="28" w:type="dxa"/>
            </w:tcMar>
            <w:vAlign w:val="center"/>
          </w:tcPr>
          <w:p>
            <w:pPr>
              <w:pStyle w:val="0"/>
              <w:jc w:val="right"/>
              <w:rPr>
                <w:rFonts w:hint="default"/>
              </w:rPr>
            </w:pPr>
            <w:r>
              <w:rPr>
                <w:rFonts w:hint="default"/>
              </w:rPr>
              <w:t>14.0%</w:t>
            </w:r>
          </w:p>
        </w:tc>
        <w:tc>
          <w:tcPr>
            <w:tcW w:w="625" w:type="pct"/>
            <w:tcMar>
              <w:top w:w="28" w:type="dxa"/>
              <w:left w:w="28" w:type="dxa"/>
              <w:bottom w:w="28" w:type="dxa"/>
              <w:right w:w="28" w:type="dxa"/>
            </w:tcMar>
            <w:vAlign w:val="center"/>
          </w:tcPr>
          <w:p>
            <w:pPr>
              <w:pStyle w:val="0"/>
              <w:jc w:val="right"/>
              <w:rPr>
                <w:rFonts w:hint="default"/>
              </w:rPr>
            </w:pPr>
            <w:r>
              <w:rPr>
                <w:rFonts w:hint="default"/>
              </w:rPr>
              <w:t>12.4%</w:t>
            </w:r>
          </w:p>
        </w:tc>
        <w:tc>
          <w:tcPr>
            <w:tcW w:w="625" w:type="pct"/>
            <w:tcMar>
              <w:top w:w="28" w:type="dxa"/>
              <w:left w:w="28" w:type="dxa"/>
              <w:bottom w:w="28" w:type="dxa"/>
              <w:right w:w="28" w:type="dxa"/>
            </w:tcMar>
            <w:vAlign w:val="center"/>
          </w:tcPr>
          <w:p>
            <w:pPr>
              <w:pStyle w:val="0"/>
              <w:jc w:val="right"/>
              <w:rPr>
                <w:rFonts w:hint="default"/>
              </w:rPr>
            </w:pPr>
            <w:r>
              <w:rPr>
                <w:rFonts w:hint="default"/>
              </w:rPr>
              <w:t>14.0%</w:t>
            </w:r>
          </w:p>
        </w:tc>
        <w:tc>
          <w:tcPr>
            <w:tcW w:w="625" w:type="pct"/>
            <w:tcMar>
              <w:top w:w="28" w:type="dxa"/>
              <w:left w:w="28" w:type="dxa"/>
              <w:bottom w:w="28" w:type="dxa"/>
              <w:right w:w="28" w:type="dxa"/>
            </w:tcMar>
            <w:vAlign w:val="center"/>
          </w:tcPr>
          <w:p>
            <w:pPr>
              <w:pStyle w:val="0"/>
              <w:jc w:val="right"/>
              <w:rPr>
                <w:rFonts w:hint="default"/>
              </w:rPr>
            </w:pPr>
            <w:r>
              <w:rPr>
                <w:rFonts w:hint="default"/>
              </w:rPr>
              <w:t>14.3%</w:t>
            </w:r>
          </w:p>
        </w:tc>
        <w:tc>
          <w:tcPr>
            <w:tcW w:w="625" w:type="pct"/>
            <w:tcMar>
              <w:top w:w="28" w:type="dxa"/>
              <w:left w:w="28" w:type="dxa"/>
              <w:bottom w:w="28" w:type="dxa"/>
              <w:right w:w="28" w:type="dxa"/>
            </w:tcMar>
            <w:vAlign w:val="center"/>
          </w:tcPr>
          <w:p>
            <w:pPr>
              <w:pStyle w:val="0"/>
              <w:jc w:val="right"/>
              <w:rPr>
                <w:rFonts w:hint="default"/>
              </w:rPr>
            </w:pPr>
            <w:r>
              <w:rPr>
                <w:rFonts w:hint="default"/>
              </w:rPr>
              <w:t>19.4%</w:t>
            </w:r>
          </w:p>
        </w:tc>
        <w:tc>
          <w:tcPr>
            <w:tcW w:w="625" w:type="pct"/>
            <w:tcMar>
              <w:top w:w="28" w:type="dxa"/>
              <w:left w:w="28" w:type="dxa"/>
              <w:bottom w:w="28" w:type="dxa"/>
              <w:right w:w="28" w:type="dxa"/>
            </w:tcMar>
            <w:vAlign w:val="center"/>
          </w:tcPr>
          <w:p>
            <w:pPr>
              <w:pStyle w:val="0"/>
              <w:jc w:val="right"/>
              <w:rPr>
                <w:rFonts w:hint="default"/>
              </w:rPr>
            </w:pPr>
            <w:r>
              <w:rPr>
                <w:rFonts w:hint="default"/>
              </w:rPr>
              <w:t>24.0%</w:t>
            </w:r>
          </w:p>
        </w:tc>
        <w:tc>
          <w:tcPr>
            <w:tcW w:w="625" w:type="pct"/>
            <w:tcMar>
              <w:top w:w="28" w:type="dxa"/>
              <w:left w:w="28" w:type="dxa"/>
              <w:bottom w:w="28" w:type="dxa"/>
              <w:right w:w="28" w:type="dxa"/>
            </w:tcMar>
            <w:vAlign w:val="center"/>
          </w:tcPr>
          <w:p>
            <w:pPr>
              <w:pStyle w:val="0"/>
              <w:jc w:val="right"/>
              <w:rPr>
                <w:rFonts w:hint="default"/>
              </w:rPr>
            </w:pPr>
            <w:r>
              <w:rPr>
                <w:rFonts w:hint="default"/>
              </w:rPr>
              <w:t>22.0%</w:t>
            </w:r>
          </w:p>
        </w:tc>
      </w:tr>
      <w:tr>
        <w:trPr>
          <w:trHeight w:val="20" w:hRule="atLeast"/>
        </w:trPr>
        <w:tc>
          <w:tcPr>
            <w:tcW w:w="625" w:type="pct"/>
            <w:tcMar>
              <w:top w:w="28" w:type="dxa"/>
              <w:left w:w="28" w:type="dxa"/>
              <w:bottom w:w="28" w:type="dxa"/>
              <w:right w:w="28" w:type="dxa"/>
            </w:tcMar>
            <w:vAlign w:val="center"/>
          </w:tcPr>
          <w:p>
            <w:pPr>
              <w:pStyle w:val="0"/>
              <w:rPr>
                <w:rFonts w:hint="default"/>
              </w:rPr>
            </w:pPr>
            <w:r>
              <w:rPr>
                <w:rFonts w:hint="default"/>
              </w:rPr>
              <w:t>令和</w:t>
            </w:r>
            <w:r>
              <w:rPr>
                <w:rFonts w:hint="default"/>
              </w:rPr>
              <w:t>3</w:t>
            </w:r>
            <w:r>
              <w:rPr>
                <w:rFonts w:hint="default"/>
              </w:rPr>
              <w:t>年度</w:t>
            </w:r>
          </w:p>
        </w:tc>
        <w:tc>
          <w:tcPr>
            <w:tcW w:w="625" w:type="pct"/>
            <w:tcMar>
              <w:top w:w="28" w:type="dxa"/>
              <w:left w:w="28" w:type="dxa"/>
              <w:bottom w:w="28" w:type="dxa"/>
              <w:right w:w="28" w:type="dxa"/>
            </w:tcMar>
            <w:vAlign w:val="center"/>
          </w:tcPr>
          <w:p>
            <w:pPr>
              <w:pStyle w:val="0"/>
              <w:jc w:val="right"/>
              <w:rPr>
                <w:rFonts w:hint="default"/>
              </w:rPr>
            </w:pPr>
            <w:r>
              <w:rPr>
                <w:rFonts w:hint="default"/>
              </w:rPr>
              <w:t>21.4%</w:t>
            </w:r>
          </w:p>
        </w:tc>
        <w:tc>
          <w:tcPr>
            <w:tcW w:w="625" w:type="pct"/>
            <w:tcMar>
              <w:top w:w="28" w:type="dxa"/>
              <w:left w:w="28" w:type="dxa"/>
              <w:bottom w:w="28" w:type="dxa"/>
              <w:right w:w="28" w:type="dxa"/>
            </w:tcMar>
            <w:vAlign w:val="center"/>
          </w:tcPr>
          <w:p>
            <w:pPr>
              <w:pStyle w:val="0"/>
              <w:jc w:val="right"/>
              <w:rPr>
                <w:rFonts w:hint="default"/>
              </w:rPr>
            </w:pPr>
            <w:r>
              <w:rPr>
                <w:rFonts w:hint="default"/>
              </w:rPr>
              <w:t>17.5%</w:t>
            </w:r>
          </w:p>
        </w:tc>
        <w:tc>
          <w:tcPr>
            <w:tcW w:w="625" w:type="pct"/>
            <w:tcMar>
              <w:top w:w="28" w:type="dxa"/>
              <w:left w:w="28" w:type="dxa"/>
              <w:bottom w:w="28" w:type="dxa"/>
              <w:right w:w="28" w:type="dxa"/>
            </w:tcMar>
            <w:vAlign w:val="center"/>
          </w:tcPr>
          <w:p>
            <w:pPr>
              <w:pStyle w:val="0"/>
              <w:jc w:val="right"/>
              <w:rPr>
                <w:rFonts w:hint="default"/>
              </w:rPr>
            </w:pPr>
            <w:r>
              <w:rPr>
                <w:rFonts w:hint="default"/>
              </w:rPr>
              <w:t>21.2%</w:t>
            </w:r>
          </w:p>
        </w:tc>
        <w:tc>
          <w:tcPr>
            <w:tcW w:w="625" w:type="pct"/>
            <w:tcMar>
              <w:top w:w="28" w:type="dxa"/>
              <w:left w:w="28" w:type="dxa"/>
              <w:bottom w:w="28" w:type="dxa"/>
              <w:right w:w="28" w:type="dxa"/>
            </w:tcMar>
            <w:vAlign w:val="center"/>
          </w:tcPr>
          <w:p>
            <w:pPr>
              <w:pStyle w:val="0"/>
              <w:jc w:val="right"/>
              <w:rPr>
                <w:rFonts w:hint="default"/>
              </w:rPr>
            </w:pPr>
            <w:r>
              <w:rPr>
                <w:rFonts w:hint="default"/>
              </w:rPr>
              <w:t>22.9%</w:t>
            </w:r>
          </w:p>
        </w:tc>
        <w:tc>
          <w:tcPr>
            <w:tcW w:w="625" w:type="pct"/>
            <w:tcMar>
              <w:top w:w="28" w:type="dxa"/>
              <w:left w:w="28" w:type="dxa"/>
              <w:bottom w:w="28" w:type="dxa"/>
              <w:right w:w="28" w:type="dxa"/>
            </w:tcMar>
            <w:vAlign w:val="center"/>
          </w:tcPr>
          <w:p>
            <w:pPr>
              <w:pStyle w:val="0"/>
              <w:jc w:val="right"/>
              <w:rPr>
                <w:rFonts w:hint="default"/>
              </w:rPr>
            </w:pPr>
            <w:r>
              <w:rPr>
                <w:rFonts w:hint="default"/>
              </w:rPr>
              <w:t>26.5%</w:t>
            </w:r>
          </w:p>
        </w:tc>
        <w:tc>
          <w:tcPr>
            <w:tcW w:w="625" w:type="pct"/>
            <w:tcMar>
              <w:top w:w="28" w:type="dxa"/>
              <w:left w:w="28" w:type="dxa"/>
              <w:bottom w:w="28" w:type="dxa"/>
              <w:right w:w="28" w:type="dxa"/>
            </w:tcMar>
            <w:vAlign w:val="center"/>
          </w:tcPr>
          <w:p>
            <w:pPr>
              <w:pStyle w:val="0"/>
              <w:jc w:val="right"/>
              <w:rPr>
                <w:rFonts w:hint="default"/>
              </w:rPr>
            </w:pPr>
            <w:r>
              <w:rPr>
                <w:rFonts w:hint="default"/>
              </w:rPr>
              <w:t>35.1%</w:t>
            </w:r>
          </w:p>
        </w:tc>
        <w:tc>
          <w:tcPr>
            <w:tcW w:w="625" w:type="pct"/>
            <w:tcMar>
              <w:top w:w="28" w:type="dxa"/>
              <w:left w:w="28" w:type="dxa"/>
              <w:bottom w:w="28" w:type="dxa"/>
              <w:right w:w="28" w:type="dxa"/>
            </w:tcMar>
            <w:vAlign w:val="center"/>
          </w:tcPr>
          <w:p>
            <w:pPr>
              <w:pStyle w:val="0"/>
              <w:jc w:val="right"/>
              <w:rPr>
                <w:rFonts w:hint="default"/>
              </w:rPr>
            </w:pPr>
            <w:r>
              <w:rPr>
                <w:rFonts w:hint="default"/>
              </w:rPr>
              <w:t>32.0%</w:t>
            </w:r>
          </w:p>
        </w:tc>
      </w:tr>
      <w:tr>
        <w:trPr>
          <w:trHeight w:val="20" w:hRule="atLeast"/>
        </w:trPr>
        <w:tc>
          <w:tcPr>
            <w:tcW w:w="625" w:type="pct"/>
            <w:tcMar>
              <w:top w:w="28" w:type="dxa"/>
              <w:left w:w="28" w:type="dxa"/>
              <w:bottom w:w="28" w:type="dxa"/>
              <w:right w:w="28" w:type="dxa"/>
            </w:tcMar>
            <w:vAlign w:val="center"/>
          </w:tcPr>
          <w:p>
            <w:pPr>
              <w:pStyle w:val="0"/>
              <w:rPr>
                <w:rFonts w:hint="default"/>
              </w:rPr>
            </w:pPr>
            <w:r>
              <w:rPr>
                <w:rFonts w:hint="default"/>
              </w:rPr>
              <w:t>令和</w:t>
            </w:r>
            <w:r>
              <w:rPr>
                <w:rFonts w:hint="default"/>
              </w:rPr>
              <w:t>4</w:t>
            </w:r>
            <w:r>
              <w:rPr>
                <w:rFonts w:hint="default"/>
              </w:rPr>
              <w:t>年度</w:t>
            </w:r>
          </w:p>
        </w:tc>
        <w:tc>
          <w:tcPr>
            <w:tcW w:w="625" w:type="pct"/>
            <w:tcMar>
              <w:top w:w="28" w:type="dxa"/>
              <w:left w:w="28" w:type="dxa"/>
              <w:bottom w:w="28" w:type="dxa"/>
              <w:right w:w="28" w:type="dxa"/>
            </w:tcMar>
            <w:vAlign w:val="center"/>
          </w:tcPr>
          <w:p>
            <w:pPr>
              <w:pStyle w:val="0"/>
              <w:jc w:val="right"/>
              <w:rPr>
                <w:rFonts w:hint="default"/>
              </w:rPr>
            </w:pPr>
            <w:r>
              <w:rPr>
                <w:rFonts w:hint="default"/>
              </w:rPr>
              <w:t>18.8%</w:t>
            </w:r>
          </w:p>
        </w:tc>
        <w:tc>
          <w:tcPr>
            <w:tcW w:w="625" w:type="pct"/>
            <w:tcMar>
              <w:top w:w="28" w:type="dxa"/>
              <w:left w:w="28" w:type="dxa"/>
              <w:bottom w:w="28" w:type="dxa"/>
              <w:right w:w="28" w:type="dxa"/>
            </w:tcMar>
            <w:vAlign w:val="center"/>
          </w:tcPr>
          <w:p>
            <w:pPr>
              <w:pStyle w:val="0"/>
              <w:jc w:val="right"/>
              <w:rPr>
                <w:rFonts w:hint="default"/>
              </w:rPr>
            </w:pPr>
            <w:r>
              <w:rPr>
                <w:rFonts w:hint="default"/>
              </w:rPr>
              <w:t>20.0%</w:t>
            </w:r>
          </w:p>
        </w:tc>
        <w:tc>
          <w:tcPr>
            <w:tcW w:w="625" w:type="pct"/>
            <w:tcMar>
              <w:top w:w="28" w:type="dxa"/>
              <w:left w:w="28" w:type="dxa"/>
              <w:bottom w:w="28" w:type="dxa"/>
              <w:right w:w="28" w:type="dxa"/>
            </w:tcMar>
            <w:vAlign w:val="center"/>
          </w:tcPr>
          <w:p>
            <w:pPr>
              <w:pStyle w:val="0"/>
              <w:jc w:val="right"/>
              <w:rPr>
                <w:rFonts w:hint="default"/>
              </w:rPr>
            </w:pPr>
            <w:r>
              <w:rPr>
                <w:rFonts w:hint="default"/>
              </w:rPr>
              <w:t>17.2%</w:t>
            </w:r>
          </w:p>
        </w:tc>
        <w:tc>
          <w:tcPr>
            <w:tcW w:w="625" w:type="pct"/>
            <w:tcMar>
              <w:top w:w="28" w:type="dxa"/>
              <w:left w:w="28" w:type="dxa"/>
              <w:bottom w:w="28" w:type="dxa"/>
              <w:right w:w="28" w:type="dxa"/>
            </w:tcMar>
            <w:vAlign w:val="center"/>
          </w:tcPr>
          <w:p>
            <w:pPr>
              <w:pStyle w:val="0"/>
              <w:jc w:val="right"/>
              <w:rPr>
                <w:rFonts w:hint="default"/>
              </w:rPr>
            </w:pPr>
            <w:r>
              <w:rPr>
                <w:rFonts w:hint="default"/>
              </w:rPr>
              <w:t>22.0%</w:t>
            </w:r>
          </w:p>
        </w:tc>
        <w:tc>
          <w:tcPr>
            <w:tcW w:w="625" w:type="pct"/>
            <w:tcMar>
              <w:top w:w="28" w:type="dxa"/>
              <w:left w:w="28" w:type="dxa"/>
              <w:bottom w:w="28" w:type="dxa"/>
              <w:right w:w="28" w:type="dxa"/>
            </w:tcMar>
            <w:vAlign w:val="center"/>
          </w:tcPr>
          <w:p>
            <w:pPr>
              <w:pStyle w:val="0"/>
              <w:jc w:val="right"/>
              <w:rPr>
                <w:rFonts w:hint="default"/>
              </w:rPr>
            </w:pPr>
            <w:r>
              <w:rPr>
                <w:rFonts w:hint="default"/>
              </w:rPr>
              <w:t>28.6%</w:t>
            </w:r>
          </w:p>
        </w:tc>
        <w:tc>
          <w:tcPr>
            <w:tcW w:w="625" w:type="pct"/>
            <w:tcMar>
              <w:top w:w="28" w:type="dxa"/>
              <w:left w:w="28" w:type="dxa"/>
              <w:bottom w:w="28" w:type="dxa"/>
              <w:right w:w="28" w:type="dxa"/>
            </w:tcMar>
            <w:vAlign w:val="center"/>
          </w:tcPr>
          <w:p>
            <w:pPr>
              <w:pStyle w:val="0"/>
              <w:jc w:val="right"/>
              <w:rPr>
                <w:rFonts w:hint="default"/>
              </w:rPr>
            </w:pPr>
            <w:r>
              <w:rPr>
                <w:rFonts w:hint="default"/>
              </w:rPr>
              <w:t>34.7%</w:t>
            </w:r>
          </w:p>
        </w:tc>
        <w:tc>
          <w:tcPr>
            <w:tcW w:w="625" w:type="pct"/>
            <w:tcMar>
              <w:top w:w="28" w:type="dxa"/>
              <w:left w:w="28" w:type="dxa"/>
              <w:bottom w:w="28" w:type="dxa"/>
              <w:right w:w="28" w:type="dxa"/>
            </w:tcMar>
            <w:vAlign w:val="center"/>
          </w:tcPr>
          <w:p>
            <w:pPr>
              <w:pStyle w:val="0"/>
              <w:jc w:val="right"/>
              <w:rPr>
                <w:rFonts w:hint="default"/>
              </w:rPr>
            </w:pPr>
            <w:r>
              <w:rPr>
                <w:rFonts w:hint="default"/>
              </w:rPr>
              <w:t>33.5%</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S21_008-</w:t>
      </w:r>
      <w:r>
        <w:rPr>
          <w:rFonts w:hint="default"/>
        </w:rPr>
        <w:t>健診の状況</w:t>
      </w:r>
      <w:r>
        <w:rPr>
          <w:rFonts w:hint="eastAsia"/>
        </w:rPr>
        <w:t xml:space="preserve"> </w:t>
      </w:r>
      <w:r>
        <w:rPr>
          <w:rFonts w:hint="eastAsia"/>
        </w:rPr>
        <w:t>令和</w:t>
      </w:r>
      <w:r>
        <w:rPr>
          <w:rFonts w:hint="eastAsia"/>
        </w:rPr>
        <w:t>1</w:t>
      </w:r>
      <w:r>
        <w:rPr>
          <w:rFonts w:hint="default"/>
        </w:rPr>
        <w:t>年度から</w:t>
      </w:r>
      <w:r>
        <w:rPr>
          <w:rFonts w:hint="eastAsia"/>
        </w:rPr>
        <w:t>令和</w:t>
      </w:r>
      <w:r>
        <w:rPr>
          <w:rFonts w:hint="eastAsia"/>
        </w:rPr>
        <w:t>4</w:t>
      </w:r>
      <w:r>
        <w:rPr>
          <w:rFonts w:hint="eastAsia"/>
        </w:rPr>
        <w:t>年度</w:t>
      </w:r>
      <w:r>
        <w:rPr>
          <w:rFonts w:hint="default"/>
        </w:rPr>
        <w:t xml:space="preserve"> </w:t>
      </w:r>
      <w:r>
        <w:rPr>
          <w:rFonts w:hint="default"/>
        </w:rPr>
        <w:t>累計</w:t>
      </w:r>
    </w:p>
    <w:p>
      <w:pPr>
        <w:pStyle w:val="42"/>
        <w:rPr>
          <w:rFonts w:hint="default"/>
        </w:rPr>
      </w:pPr>
      <w:r>
        <w:rPr>
          <w:rFonts w:hint="eastAsia"/>
        </w:rPr>
        <w:t>※</w:t>
      </w:r>
      <w:r>
        <w:rPr>
          <w:rFonts w:hint="eastAsia"/>
        </w:rPr>
        <w:t>KDB</w:t>
      </w:r>
      <w:r>
        <w:rPr>
          <w:rFonts w:hint="eastAsia"/>
        </w:rPr>
        <w:t>帳票と法定報告値は、データの登録時期が異なるため値がずれる（以下同様）</w:t>
      </w:r>
    </w:p>
    <w:p>
      <w:pPr>
        <w:pStyle w:val="0"/>
        <w:rPr>
          <w:rFonts w:hint="default"/>
        </w:rPr>
      </w:pPr>
      <w:r>
        <w:rPr>
          <w:rFonts w:hint="default"/>
        </w:rPr>
        <w:br w:type="page"/>
      </w:r>
    </w:p>
    <w:p>
      <w:pPr>
        <w:pStyle w:val="4"/>
        <w:rPr>
          <w:rFonts w:hint="default"/>
        </w:rPr>
      </w:pPr>
      <w:r>
        <w:rPr>
          <w:rFonts w:hint="eastAsia"/>
        </w:rPr>
        <w:t>特定健診の受診状況と生活習慣病の治療状況</w:t>
      </w:r>
    </w:p>
    <w:p>
      <w:pPr>
        <w:pStyle w:val="39"/>
        <w:ind w:firstLine="200"/>
        <w:rPr>
          <w:rFonts w:hint="default"/>
        </w:rPr>
      </w:pPr>
      <w:r>
        <w:rPr>
          <w:rFonts w:hint="eastAsia"/>
        </w:rPr>
        <w:t>特定健診受診者と特定健診未受診者における生活習慣病のレセプト保有割合の差は、健康意識の差によるものとも考え得るし、健診受診が医療機関受診につながっている可能性もある。</w:t>
      </w:r>
    </w:p>
    <w:p>
      <w:pPr>
        <w:pStyle w:val="39"/>
        <w:ind w:firstLine="200"/>
        <w:rPr>
          <w:rFonts w:hint="default"/>
        </w:rPr>
      </w:pPr>
      <w:r>
        <w:rPr>
          <w:rFonts w:hint="eastAsia"/>
        </w:rPr>
        <w:t>特定健診を受診したもののうち、生活習慣病のレセプトが出ているもの、すなわち生活習慣病を治療中のものは</w:t>
      </w:r>
      <w:r>
        <w:rPr>
          <w:rFonts w:hint="default"/>
        </w:rPr>
        <w:t>2,507</w:t>
      </w:r>
      <w:r>
        <w:rPr>
          <w:rFonts w:hint="default"/>
        </w:rPr>
        <w:t>人で、特定健診対象者の</w:t>
      </w:r>
      <w:r>
        <w:rPr>
          <w:rFonts w:hint="default"/>
        </w:rPr>
        <w:t>20.1%</w:t>
      </w:r>
      <w:r>
        <w:rPr>
          <w:rFonts w:hint="default"/>
        </w:rPr>
        <w:t>、特定健診受診者の</w:t>
      </w:r>
      <w:r>
        <w:rPr>
          <w:rFonts w:hint="default"/>
        </w:rPr>
        <w:t>69.4%</w:t>
      </w:r>
      <w:r>
        <w:rPr>
          <w:rFonts w:hint="default"/>
        </w:rPr>
        <w:t>を占めている。他方、特定健診未受診者のうち、生活習慣病のレセプトが出ている人は</w:t>
      </w:r>
      <w:r>
        <w:rPr>
          <w:rFonts w:hint="default"/>
        </w:rPr>
        <w:t>5,684</w:t>
      </w:r>
      <w:r>
        <w:rPr>
          <w:rFonts w:hint="default"/>
        </w:rPr>
        <w:t>人で、特定健診対象者の</w:t>
      </w:r>
      <w:r>
        <w:rPr>
          <w:rFonts w:hint="default"/>
        </w:rPr>
        <w:t>45.5%</w:t>
      </w:r>
      <w:r>
        <w:rPr>
          <w:rFonts w:hint="default"/>
        </w:rPr>
        <w:t>、特定健診未受診者の</w:t>
      </w:r>
      <w:r>
        <w:rPr>
          <w:rFonts w:hint="default"/>
        </w:rPr>
        <w:t>64.1%</w:t>
      </w:r>
      <w:r>
        <w:rPr>
          <w:rFonts w:hint="default"/>
        </w:rPr>
        <w:t>を占めている</w:t>
      </w:r>
      <w:r>
        <w:rPr>
          <w:rFonts w:hint="eastAsia"/>
        </w:rPr>
        <w:t>（</w:t>
      </w:r>
      <w:r>
        <w:rPr>
          <w:rFonts w:hint="eastAsia"/>
        </w:rPr>
        <w:fldChar w:fldCharType="begin"/>
      </w:r>
      <w:r>
        <w:rPr>
          <w:rFonts w:hint="eastAsia"/>
        </w:rPr>
        <w:instrText xml:space="preserve">REF _Ref130893311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1</w:t>
      </w:r>
      <w:r>
        <w:rPr>
          <w:rFonts w:hint="eastAsia"/>
        </w:rPr>
        <w:t>-</w:t>
      </w:r>
      <w:r>
        <w:rPr>
          <w:rFonts w:hint="default"/>
        </w:rPr>
        <w:t>3</w:t>
      </w:r>
      <w:r>
        <w:rPr>
          <w:rFonts w:hint="eastAsia"/>
        </w:rPr>
        <w:fldChar w:fldCharType="end"/>
      </w:r>
      <w:r>
        <w:rPr>
          <w:rFonts w:hint="eastAsia"/>
        </w:rPr>
        <w:t>）</w:t>
      </w:r>
      <w:r>
        <w:rPr>
          <w:rFonts w:hint="default"/>
        </w:rPr>
        <w:t>。</w:t>
      </w:r>
    </w:p>
    <w:p>
      <w:pPr>
        <w:pStyle w:val="39"/>
        <w:ind w:firstLine="200"/>
        <w:rPr>
          <w:rFonts w:hint="default"/>
        </w:rPr>
      </w:pPr>
      <w:r>
        <w:rPr>
          <w:rFonts w:hint="eastAsia"/>
        </w:rPr>
        <w:t>特定健診未受診者のうち、生活習慣病のレセプトが出ていない人は</w:t>
      </w:r>
      <w:r>
        <w:rPr>
          <w:rFonts w:hint="default"/>
        </w:rPr>
        <w:t>3,186</w:t>
      </w:r>
      <w:r>
        <w:rPr>
          <w:rFonts w:hint="default"/>
        </w:rPr>
        <w:t>人で、特定健診対象者の</w:t>
      </w:r>
      <w:r>
        <w:rPr>
          <w:rFonts w:hint="default"/>
        </w:rPr>
        <w:t>25.5%</w:t>
      </w:r>
      <w:r>
        <w:rPr>
          <w:rFonts w:hint="default"/>
        </w:rPr>
        <w:t>であり、これらの</w:t>
      </w:r>
      <w:r>
        <w:rPr>
          <w:rFonts w:hint="eastAsia"/>
        </w:rPr>
        <w:t>もの</w:t>
      </w:r>
      <w:r>
        <w:rPr>
          <w:rFonts w:hint="default"/>
        </w:rPr>
        <w:t>の健康状態を把握するのは難しい状況にある。</w:t>
      </w:r>
    </w:p>
    <w:p>
      <w:pPr>
        <w:pStyle w:val="0"/>
        <w:rPr>
          <w:rFonts w:hint="default"/>
        </w:rPr>
      </w:pPr>
    </w:p>
    <w:p>
      <w:pPr>
        <w:pStyle w:val="42"/>
        <w:rPr>
          <w:rFonts w:hint="default"/>
        </w:rPr>
      </w:pPr>
      <w:r>
        <w:rPr>
          <w:rFonts w:hint="eastAsia"/>
        </w:rPr>
        <w:t>※この項における生活習慣病とは、</w:t>
      </w:r>
      <w:r>
        <w:rPr>
          <w:rFonts w:hint="default"/>
        </w:rPr>
        <w:t>KDB</w:t>
      </w:r>
      <w:r>
        <w:rPr>
          <w:rFonts w:hint="default"/>
        </w:rPr>
        <w:t>が定める生活習慣病（糖尿病、高血圧症、脂質異常症、高尿酸血症、脂肪肝、動脈硬化症、脳出血、脳梗塞、狭心症、心筋梗塞、がん、筋・骨格</w:t>
      </w:r>
      <w:r>
        <w:rPr>
          <w:rFonts w:hint="eastAsia"/>
        </w:rPr>
        <w:t>関連疾患、及び</w:t>
      </w:r>
      <w:r>
        <w:rPr>
          <w:rFonts w:hint="default"/>
        </w:rPr>
        <w:t>精神</w:t>
      </w:r>
      <w:r>
        <w:rPr>
          <w:rFonts w:hint="eastAsia"/>
        </w:rPr>
        <w:t>疾患</w:t>
      </w:r>
      <w:r>
        <w:rPr>
          <w:rFonts w:hint="default"/>
        </w:rPr>
        <w:t>）を指す</w:t>
      </w:r>
    </w:p>
    <w:p>
      <w:pPr>
        <w:pStyle w:val="0"/>
        <w:rPr>
          <w:rFonts w:hint="default"/>
        </w:rPr>
      </w:pPr>
    </w:p>
    <w:p>
      <w:pPr>
        <w:pStyle w:val="38"/>
        <w:rPr>
          <w:rFonts w:hint="default"/>
        </w:rPr>
      </w:pPr>
      <w:bookmarkStart w:id="58" w:name="_Ref13089331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58"/>
      <w:r>
        <w:rPr>
          <w:rFonts w:hint="default"/>
        </w:rPr>
        <w:t>：</w:t>
      </w:r>
      <w:r>
        <w:rPr>
          <w:rFonts w:hint="eastAsia"/>
        </w:rPr>
        <w:t>特定健診の受診状況と</w:t>
      </w:r>
      <w:r>
        <w:rPr>
          <w:rFonts w:hint="default"/>
        </w:rPr>
        <w:t>生活習慣病の治療状況</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12"/>
        <w:gridCol w:w="1733"/>
        <w:gridCol w:w="1052"/>
        <w:gridCol w:w="1046"/>
        <w:gridCol w:w="1046"/>
        <w:gridCol w:w="1050"/>
        <w:gridCol w:w="1046"/>
        <w:gridCol w:w="1046"/>
        <w:gridCol w:w="1044"/>
      </w:tblGrid>
      <w:tr>
        <w:trPr>
          <w:trHeight w:val="20" w:hRule="atLeast"/>
        </w:trPr>
        <w:tc>
          <w:tcPr>
            <w:tcW w:w="1089" w:type="pct"/>
            <w:gridSpan w:val="2"/>
            <w:vMerge w:val="restart"/>
            <w:shd w:val="clear" w:color="auto" w:fill="CCD6FF"/>
            <w:tcMar>
              <w:top w:w="28" w:type="dxa"/>
              <w:left w:w="28" w:type="dxa"/>
              <w:bottom w:w="28" w:type="dxa"/>
              <w:right w:w="28" w:type="dxa"/>
            </w:tcMar>
            <w:vAlign w:val="center"/>
          </w:tcPr>
          <w:p>
            <w:pPr>
              <w:pStyle w:val="0"/>
              <w:jc w:val="center"/>
              <w:rPr>
                <w:rFonts w:hint="default"/>
              </w:rPr>
            </w:pPr>
          </w:p>
        </w:tc>
        <w:tc>
          <w:tcPr>
            <w:tcW w:w="1119" w:type="pct"/>
            <w:gridSpan w:val="2"/>
            <w:shd w:val="clear" w:color="auto" w:fill="CCD6FF"/>
            <w:tcMar>
              <w:top w:w="28" w:type="dxa"/>
              <w:left w:w="28" w:type="dxa"/>
              <w:bottom w:w="28" w:type="dxa"/>
              <w:right w:w="28" w:type="dxa"/>
            </w:tcMar>
            <w:vAlign w:val="center"/>
          </w:tcPr>
          <w:p>
            <w:pPr>
              <w:pStyle w:val="0"/>
              <w:jc w:val="center"/>
              <w:rPr>
                <w:rFonts w:hint="default"/>
              </w:rPr>
            </w:pPr>
            <w:r>
              <w:rPr>
                <w:rFonts w:hint="default"/>
                <w:b w:val="1"/>
              </w:rPr>
              <w:t>40-64</w:t>
            </w:r>
            <w:r>
              <w:rPr>
                <w:rFonts w:hint="default"/>
                <w:b w:val="1"/>
              </w:rPr>
              <w:t>歳</w:t>
            </w:r>
          </w:p>
        </w:tc>
        <w:tc>
          <w:tcPr>
            <w:tcW w:w="1118" w:type="pct"/>
            <w:gridSpan w:val="2"/>
            <w:shd w:val="clear" w:color="auto" w:fill="CCD6FF"/>
            <w:tcMar>
              <w:top w:w="28" w:type="dxa"/>
              <w:left w:w="28" w:type="dxa"/>
              <w:bottom w:w="28" w:type="dxa"/>
              <w:right w:w="28" w:type="dxa"/>
            </w:tcMar>
            <w:vAlign w:val="center"/>
          </w:tcPr>
          <w:p>
            <w:pPr>
              <w:pStyle w:val="0"/>
              <w:jc w:val="center"/>
              <w:rPr>
                <w:rFonts w:hint="default"/>
              </w:rPr>
            </w:pPr>
            <w:r>
              <w:rPr>
                <w:rFonts w:hint="default"/>
                <w:b w:val="1"/>
              </w:rPr>
              <w:t>65-74</w:t>
            </w:r>
            <w:r>
              <w:rPr>
                <w:rFonts w:hint="default"/>
                <w:b w:val="1"/>
              </w:rPr>
              <w:t>歳</w:t>
            </w:r>
          </w:p>
        </w:tc>
        <w:tc>
          <w:tcPr>
            <w:tcW w:w="1673" w:type="pct"/>
            <w:gridSpan w:val="3"/>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合計</w:t>
            </w:r>
          </w:p>
        </w:tc>
      </w:tr>
      <w:tr>
        <w:trPr>
          <w:trHeight w:val="20" w:hRule="atLeast"/>
        </w:trPr>
        <w:tc>
          <w:tcPr>
            <w:tcW w:w="1089" w:type="pct"/>
            <w:gridSpan w:val="2"/>
            <w:vMerge w:val="continue"/>
            <w:tcMar>
              <w:top w:w="28" w:type="dxa"/>
              <w:left w:w="28" w:type="dxa"/>
              <w:bottom w:w="28" w:type="dxa"/>
              <w:right w:w="28" w:type="dxa"/>
            </w:tcMar>
            <w:vAlign w:val="center"/>
          </w:tcPr>
          <w:p>
            <w:pPr>
              <w:pStyle w:val="0"/>
              <w:jc w:val="center"/>
              <w:rPr>
                <w:rFonts w:hint="default"/>
              </w:rPr>
            </w:pPr>
          </w:p>
        </w:tc>
        <w:tc>
          <w:tcPr>
            <w:tcW w:w="561"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人数（人）</w:t>
            </w:r>
          </w:p>
        </w:tc>
        <w:tc>
          <w:tcPr>
            <w:tcW w:w="558"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対象者に</w:t>
            </w:r>
          </w:p>
          <w:p>
            <w:pPr>
              <w:pStyle w:val="0"/>
              <w:jc w:val="center"/>
              <w:rPr>
                <w:rFonts w:hint="default"/>
                <w:b w:val="1"/>
                <w:sz w:val="14"/>
              </w:rPr>
            </w:pPr>
            <w:r>
              <w:rPr>
                <w:rFonts w:hint="eastAsia"/>
                <w:b w:val="1"/>
                <w:sz w:val="14"/>
              </w:rPr>
              <w:t>占める</w:t>
            </w:r>
            <w:r>
              <w:rPr>
                <w:rFonts w:hint="default"/>
                <w:b w:val="1"/>
                <w:sz w:val="14"/>
              </w:rPr>
              <w:t>割合</w:t>
            </w:r>
          </w:p>
        </w:tc>
        <w:tc>
          <w:tcPr>
            <w:tcW w:w="558"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人数（人）</w:t>
            </w:r>
          </w:p>
        </w:tc>
        <w:tc>
          <w:tcPr>
            <w:tcW w:w="56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対象者に</w:t>
            </w:r>
          </w:p>
          <w:p>
            <w:pPr>
              <w:pStyle w:val="0"/>
              <w:jc w:val="center"/>
              <w:rPr>
                <w:rFonts w:hint="default"/>
                <w:b w:val="1"/>
                <w:sz w:val="14"/>
              </w:rPr>
            </w:pPr>
            <w:r>
              <w:rPr>
                <w:rFonts w:hint="eastAsia"/>
                <w:b w:val="1"/>
                <w:sz w:val="14"/>
              </w:rPr>
              <w:t>占める</w:t>
            </w:r>
            <w:r>
              <w:rPr>
                <w:rFonts w:hint="default"/>
                <w:b w:val="1"/>
                <w:sz w:val="14"/>
              </w:rPr>
              <w:t>割合</w:t>
            </w:r>
          </w:p>
        </w:tc>
        <w:tc>
          <w:tcPr>
            <w:tcW w:w="558"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人数（人）</w:t>
            </w:r>
          </w:p>
        </w:tc>
        <w:tc>
          <w:tcPr>
            <w:tcW w:w="558"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対象者に</w:t>
            </w:r>
          </w:p>
          <w:p>
            <w:pPr>
              <w:pStyle w:val="0"/>
              <w:jc w:val="center"/>
              <w:rPr>
                <w:rFonts w:hint="default"/>
                <w:b w:val="1"/>
                <w:sz w:val="14"/>
              </w:rPr>
            </w:pPr>
            <w:r>
              <w:rPr>
                <w:rFonts w:hint="eastAsia"/>
                <w:b w:val="1"/>
                <w:sz w:val="14"/>
              </w:rPr>
              <w:t>占める</w:t>
            </w:r>
            <w:r>
              <w:rPr>
                <w:rFonts w:hint="default"/>
                <w:b w:val="1"/>
                <w:sz w:val="14"/>
              </w:rPr>
              <w:t>割合</w:t>
            </w:r>
          </w:p>
        </w:tc>
        <w:tc>
          <w:tcPr>
            <w:tcW w:w="557"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特定健診</w:t>
            </w:r>
          </w:p>
          <w:p>
            <w:pPr>
              <w:pStyle w:val="0"/>
              <w:jc w:val="center"/>
              <w:rPr>
                <w:rFonts w:hint="default"/>
                <w:b w:val="1"/>
                <w:sz w:val="14"/>
              </w:rPr>
            </w:pPr>
            <w:r>
              <w:rPr>
                <w:rFonts w:hint="eastAsia"/>
                <w:b w:val="1"/>
                <w:sz w:val="14"/>
              </w:rPr>
              <w:t>受診者・</w:t>
            </w:r>
          </w:p>
          <w:p>
            <w:pPr>
              <w:pStyle w:val="0"/>
              <w:jc w:val="center"/>
              <w:rPr>
                <w:rFonts w:hint="default"/>
                <w:b w:val="1"/>
                <w:sz w:val="14"/>
              </w:rPr>
            </w:pPr>
            <w:r>
              <w:rPr>
                <w:rFonts w:hint="eastAsia"/>
                <w:b w:val="1"/>
                <w:sz w:val="14"/>
              </w:rPr>
              <w:t>未受診者に</w:t>
            </w:r>
          </w:p>
          <w:p>
            <w:pPr>
              <w:pStyle w:val="0"/>
              <w:jc w:val="center"/>
              <w:rPr>
                <w:rFonts w:hint="default"/>
                <w:b w:val="1"/>
                <w:sz w:val="14"/>
              </w:rPr>
            </w:pPr>
            <w:r>
              <w:rPr>
                <w:rFonts w:hint="eastAsia"/>
                <w:b w:val="1"/>
                <w:sz w:val="14"/>
              </w:rPr>
              <w:t>占める割合</w:t>
            </w:r>
          </w:p>
        </w:tc>
      </w:tr>
      <w:tr>
        <w:trPr>
          <w:trHeight w:val="20" w:hRule="atLeast"/>
        </w:trPr>
        <w:tc>
          <w:tcPr>
            <w:tcW w:w="1089" w:type="pct"/>
            <w:gridSpan w:val="2"/>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対象者</w:t>
            </w:r>
            <w:r>
              <w:rPr>
                <w:rFonts w:hint="eastAsia"/>
              </w:rPr>
              <w:t>数</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5,220</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7,261</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12,481</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7" w:type="pct"/>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1089" w:type="pct"/>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特定健診受診者</w:t>
            </w:r>
            <w:r>
              <w:rPr>
                <w:rFonts w:hint="eastAsia"/>
              </w:rPr>
              <w:t>数</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1,145</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2,466</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3,611</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7" w:type="pct"/>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166"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92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生活習慣病</w:t>
            </w:r>
            <w:r>
              <w:rPr>
                <w:rFonts w:hint="default"/>
              </w:rPr>
              <w:t>_</w:t>
            </w:r>
            <w:r>
              <w:rPr>
                <w:rFonts w:hint="default"/>
              </w:rPr>
              <w:t>治療なし</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480</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9.2%</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624</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8.6%</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1,104</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8.8%</w:t>
            </w:r>
          </w:p>
        </w:tc>
        <w:tc>
          <w:tcPr>
            <w:tcW w:w="557" w:type="pct"/>
            <w:tcMar>
              <w:top w:w="28" w:type="dxa"/>
              <w:left w:w="28" w:type="dxa"/>
              <w:bottom w:w="28" w:type="dxa"/>
              <w:right w:w="28" w:type="dxa"/>
            </w:tcMar>
            <w:vAlign w:val="center"/>
          </w:tcPr>
          <w:p>
            <w:pPr>
              <w:pStyle w:val="0"/>
              <w:jc w:val="right"/>
              <w:rPr>
                <w:rFonts w:hint="default"/>
              </w:rPr>
            </w:pPr>
            <w:r>
              <w:rPr>
                <w:rFonts w:hint="default"/>
              </w:rPr>
              <w:t>30.6%</w:t>
            </w:r>
          </w:p>
        </w:tc>
      </w:tr>
      <w:tr>
        <w:trPr>
          <w:trHeight w:val="20" w:hRule="atLeast"/>
        </w:trPr>
        <w:tc>
          <w:tcPr>
            <w:tcW w:w="166"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924"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生活習慣病</w:t>
            </w:r>
            <w:r>
              <w:rPr>
                <w:rFonts w:hint="default"/>
              </w:rPr>
              <w:t>_</w:t>
            </w:r>
            <w:r>
              <w:rPr>
                <w:rFonts w:hint="default"/>
              </w:rPr>
              <w:t>治療中</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665</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12.7%</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1,842</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25.4%</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2,507</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20.1%</w:t>
            </w:r>
          </w:p>
        </w:tc>
        <w:tc>
          <w:tcPr>
            <w:tcW w:w="557" w:type="pct"/>
            <w:tcMar>
              <w:top w:w="28" w:type="dxa"/>
              <w:left w:w="28" w:type="dxa"/>
              <w:bottom w:w="28" w:type="dxa"/>
              <w:right w:w="28" w:type="dxa"/>
            </w:tcMar>
            <w:vAlign w:val="center"/>
          </w:tcPr>
          <w:p>
            <w:pPr>
              <w:pStyle w:val="0"/>
              <w:jc w:val="right"/>
              <w:rPr>
                <w:rFonts w:hint="default"/>
              </w:rPr>
            </w:pPr>
            <w:r>
              <w:rPr>
                <w:rFonts w:hint="default"/>
              </w:rPr>
              <w:t>69.4%</w:t>
            </w:r>
          </w:p>
        </w:tc>
      </w:tr>
      <w:tr>
        <w:trPr>
          <w:trHeight w:val="20" w:hRule="atLeast"/>
        </w:trPr>
        <w:tc>
          <w:tcPr>
            <w:tcW w:w="1089" w:type="pct"/>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特定健診未受診者</w:t>
            </w:r>
            <w:r>
              <w:rPr>
                <w:rFonts w:hint="eastAsia"/>
              </w:rPr>
              <w:t>数</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4,075</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4,795</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8,870</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57" w:type="pct"/>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166"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92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生活習慣病</w:t>
            </w:r>
            <w:r>
              <w:rPr>
                <w:rFonts w:hint="default"/>
              </w:rPr>
              <w:t>_</w:t>
            </w:r>
            <w:r>
              <w:rPr>
                <w:rFonts w:hint="default"/>
              </w:rPr>
              <w:t>治療なし</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2,036</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39.0%</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1,150</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15.8%</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3,186</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25.5%</w:t>
            </w:r>
          </w:p>
        </w:tc>
        <w:tc>
          <w:tcPr>
            <w:tcW w:w="557" w:type="pct"/>
            <w:tcMar>
              <w:top w:w="28" w:type="dxa"/>
              <w:left w:w="28" w:type="dxa"/>
              <w:bottom w:w="28" w:type="dxa"/>
              <w:right w:w="28" w:type="dxa"/>
            </w:tcMar>
            <w:vAlign w:val="center"/>
          </w:tcPr>
          <w:p>
            <w:pPr>
              <w:pStyle w:val="0"/>
              <w:jc w:val="right"/>
              <w:rPr>
                <w:rFonts w:hint="default"/>
              </w:rPr>
            </w:pPr>
            <w:r>
              <w:rPr>
                <w:rFonts w:hint="default"/>
              </w:rPr>
              <w:t>35.9%</w:t>
            </w:r>
          </w:p>
        </w:tc>
      </w:tr>
      <w:tr>
        <w:trPr>
          <w:trHeight w:val="20" w:hRule="atLeast"/>
        </w:trPr>
        <w:tc>
          <w:tcPr>
            <w:tcW w:w="166" w:type="pct"/>
            <w:vMerge w:val="continue"/>
            <w:tcMar>
              <w:top w:w="28" w:type="dxa"/>
              <w:left w:w="28" w:type="dxa"/>
              <w:bottom w:w="28" w:type="dxa"/>
              <w:right w:w="28" w:type="dxa"/>
            </w:tcMar>
            <w:vAlign w:val="center"/>
          </w:tcPr>
          <w:p>
            <w:pPr>
              <w:pStyle w:val="0"/>
              <w:rPr>
                <w:rFonts w:hint="default"/>
              </w:rPr>
            </w:pPr>
          </w:p>
        </w:tc>
        <w:tc>
          <w:tcPr>
            <w:tcW w:w="924" w:type="pct"/>
            <w:shd w:val="clear" w:color="auto" w:fill="auto"/>
            <w:tcMar>
              <w:top w:w="28" w:type="dxa"/>
              <w:left w:w="28" w:type="dxa"/>
              <w:bottom w:w="28" w:type="dxa"/>
              <w:right w:w="28" w:type="dxa"/>
            </w:tcMar>
            <w:vAlign w:val="center"/>
          </w:tcPr>
          <w:p>
            <w:pPr>
              <w:pStyle w:val="0"/>
              <w:rPr>
                <w:rFonts w:hint="default"/>
              </w:rPr>
            </w:pPr>
            <w:r>
              <w:rPr>
                <w:rFonts w:hint="default"/>
              </w:rPr>
              <w:t>生活習慣病</w:t>
            </w:r>
            <w:r>
              <w:rPr>
                <w:rFonts w:hint="default"/>
              </w:rPr>
              <w:t>_</w:t>
            </w:r>
            <w:r>
              <w:rPr>
                <w:rFonts w:hint="default"/>
              </w:rPr>
              <w:t>治療中</w:t>
            </w:r>
          </w:p>
        </w:tc>
        <w:tc>
          <w:tcPr>
            <w:tcW w:w="561" w:type="pct"/>
            <w:shd w:val="clear" w:color="auto" w:fill="auto"/>
            <w:tcMar>
              <w:top w:w="28" w:type="dxa"/>
              <w:left w:w="28" w:type="dxa"/>
              <w:bottom w:w="28" w:type="dxa"/>
              <w:right w:w="28" w:type="dxa"/>
            </w:tcMar>
            <w:vAlign w:val="center"/>
          </w:tcPr>
          <w:p>
            <w:pPr>
              <w:pStyle w:val="0"/>
              <w:jc w:val="right"/>
              <w:rPr>
                <w:rFonts w:hint="default"/>
              </w:rPr>
            </w:pPr>
            <w:r>
              <w:rPr>
                <w:rFonts w:hint="default"/>
              </w:rPr>
              <w:t>2,039</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39.1%</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3,645</w:t>
            </w:r>
          </w:p>
        </w:tc>
        <w:tc>
          <w:tcPr>
            <w:tcW w:w="560" w:type="pct"/>
            <w:shd w:val="clear" w:color="auto" w:fill="auto"/>
            <w:tcMar>
              <w:top w:w="28" w:type="dxa"/>
              <w:left w:w="28" w:type="dxa"/>
              <w:bottom w:w="28" w:type="dxa"/>
              <w:right w:w="28" w:type="dxa"/>
            </w:tcMar>
            <w:vAlign w:val="center"/>
          </w:tcPr>
          <w:p>
            <w:pPr>
              <w:pStyle w:val="0"/>
              <w:jc w:val="right"/>
              <w:rPr>
                <w:rFonts w:hint="default"/>
              </w:rPr>
            </w:pPr>
            <w:r>
              <w:rPr>
                <w:rFonts w:hint="default"/>
              </w:rPr>
              <w:t>50.2%</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5,684</w:t>
            </w:r>
          </w:p>
        </w:tc>
        <w:tc>
          <w:tcPr>
            <w:tcW w:w="558" w:type="pct"/>
            <w:shd w:val="clear" w:color="auto" w:fill="auto"/>
            <w:tcMar>
              <w:top w:w="28" w:type="dxa"/>
              <w:left w:w="28" w:type="dxa"/>
              <w:bottom w:w="28" w:type="dxa"/>
              <w:right w:w="28" w:type="dxa"/>
            </w:tcMar>
            <w:vAlign w:val="center"/>
          </w:tcPr>
          <w:p>
            <w:pPr>
              <w:pStyle w:val="0"/>
              <w:jc w:val="right"/>
              <w:rPr>
                <w:rFonts w:hint="default"/>
              </w:rPr>
            </w:pPr>
            <w:r>
              <w:rPr>
                <w:rFonts w:hint="default"/>
              </w:rPr>
              <w:t>45.5%</w:t>
            </w:r>
          </w:p>
        </w:tc>
        <w:tc>
          <w:tcPr>
            <w:tcW w:w="557" w:type="pct"/>
            <w:tcMar>
              <w:top w:w="28" w:type="dxa"/>
              <w:left w:w="28" w:type="dxa"/>
              <w:bottom w:w="28" w:type="dxa"/>
              <w:right w:w="28" w:type="dxa"/>
            </w:tcMar>
            <w:vAlign w:val="center"/>
          </w:tcPr>
          <w:p>
            <w:pPr>
              <w:pStyle w:val="0"/>
              <w:jc w:val="right"/>
              <w:rPr>
                <w:rFonts w:hint="default"/>
              </w:rPr>
            </w:pPr>
            <w:r>
              <w:rPr>
                <w:rFonts w:hint="default"/>
              </w:rPr>
              <w:t>64.1%</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S21_027-</w:t>
      </w:r>
      <w:r>
        <w:rPr>
          <w:rFonts w:hint="default"/>
        </w:rPr>
        <w:t>厚生労働省様式（様式</w:t>
      </w:r>
      <w:r>
        <w:rPr>
          <w:rFonts w:hint="default"/>
        </w:rPr>
        <w:t>5-5</w:t>
      </w:r>
      <w:r>
        <w:rPr>
          <w:rFonts w:hint="default"/>
        </w:rPr>
        <w:t>）</w:t>
      </w:r>
      <w:r>
        <w:rPr>
          <w:rFonts w:hint="default"/>
        </w:rPr>
        <w:t xml:space="preserve"> </w:t>
      </w:r>
      <w:r>
        <w:rPr>
          <w:rFonts w:hint="eastAsia"/>
        </w:rPr>
        <w:t>令和</w:t>
      </w:r>
      <w:r>
        <w:rPr>
          <w:rFonts w:hint="eastAsia"/>
        </w:rPr>
        <w:t>4</w:t>
      </w:r>
      <w:r>
        <w:rPr>
          <w:rFonts w:hint="eastAsia"/>
        </w:rPr>
        <w:t>年度</w:t>
      </w:r>
      <w:r>
        <w:rPr>
          <w:rFonts w:hint="default"/>
        </w:rPr>
        <w:t xml:space="preserve"> </w:t>
      </w:r>
      <w:r>
        <w:rPr>
          <w:rFonts w:hint="eastAsia"/>
        </w:rPr>
        <w:t>年次</w:t>
      </w:r>
    </w:p>
    <w:p>
      <w:pPr>
        <w:pStyle w:val="0"/>
        <w:rPr>
          <w:rFonts w:hint="default"/>
        </w:rPr>
      </w:pPr>
      <w:r>
        <w:rPr>
          <w:rFonts w:hint="default"/>
        </w:rPr>
        <w:br w:type="page"/>
      </w:r>
    </w:p>
    <w:p>
      <w:pPr>
        <w:pStyle w:val="3"/>
        <w:rPr>
          <w:rFonts w:hint="default"/>
        </w:rPr>
      </w:pPr>
      <w:bookmarkStart w:id="59" w:name="_Toc162548688"/>
      <w:r>
        <w:rPr>
          <w:rFonts w:hint="default"/>
        </w:rPr>
        <w:t>有所見者の状況</w:t>
      </w:r>
      <w:bookmarkEnd w:id="59"/>
    </w:p>
    <w:p>
      <w:pPr>
        <w:pStyle w:val="4"/>
        <w:rPr>
          <w:rFonts w:hint="default"/>
        </w:rPr>
      </w:pPr>
      <w:r>
        <w:rPr>
          <w:rFonts w:hint="eastAsia"/>
        </w:rPr>
        <w:t>特定健診受診者における有所見者の割合</w:t>
      </w:r>
    </w:p>
    <w:p>
      <w:pPr>
        <w:pStyle w:val="39"/>
        <w:ind w:firstLine="200"/>
        <w:rPr>
          <w:rFonts w:hint="default"/>
        </w:rPr>
      </w:pPr>
      <w:r>
        <w:rPr>
          <w:rFonts w:hint="eastAsia"/>
        </w:rPr>
        <w:t>ここでは、特定健診受診者における検査項目ごとの有所見者の割合から、八街市の特定健診受診者において、どの検査項目で有所見者の割合が高いのか、その傾向を概観する。</w:t>
      </w:r>
    </w:p>
    <w:p>
      <w:pPr>
        <w:pStyle w:val="39"/>
        <w:ind w:firstLine="200"/>
        <w:rPr>
          <w:rFonts w:hint="default"/>
        </w:rPr>
      </w:pPr>
      <w:r>
        <w:rPr>
          <w:rFonts w:hint="eastAsia"/>
        </w:rPr>
        <w:t>令和</w:t>
      </w:r>
      <w:r>
        <w:rPr>
          <w:rFonts w:hint="eastAsia"/>
        </w:rPr>
        <w:t>4</w:t>
      </w:r>
      <w:r>
        <w:rPr>
          <w:rFonts w:hint="eastAsia"/>
        </w:rPr>
        <w:t>年度の</w:t>
      </w:r>
      <w:r>
        <w:rPr>
          <w:rFonts w:hint="default"/>
        </w:rPr>
        <w:t>特定健診受診者</w:t>
      </w:r>
      <w:r>
        <w:rPr>
          <w:rFonts w:hint="eastAsia"/>
        </w:rPr>
        <w:t>における</w:t>
      </w:r>
      <w:r>
        <w:rPr>
          <w:rFonts w:hint="default"/>
        </w:rPr>
        <w:t>有所見者の割合をみると（</w:t>
      </w:r>
      <w:r>
        <w:rPr>
          <w:rFonts w:hint="eastAsia"/>
        </w:rPr>
        <w:fldChar w:fldCharType="begin"/>
      </w:r>
      <w:r>
        <w:rPr>
          <w:rFonts w:hint="eastAsia"/>
        </w:rPr>
        <w:instrText xml:space="preserve">REF _Ref130214561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2</w:t>
      </w:r>
      <w:r>
        <w:rPr>
          <w:rFonts w:hint="eastAsia"/>
        </w:rPr>
        <w:t>-</w:t>
      </w:r>
      <w:r>
        <w:rPr>
          <w:rFonts w:hint="default"/>
        </w:rPr>
        <w:t>1</w:t>
      </w:r>
      <w:r>
        <w:rPr>
          <w:rFonts w:hint="eastAsia"/>
        </w:rPr>
        <w:fldChar w:fldCharType="end"/>
      </w:r>
      <w:r>
        <w:rPr>
          <w:rFonts w:hint="default"/>
        </w:rPr>
        <w:t>）、</w:t>
      </w:r>
      <w:r>
        <w:rPr>
          <w:rFonts w:hint="eastAsia"/>
        </w:rPr>
        <w:t>国や</w:t>
      </w:r>
      <w:r>
        <w:rPr>
          <w:rFonts w:hint="default"/>
        </w:rPr>
        <w:t>県と比較して「</w:t>
      </w:r>
      <w:r>
        <w:rPr>
          <w:rFonts w:hint="default"/>
        </w:rPr>
        <w:t>BMI</w:t>
      </w:r>
      <w:r>
        <w:rPr>
          <w:rFonts w:hint="default"/>
        </w:rPr>
        <w:t>」「腹囲」「中性脂肪」「</w:t>
      </w:r>
      <w:r>
        <w:rPr>
          <w:rFonts w:hint="default"/>
        </w:rPr>
        <w:t>HDL-C</w:t>
      </w:r>
      <w:r>
        <w:rPr>
          <w:rFonts w:hint="default"/>
        </w:rPr>
        <w:t>」「</w:t>
      </w:r>
      <w:r>
        <w:rPr>
          <w:rFonts w:hint="default"/>
        </w:rPr>
        <w:t>LDL-C</w:t>
      </w:r>
      <w:r>
        <w:rPr>
          <w:rFonts w:hint="default"/>
        </w:rPr>
        <w:t>」「</w:t>
      </w:r>
      <w:r>
        <w:rPr>
          <w:rFonts w:hint="default"/>
        </w:rPr>
        <w:t>ALT</w:t>
      </w:r>
      <w:r>
        <w:rPr>
          <w:rFonts w:hint="default"/>
        </w:rPr>
        <w:t>」の有所見率が高い</w:t>
      </w:r>
      <w:r>
        <w:rPr>
          <w:rFonts w:hint="eastAsia"/>
        </w:rPr>
        <w:t>。</w:t>
      </w:r>
    </w:p>
    <w:p>
      <w:pPr>
        <w:pStyle w:val="0"/>
        <w:rPr>
          <w:rFonts w:hint="default"/>
        </w:rPr>
      </w:pPr>
    </w:p>
    <w:p>
      <w:pPr>
        <w:pStyle w:val="42"/>
        <w:rPr>
          <w:rFonts w:hint="default"/>
        </w:rPr>
      </w:pPr>
      <w:r>
        <w:rPr>
          <w:rFonts w:hint="eastAsia"/>
        </w:rPr>
        <w:t>※有所見とは、医師の診断が異常なし、要精密検査、要治療等のうち、異常なし以外のものを指す</w:t>
      </w:r>
    </w:p>
    <w:p>
      <w:pPr>
        <w:pStyle w:val="0"/>
        <w:rPr>
          <w:rFonts w:hint="default"/>
        </w:rPr>
      </w:pPr>
    </w:p>
    <w:p>
      <w:pPr>
        <w:pStyle w:val="38"/>
        <w:rPr>
          <w:rFonts w:hint="default"/>
        </w:rPr>
      </w:pPr>
      <w:bookmarkStart w:id="60" w:name="_Ref13021456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60"/>
      <w:r>
        <w:rPr>
          <w:rFonts w:hint="default"/>
        </w:rPr>
        <w:t>：特定健診受診者における有所見者の割合</w:t>
      </w:r>
    </w:p>
    <w:p>
      <w:pPr>
        <w:pStyle w:val="0"/>
        <w:jc w:val="center"/>
        <w:rPr>
          <w:rFonts w:hint="default"/>
        </w:rPr>
      </w:pPr>
      <w:r>
        <w:rPr>
          <w:rFonts w:hint="eastAsia"/>
        </w:rPr>
        <w:drawing>
          <wp:inline distT="0" distB="0" distL="0" distR="0">
            <wp:extent cx="5939790" cy="2519680"/>
            <wp:effectExtent l="0" t="0" r="0" b="0"/>
            <wp:docPr id="1074" name="オブジェクト 0"/>
            <a:graphic xmlns:a="http://schemas.openxmlformats.org/drawingml/2006/main">
              <a:graphicData uri="http://schemas.openxmlformats.org/drawingml/2006/chart">
                <c:chart xmlns:c="http://schemas.openxmlformats.org/drawingml/2006/chart" r:id="rId29"/>
              </a:graphicData>
            </a:graphic>
          </wp:inline>
        </w:drawing>
      </w:r>
    </w:p>
    <w:tbl>
      <w:tblPr>
        <w:tblStyle w:val="172"/>
        <w:tblW w:w="5000" w:type="pct"/>
        <w:tblInd w:w="0" w:type="dxa"/>
        <w:tblLayout w:type="fixed"/>
        <w:tblLook w:firstRow="1" w:lastRow="0" w:firstColumn="1" w:lastColumn="0" w:noHBand="0" w:noVBand="1" w:val="04A0"/>
      </w:tblPr>
      <w:tblGrid>
        <w:gridCol w:w="1042"/>
        <w:gridCol w:w="642"/>
        <w:gridCol w:w="642"/>
        <w:gridCol w:w="641"/>
        <w:gridCol w:w="641"/>
        <w:gridCol w:w="641"/>
        <w:gridCol w:w="641"/>
        <w:gridCol w:w="641"/>
        <w:gridCol w:w="641"/>
        <w:gridCol w:w="641"/>
        <w:gridCol w:w="641"/>
        <w:gridCol w:w="641"/>
        <w:gridCol w:w="641"/>
        <w:gridCol w:w="639"/>
      </w:tblGrid>
      <w:tr>
        <w:trPr>
          <w:trHeight w:val="20" w:hRule="atLeast"/>
        </w:trPr>
        <w:tc>
          <w:tcPr>
            <w:tcW w:w="555" w:type="pct"/>
            <w:shd w:val="clear" w:color="auto" w:fill="CCD6FF"/>
            <w:tcMar>
              <w:top w:w="28" w:type="dxa"/>
              <w:left w:w="28" w:type="dxa"/>
              <w:bottom w:w="28" w:type="dxa"/>
              <w:right w:w="28" w:type="dxa"/>
            </w:tcMar>
            <w:vAlign w:val="center"/>
          </w:tcPr>
          <w:p>
            <w:pPr>
              <w:pStyle w:val="0"/>
              <w:spacing w:line="276" w:lineRule="auto"/>
              <w:jc w:val="center"/>
              <w:rPr>
                <w:rFonts w:hint="default"/>
                <w:sz w:val="14"/>
              </w:rPr>
            </w:pP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sz w:val="14"/>
              </w:rPr>
            </w:pPr>
            <w:r>
              <w:rPr>
                <w:rFonts w:hint="default"/>
                <w:b w:val="1"/>
                <w:sz w:val="14"/>
              </w:rPr>
              <w:t>BMI</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sz w:val="14"/>
              </w:rPr>
            </w:pPr>
            <w:r>
              <w:rPr>
                <w:rFonts w:hint="default"/>
                <w:b w:val="1"/>
                <w:sz w:val="14"/>
              </w:rPr>
              <w:t>腹囲</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空腹時</w:t>
            </w:r>
          </w:p>
          <w:p>
            <w:pPr>
              <w:pStyle w:val="0"/>
              <w:spacing w:line="276" w:lineRule="auto"/>
              <w:jc w:val="center"/>
              <w:rPr>
                <w:rFonts w:hint="default"/>
                <w:b w:val="1"/>
                <w:sz w:val="14"/>
              </w:rPr>
            </w:pPr>
            <w:r>
              <w:rPr>
                <w:rFonts w:hint="default"/>
                <w:b w:val="1"/>
                <w:sz w:val="14"/>
              </w:rPr>
              <w:t>血糖</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HbA1c</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収縮期</w:t>
            </w:r>
          </w:p>
          <w:p>
            <w:pPr>
              <w:pStyle w:val="0"/>
              <w:spacing w:line="276" w:lineRule="auto"/>
              <w:jc w:val="center"/>
              <w:rPr>
                <w:rFonts w:hint="default"/>
                <w:b w:val="1"/>
                <w:sz w:val="14"/>
              </w:rPr>
            </w:pPr>
            <w:r>
              <w:rPr>
                <w:rFonts w:hint="default"/>
                <w:b w:val="1"/>
                <w:sz w:val="14"/>
              </w:rPr>
              <w:t>血圧</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拡張期</w:t>
            </w:r>
          </w:p>
          <w:p>
            <w:pPr>
              <w:pStyle w:val="0"/>
              <w:spacing w:line="276" w:lineRule="auto"/>
              <w:jc w:val="center"/>
              <w:rPr>
                <w:rFonts w:hint="default"/>
                <w:b w:val="1"/>
                <w:sz w:val="14"/>
              </w:rPr>
            </w:pPr>
            <w:r>
              <w:rPr>
                <w:rFonts w:hint="default"/>
                <w:b w:val="1"/>
                <w:sz w:val="14"/>
              </w:rPr>
              <w:t>血圧</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中性脂肪</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HDL-C</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default"/>
                <w:b w:val="1"/>
                <w:sz w:val="14"/>
              </w:rPr>
              <w:t>LDL-C</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sz w:val="14"/>
              </w:rPr>
            </w:pPr>
            <w:r>
              <w:rPr>
                <w:rFonts w:hint="default"/>
                <w:b w:val="1"/>
                <w:sz w:val="14"/>
              </w:rPr>
              <w:t>ALT</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eastAsia"/>
                <w:b w:val="1"/>
                <w:sz w:val="14"/>
              </w:rPr>
              <w:t>尿酸</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eastAsia"/>
                <w:b w:val="1"/>
                <w:sz w:val="14"/>
              </w:rPr>
              <w:t>血清</w:t>
            </w:r>
          </w:p>
          <w:p>
            <w:pPr>
              <w:pStyle w:val="0"/>
              <w:spacing w:line="276" w:lineRule="auto"/>
              <w:jc w:val="center"/>
              <w:rPr>
                <w:rFonts w:hint="default"/>
                <w:b w:val="1"/>
                <w:sz w:val="14"/>
              </w:rPr>
            </w:pPr>
            <w:r>
              <w:rPr>
                <w:rFonts w:hint="eastAsia"/>
                <w:b w:val="1"/>
                <w:sz w:val="14"/>
              </w:rPr>
              <w:t>クレア</w:t>
            </w:r>
          </w:p>
          <w:p>
            <w:pPr>
              <w:pStyle w:val="0"/>
              <w:spacing w:line="276" w:lineRule="auto"/>
              <w:jc w:val="center"/>
              <w:rPr>
                <w:rFonts w:hint="default"/>
                <w:b w:val="1"/>
                <w:sz w:val="14"/>
              </w:rPr>
            </w:pPr>
            <w:r>
              <w:rPr>
                <w:rFonts w:hint="eastAsia"/>
                <w:b w:val="1"/>
                <w:sz w:val="14"/>
              </w:rPr>
              <w:t>チニン</w:t>
            </w:r>
          </w:p>
        </w:tc>
        <w:tc>
          <w:tcPr>
            <w:tcW w:w="342" w:type="pct"/>
            <w:shd w:val="clear" w:color="auto" w:fill="CCD6FF"/>
            <w:tcMar>
              <w:top w:w="28" w:type="dxa"/>
              <w:left w:w="28" w:type="dxa"/>
              <w:bottom w:w="28" w:type="dxa"/>
              <w:right w:w="28" w:type="dxa"/>
            </w:tcMar>
            <w:vAlign w:val="center"/>
          </w:tcPr>
          <w:p>
            <w:pPr>
              <w:pStyle w:val="0"/>
              <w:spacing w:line="276" w:lineRule="auto"/>
              <w:jc w:val="center"/>
              <w:rPr>
                <w:rFonts w:hint="default"/>
                <w:b w:val="1"/>
                <w:sz w:val="14"/>
              </w:rPr>
            </w:pPr>
            <w:r>
              <w:rPr>
                <w:rFonts w:hint="eastAsia"/>
                <w:b w:val="1"/>
                <w:sz w:val="14"/>
              </w:rPr>
              <w:t>e</w:t>
            </w:r>
            <w:r>
              <w:rPr>
                <w:rFonts w:hint="default"/>
                <w:b w:val="1"/>
                <w:sz w:val="14"/>
              </w:rPr>
              <w:t>GFR</w:t>
            </w:r>
          </w:p>
        </w:tc>
      </w:tr>
      <w:tr>
        <w:trPr/>
        <w:tc>
          <w:tcPr>
            <w:tcW w:w="555" w:type="pct"/>
            <w:tcMar>
              <w:top w:w="28" w:type="dxa"/>
              <w:left w:w="28" w:type="dxa"/>
              <w:bottom w:w="28" w:type="dxa"/>
              <w:right w:w="28" w:type="dxa"/>
            </w:tcMar>
            <w:vAlign w:val="center"/>
          </w:tcPr>
          <w:p>
            <w:pPr>
              <w:pStyle w:val="0"/>
              <w:spacing w:line="276" w:lineRule="auto"/>
              <w:rPr>
                <w:rFonts w:hint="default"/>
              </w:rPr>
            </w:pPr>
            <w:r>
              <w:rPr>
                <w:rFonts w:hint="default"/>
              </w:rPr>
              <w:t>八街市</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29.8%</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37.2%</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7.8%</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51.4%</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27.6%</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8.7%</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28.9%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3.8%</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52.7%</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14.0%</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0.1%</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0.9%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17.8%</w:t>
            </w:r>
          </w:p>
        </w:tc>
      </w:tr>
      <w:tr>
        <w:trPr/>
        <w:tc>
          <w:tcPr>
            <w:tcW w:w="555" w:type="pct"/>
            <w:tcMar>
              <w:top w:w="28" w:type="dxa"/>
              <w:left w:w="28" w:type="dxa"/>
              <w:bottom w:w="28" w:type="dxa"/>
              <w:right w:w="28" w:type="dxa"/>
            </w:tcMar>
            <w:vAlign w:val="center"/>
          </w:tcPr>
          <w:p>
            <w:pPr>
              <w:pStyle w:val="0"/>
              <w:spacing w:line="276" w:lineRule="auto"/>
              <w:rPr>
                <w:rFonts w:hint="default"/>
              </w:rPr>
            </w:pPr>
            <w:r>
              <w:rPr>
                <w:rFonts w:hint="default"/>
              </w:rPr>
              <w:t>国</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26.9%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34.9%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24.9%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58.2%</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48.3%</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20.7%</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21.1%</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3.8%</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50.1%</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14.0%</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6.6%</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1.3%</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21.8%</w:t>
            </w:r>
          </w:p>
        </w:tc>
      </w:tr>
      <w:tr>
        <w:trPr/>
        <w:tc>
          <w:tcPr>
            <w:tcW w:w="555" w:type="pct"/>
            <w:tcMar>
              <w:top w:w="28" w:type="dxa"/>
              <w:left w:w="28" w:type="dxa"/>
              <w:bottom w:w="28" w:type="dxa"/>
              <w:right w:w="28" w:type="dxa"/>
            </w:tcMar>
            <w:vAlign w:val="center"/>
          </w:tcPr>
          <w:p>
            <w:pPr>
              <w:pStyle w:val="0"/>
              <w:spacing w:line="276" w:lineRule="auto"/>
              <w:rPr>
                <w:rFonts w:hint="default"/>
              </w:rPr>
            </w:pPr>
            <w:r>
              <w:rPr>
                <w:rFonts w:hint="default"/>
              </w:rPr>
              <w:t>県</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27.1%</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35.1%</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22.0%</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58.9%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47.9%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20.1%</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20.7%</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3.5%</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51.5%</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13.9%</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4.8%</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1.2%</w:t>
            </w:r>
          </w:p>
        </w:tc>
        <w:tc>
          <w:tcPr>
            <w:tcW w:w="342" w:type="pct"/>
            <w:tcMar>
              <w:top w:w="28" w:type="dxa"/>
              <w:left w:w="28" w:type="dxa"/>
              <w:bottom w:w="28" w:type="dxa"/>
              <w:right w:w="28" w:type="dxa"/>
            </w:tcMar>
            <w:vAlign w:val="center"/>
          </w:tcPr>
          <w:p>
            <w:pPr>
              <w:pStyle w:val="0"/>
              <w:spacing w:line="276" w:lineRule="auto"/>
              <w:jc w:val="right"/>
              <w:rPr>
                <w:rFonts w:hint="default"/>
              </w:rPr>
            </w:pPr>
            <w:r>
              <w:rPr>
                <w:rFonts w:hint="eastAsia"/>
              </w:rPr>
              <w:t>20.2%</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S21_024-</w:t>
      </w:r>
      <w:r>
        <w:rPr>
          <w:rFonts w:hint="default"/>
        </w:rPr>
        <w:t>厚生労働省様式（様式</w:t>
      </w:r>
      <w:r>
        <w:rPr>
          <w:rFonts w:hint="default"/>
        </w:rPr>
        <w:t>5-2</w:t>
      </w:r>
      <w:r>
        <w:rPr>
          <w:rFonts w:hint="default"/>
        </w:rPr>
        <w:t>）</w:t>
      </w:r>
      <w:r>
        <w:rPr>
          <w:rFonts w:hint="eastAsia"/>
        </w:rPr>
        <w:t xml:space="preserve"> </w:t>
      </w:r>
      <w:r>
        <w:rPr>
          <w:rFonts w:hint="eastAsia"/>
        </w:rPr>
        <w:t>令和</w:t>
      </w:r>
      <w:r>
        <w:rPr>
          <w:rFonts w:hint="eastAsia"/>
        </w:rPr>
        <w:t>4</w:t>
      </w:r>
      <w:r>
        <w:rPr>
          <w:rFonts w:hint="eastAsia"/>
        </w:rPr>
        <w:t>年度</w:t>
      </w:r>
      <w:r>
        <w:rPr>
          <w:rFonts w:hint="default"/>
        </w:rPr>
        <w:t xml:space="preserve"> </w:t>
      </w:r>
      <w:r>
        <w:rPr>
          <w:rFonts w:hint="eastAsia"/>
        </w:rPr>
        <w:t>年次</w:t>
      </w:r>
    </w:p>
    <w:p>
      <w:pPr>
        <w:pStyle w:val="0"/>
        <w:rPr>
          <w:rFonts w:hint="default"/>
        </w:rPr>
      </w:pPr>
    </w:p>
    <w:p>
      <w:pPr>
        <w:pStyle w:val="38"/>
        <w:rPr>
          <w:rFonts w:hint="default"/>
        </w:rPr>
      </w:pPr>
      <w:r>
        <w:rPr>
          <w:rFonts w:hint="default"/>
        </w:rPr>
        <w:t>参考：</w:t>
      </w:r>
      <w:r>
        <w:rPr>
          <w:rFonts w:hint="eastAsia"/>
        </w:rPr>
        <w:t>検査項目ごとの有所見</w:t>
      </w:r>
      <w:r>
        <w:rPr>
          <w:rFonts w:hint="default"/>
        </w:rPr>
        <w:t>定義</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Look w:firstRow="0" w:lastRow="0" w:firstColumn="0" w:lastColumn="0" w:noHBand="1" w:noVBand="1" w:val="0600"/>
      </w:tblPr>
      <w:tblGrid>
        <w:gridCol w:w="2263"/>
        <w:gridCol w:w="2424"/>
        <w:gridCol w:w="2344"/>
        <w:gridCol w:w="2344"/>
      </w:tblGrid>
      <w:tr>
        <w:trPr>
          <w:trHeight w:val="20" w:hRule="atLeast"/>
        </w:trPr>
        <w:tc>
          <w:tcPr>
            <w:tcW w:w="2263"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default"/>
                <w:sz w:val="14"/>
              </w:rPr>
              <w:t>BMI</w:t>
            </w:r>
          </w:p>
        </w:tc>
        <w:tc>
          <w:tcPr>
            <w:tcW w:w="2424" w:type="dxa"/>
            <w:tcMar>
              <w:top w:w="28" w:type="dxa"/>
              <w:left w:w="28" w:type="dxa"/>
              <w:bottom w:w="28" w:type="dxa"/>
              <w:right w:w="28" w:type="dxa"/>
            </w:tcMar>
            <w:vAlign w:val="center"/>
          </w:tcPr>
          <w:p>
            <w:pPr>
              <w:pStyle w:val="0"/>
              <w:rPr>
                <w:rFonts w:hint="default"/>
                <w:sz w:val="14"/>
              </w:rPr>
            </w:pPr>
            <w:r>
              <w:rPr>
                <w:rFonts w:hint="default"/>
                <w:sz w:val="14"/>
              </w:rPr>
              <w:t>25kg/</w:t>
            </w:r>
            <w:r>
              <w:rPr>
                <w:rFonts w:hint="default"/>
                <w:sz w:val="14"/>
              </w:rPr>
              <w:t>㎡以上</w:t>
            </w: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中性脂肪</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150mg/dL</w:t>
            </w:r>
            <w:r>
              <w:rPr>
                <w:rFonts w:hint="default"/>
                <w:sz w:val="14"/>
              </w:rPr>
              <w:t>以上</w:t>
            </w:r>
          </w:p>
        </w:tc>
      </w:tr>
      <w:tr>
        <w:trPr>
          <w:trHeight w:val="164" w:hRule="atLeast"/>
        </w:trPr>
        <w:tc>
          <w:tcPr>
            <w:tcW w:w="2263" w:type="dxa"/>
            <w:vMerge w:val="restart"/>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腹囲</w:t>
            </w:r>
          </w:p>
        </w:tc>
        <w:tc>
          <w:tcPr>
            <w:tcW w:w="2424" w:type="dxa"/>
            <w:vMerge w:val="restart"/>
            <w:tcMar>
              <w:top w:w="28" w:type="dxa"/>
              <w:left w:w="28" w:type="dxa"/>
              <w:bottom w:w="28" w:type="dxa"/>
              <w:right w:w="28" w:type="dxa"/>
            </w:tcMar>
            <w:vAlign w:val="center"/>
          </w:tcPr>
          <w:p>
            <w:pPr>
              <w:pStyle w:val="0"/>
              <w:rPr>
                <w:rFonts w:hint="default"/>
                <w:sz w:val="14"/>
              </w:rPr>
            </w:pPr>
            <w:r>
              <w:rPr>
                <w:rFonts w:hint="eastAsia"/>
                <w:sz w:val="14"/>
              </w:rPr>
              <w:t>男性：</w:t>
            </w:r>
            <w:r>
              <w:rPr>
                <w:rFonts w:hint="default"/>
                <w:sz w:val="14"/>
              </w:rPr>
              <w:t>85</w:t>
            </w:r>
            <w:r>
              <w:rPr>
                <w:rFonts w:hint="default"/>
                <w:sz w:val="14"/>
              </w:rPr>
              <w:t>㎝以上、女性</w:t>
            </w:r>
            <w:r>
              <w:rPr>
                <w:rFonts w:hint="eastAsia"/>
                <w:sz w:val="14"/>
              </w:rPr>
              <w:t>：</w:t>
            </w:r>
            <w:r>
              <w:rPr>
                <w:rFonts w:hint="default"/>
                <w:sz w:val="14"/>
              </w:rPr>
              <w:t>90</w:t>
            </w:r>
            <w:r>
              <w:rPr>
                <w:rFonts w:hint="default"/>
                <w:sz w:val="14"/>
              </w:rPr>
              <w:t>㎝以上</w:t>
            </w:r>
          </w:p>
          <w:p>
            <w:pPr>
              <w:pStyle w:val="0"/>
              <w:rPr>
                <w:rFonts w:hint="default"/>
                <w:sz w:val="14"/>
              </w:rPr>
            </w:pPr>
            <w:r>
              <w:rPr>
                <w:rFonts w:hint="eastAsia"/>
                <w:sz w:val="14"/>
              </w:rPr>
              <w:t>（内臓脂肪面積の場合：</w:t>
            </w:r>
            <w:r>
              <w:rPr>
                <w:rFonts w:hint="default"/>
                <w:sz w:val="14"/>
              </w:rPr>
              <w:t>100</w:t>
            </w:r>
            <w:r>
              <w:rPr>
                <w:rFonts w:hint="eastAsia"/>
                <w:sz w:val="14"/>
              </w:rPr>
              <w:t>㎠以上）</w:t>
            </w: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HDL</w:t>
            </w:r>
            <w:r>
              <w:rPr>
                <w:rFonts w:hint="default"/>
                <w:sz w:val="14"/>
              </w:rPr>
              <w:t>-C</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40mg/dL</w:t>
            </w:r>
            <w:r>
              <w:rPr>
                <w:rFonts w:hint="default"/>
                <w:sz w:val="14"/>
              </w:rPr>
              <w:t>未満</w:t>
            </w:r>
          </w:p>
        </w:tc>
      </w:tr>
      <w:tr>
        <w:trPr>
          <w:trHeight w:val="42" w:hRule="atLeast"/>
        </w:trPr>
        <w:tc>
          <w:tcPr>
            <w:tcW w:w="2263" w:type="dxa"/>
            <w:vMerge w:val="continue"/>
            <w:shd w:val="clear" w:color="auto" w:themeFill="background1" w:themeFillTint="FF" w:themeFillShade="F2"/>
            <w:tcMar>
              <w:top w:w="28" w:type="dxa"/>
              <w:left w:w="28" w:type="dxa"/>
              <w:bottom w:w="28" w:type="dxa"/>
              <w:right w:w="28" w:type="dxa"/>
            </w:tcMar>
            <w:vAlign w:val="center"/>
          </w:tcPr>
          <w:p>
            <w:pPr>
              <w:pStyle w:val="0"/>
              <w:rPr>
                <w:rFonts w:hint="default"/>
                <w:sz w:val="14"/>
              </w:rPr>
            </w:pPr>
          </w:p>
        </w:tc>
        <w:tc>
          <w:tcPr>
            <w:tcW w:w="2424" w:type="dxa"/>
            <w:vMerge w:val="continue"/>
            <w:tcMar>
              <w:top w:w="28" w:type="dxa"/>
              <w:left w:w="28" w:type="dxa"/>
              <w:bottom w:w="28" w:type="dxa"/>
              <w:right w:w="28" w:type="dxa"/>
            </w:tcMar>
            <w:vAlign w:val="center"/>
          </w:tcPr>
          <w:p>
            <w:pPr>
              <w:pStyle w:val="0"/>
              <w:rPr>
                <w:rFonts w:hint="default"/>
                <w:sz w:val="14"/>
              </w:rPr>
            </w:pP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L</w:t>
            </w:r>
            <w:r>
              <w:rPr>
                <w:rFonts w:hint="default"/>
                <w:sz w:val="14"/>
              </w:rPr>
              <w:t>DL-C</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120mg/dL</w:t>
            </w:r>
            <w:r>
              <w:rPr>
                <w:rFonts w:hint="default"/>
                <w:sz w:val="14"/>
              </w:rPr>
              <w:t>以上</w:t>
            </w:r>
          </w:p>
        </w:tc>
      </w:tr>
      <w:tr>
        <w:trPr>
          <w:trHeight w:val="20" w:hRule="atLeast"/>
        </w:trPr>
        <w:tc>
          <w:tcPr>
            <w:tcW w:w="2263"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空腹時血糖</w:t>
            </w:r>
          </w:p>
        </w:tc>
        <w:tc>
          <w:tcPr>
            <w:tcW w:w="2424" w:type="dxa"/>
            <w:tcMar>
              <w:top w:w="28" w:type="dxa"/>
              <w:left w:w="28" w:type="dxa"/>
              <w:bottom w:w="28" w:type="dxa"/>
              <w:right w:w="28" w:type="dxa"/>
            </w:tcMar>
            <w:vAlign w:val="center"/>
          </w:tcPr>
          <w:p>
            <w:pPr>
              <w:pStyle w:val="0"/>
              <w:rPr>
                <w:rFonts w:hint="default"/>
                <w:sz w:val="14"/>
              </w:rPr>
            </w:pPr>
            <w:r>
              <w:rPr>
                <w:rFonts w:hint="default"/>
                <w:sz w:val="14"/>
              </w:rPr>
              <w:t>100mg/d</w:t>
            </w:r>
            <w:r>
              <w:rPr>
                <w:rFonts w:hint="eastAsia"/>
                <w:sz w:val="14"/>
              </w:rPr>
              <w:t>L</w:t>
            </w:r>
            <w:r>
              <w:rPr>
                <w:rFonts w:hint="default"/>
                <w:sz w:val="14"/>
              </w:rPr>
              <w:t>以上</w:t>
            </w: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A</w:t>
            </w:r>
            <w:r>
              <w:rPr>
                <w:rFonts w:hint="default"/>
                <w:sz w:val="14"/>
              </w:rPr>
              <w:t>LT</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31U/L</w:t>
            </w:r>
            <w:r>
              <w:rPr>
                <w:rFonts w:hint="default"/>
                <w:sz w:val="14"/>
              </w:rPr>
              <w:t>以上</w:t>
            </w:r>
          </w:p>
        </w:tc>
      </w:tr>
      <w:tr>
        <w:trPr>
          <w:trHeight w:val="20" w:hRule="atLeast"/>
        </w:trPr>
        <w:tc>
          <w:tcPr>
            <w:tcW w:w="2263"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H</w:t>
            </w:r>
            <w:r>
              <w:rPr>
                <w:rFonts w:hint="default"/>
                <w:sz w:val="14"/>
              </w:rPr>
              <w:t>bA1c</w:t>
            </w:r>
          </w:p>
        </w:tc>
        <w:tc>
          <w:tcPr>
            <w:tcW w:w="2424" w:type="dxa"/>
            <w:tcMar>
              <w:top w:w="28" w:type="dxa"/>
              <w:left w:w="28" w:type="dxa"/>
              <w:bottom w:w="28" w:type="dxa"/>
              <w:right w:w="28" w:type="dxa"/>
            </w:tcMar>
            <w:vAlign w:val="center"/>
          </w:tcPr>
          <w:p>
            <w:pPr>
              <w:pStyle w:val="0"/>
              <w:rPr>
                <w:rFonts w:hint="default"/>
                <w:sz w:val="14"/>
              </w:rPr>
            </w:pPr>
            <w:r>
              <w:rPr>
                <w:rFonts w:hint="default"/>
                <w:sz w:val="14"/>
              </w:rPr>
              <w:t>5.6%</w:t>
            </w:r>
            <w:r>
              <w:rPr>
                <w:rFonts w:hint="default"/>
                <w:sz w:val="14"/>
              </w:rPr>
              <w:t>以上</w:t>
            </w: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尿酸</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7.0mg/dL</w:t>
            </w:r>
            <w:r>
              <w:rPr>
                <w:rFonts w:hint="default"/>
                <w:sz w:val="14"/>
              </w:rPr>
              <w:t>超過</w:t>
            </w:r>
          </w:p>
        </w:tc>
      </w:tr>
      <w:tr>
        <w:trPr>
          <w:trHeight w:val="20" w:hRule="atLeast"/>
        </w:trPr>
        <w:tc>
          <w:tcPr>
            <w:tcW w:w="2263"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収縮期血圧</w:t>
            </w:r>
          </w:p>
        </w:tc>
        <w:tc>
          <w:tcPr>
            <w:tcW w:w="2424" w:type="dxa"/>
            <w:tcMar>
              <w:top w:w="28" w:type="dxa"/>
              <w:left w:w="28" w:type="dxa"/>
              <w:bottom w:w="28" w:type="dxa"/>
              <w:right w:w="28" w:type="dxa"/>
            </w:tcMar>
            <w:vAlign w:val="center"/>
          </w:tcPr>
          <w:p>
            <w:pPr>
              <w:pStyle w:val="0"/>
              <w:rPr>
                <w:rFonts w:hint="default"/>
                <w:sz w:val="14"/>
              </w:rPr>
            </w:pPr>
            <w:r>
              <w:rPr>
                <w:rFonts w:hint="default"/>
                <w:sz w:val="14"/>
              </w:rPr>
              <w:t>130mmHg</w:t>
            </w:r>
            <w:r>
              <w:rPr>
                <w:rFonts w:hint="default"/>
                <w:sz w:val="14"/>
              </w:rPr>
              <w:t>以上</w:t>
            </w: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血清クレアチニン</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1.3mg/dL</w:t>
            </w:r>
            <w:r>
              <w:rPr>
                <w:rFonts w:hint="default"/>
                <w:sz w:val="14"/>
              </w:rPr>
              <w:t>以上</w:t>
            </w:r>
          </w:p>
        </w:tc>
      </w:tr>
      <w:tr>
        <w:trPr>
          <w:trHeight w:val="20" w:hRule="atLeast"/>
        </w:trPr>
        <w:tc>
          <w:tcPr>
            <w:tcW w:w="2263"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拡張期血圧</w:t>
            </w:r>
          </w:p>
        </w:tc>
        <w:tc>
          <w:tcPr>
            <w:tcW w:w="2424" w:type="dxa"/>
            <w:tcMar>
              <w:top w:w="28" w:type="dxa"/>
              <w:left w:w="28" w:type="dxa"/>
              <w:bottom w:w="28" w:type="dxa"/>
              <w:right w:w="28" w:type="dxa"/>
            </w:tcMar>
            <w:vAlign w:val="center"/>
          </w:tcPr>
          <w:p>
            <w:pPr>
              <w:pStyle w:val="0"/>
              <w:rPr>
                <w:rFonts w:hint="default"/>
                <w:sz w:val="14"/>
              </w:rPr>
            </w:pPr>
            <w:r>
              <w:rPr>
                <w:rFonts w:hint="default"/>
                <w:sz w:val="14"/>
              </w:rPr>
              <w:t>85mmHg</w:t>
            </w:r>
            <w:r>
              <w:rPr>
                <w:rFonts w:hint="default"/>
                <w:sz w:val="14"/>
              </w:rPr>
              <w:t>以上</w:t>
            </w:r>
          </w:p>
        </w:tc>
        <w:tc>
          <w:tcPr>
            <w:tcW w:w="2344" w:type="dxa"/>
            <w:shd w:val="clear" w:color="auto" w:themeFill="background1" w:themeFillTint="FF" w:themeFillShade="F2"/>
            <w:tcMar>
              <w:top w:w="28" w:type="dxa"/>
              <w:left w:w="28" w:type="dxa"/>
              <w:bottom w:w="28" w:type="dxa"/>
              <w:right w:w="28" w:type="dxa"/>
            </w:tcMar>
            <w:vAlign w:val="center"/>
          </w:tcPr>
          <w:p>
            <w:pPr>
              <w:pStyle w:val="0"/>
              <w:rPr>
                <w:rFonts w:hint="default"/>
                <w:sz w:val="14"/>
              </w:rPr>
            </w:pPr>
            <w:r>
              <w:rPr>
                <w:rFonts w:hint="eastAsia"/>
                <w:sz w:val="14"/>
              </w:rPr>
              <w:t>e</w:t>
            </w:r>
            <w:r>
              <w:rPr>
                <w:rFonts w:hint="default"/>
                <w:sz w:val="14"/>
              </w:rPr>
              <w:t>GFR</w:t>
            </w:r>
          </w:p>
        </w:tc>
        <w:tc>
          <w:tcPr>
            <w:tcW w:w="2344" w:type="dxa"/>
            <w:tcMar>
              <w:top w:w="28" w:type="dxa"/>
              <w:left w:w="28" w:type="dxa"/>
              <w:bottom w:w="28" w:type="dxa"/>
              <w:right w:w="28" w:type="dxa"/>
            </w:tcMar>
            <w:vAlign w:val="center"/>
          </w:tcPr>
          <w:p>
            <w:pPr>
              <w:pStyle w:val="0"/>
              <w:rPr>
                <w:rFonts w:hint="default"/>
                <w:sz w:val="14"/>
              </w:rPr>
            </w:pPr>
            <w:r>
              <w:rPr>
                <w:rFonts w:hint="default"/>
                <w:sz w:val="14"/>
              </w:rPr>
              <w:t>60ml/</w:t>
            </w:r>
            <w:r>
              <w:rPr>
                <w:rFonts w:hint="default"/>
                <w:sz w:val="14"/>
              </w:rPr>
              <w:t>分</w:t>
            </w:r>
            <w:r>
              <w:rPr>
                <w:rFonts w:hint="default"/>
                <w:sz w:val="14"/>
              </w:rPr>
              <w:t>/1.73</w:t>
            </w:r>
            <w:r>
              <w:rPr>
                <w:rFonts w:hint="default"/>
                <w:sz w:val="14"/>
              </w:rPr>
              <w:t>㎡未満</w:t>
            </w:r>
          </w:p>
        </w:tc>
      </w:tr>
    </w:tbl>
    <w:p>
      <w:pPr>
        <w:pStyle w:val="44"/>
        <w:rPr>
          <w:rFonts w:hint="default"/>
        </w:rPr>
      </w:pPr>
      <w:r>
        <w:rPr>
          <w:rFonts w:hint="default"/>
        </w:rPr>
        <w:t>【出典】</w:t>
      </w:r>
      <w:r>
        <w:rPr>
          <w:rFonts w:hint="eastAsia"/>
        </w:rPr>
        <w:t>KDB</w:t>
      </w:r>
      <w:r>
        <w:rPr>
          <w:rFonts w:hint="eastAsia"/>
        </w:rPr>
        <w:t>システム</w:t>
      </w:r>
      <w:r>
        <w:rPr>
          <w:rFonts w:hint="eastAsia"/>
        </w:rPr>
        <w:t xml:space="preserve"> </w:t>
      </w:r>
      <w:r>
        <w:rPr>
          <w:rFonts w:hint="eastAsia"/>
        </w:rPr>
        <w:t>各帳票等の項目にかかる集計要件</w:t>
      </w:r>
      <w:r>
        <w:rPr>
          <w:rFonts w:hint="eastAsia"/>
        </w:rPr>
        <w:t>(</w:t>
      </w:r>
      <w:r>
        <w:rPr>
          <w:rFonts w:hint="eastAsia"/>
        </w:rPr>
        <w:t>令和</w:t>
      </w:r>
      <w:r>
        <w:rPr>
          <w:rFonts w:hint="eastAsia"/>
        </w:rPr>
        <w:t>4</w:t>
      </w:r>
      <w:r>
        <w:rPr>
          <w:rFonts w:hint="eastAsia"/>
        </w:rPr>
        <w:t>年度</w:t>
      </w:r>
      <w:r>
        <w:rPr>
          <w:rFonts w:hint="eastAsia"/>
        </w:rPr>
        <w:t>)</w:t>
      </w:r>
    </w:p>
    <w:p>
      <w:pPr>
        <w:pStyle w:val="0"/>
        <w:rPr>
          <w:rFonts w:hint="default"/>
          <w:sz w:val="22"/>
        </w:rPr>
      </w:pPr>
      <w:r>
        <w:rPr>
          <w:rFonts w:hint="default"/>
        </w:rPr>
        <w:br w:type="page"/>
      </w:r>
    </w:p>
    <w:p>
      <w:pPr>
        <w:pStyle w:val="4"/>
        <w:rPr>
          <w:rFonts w:hint="default"/>
        </w:rPr>
      </w:pPr>
      <w:r>
        <w:rPr>
          <w:rFonts w:hint="eastAsia"/>
        </w:rPr>
        <w:t>特定健診受診者における年代別有所見者の割合と標準化比</w:t>
      </w:r>
    </w:p>
    <w:p>
      <w:pPr>
        <w:pStyle w:val="39"/>
        <w:ind w:firstLine="200"/>
        <w:rPr>
          <w:rFonts w:hint="default"/>
        </w:rPr>
      </w:pPr>
      <w:r>
        <w:rPr>
          <w:rFonts w:hint="eastAsia"/>
        </w:rPr>
        <w:t>さらに、</w:t>
      </w:r>
      <w:r>
        <w:rPr>
          <w:rFonts w:hint="default"/>
        </w:rPr>
        <w:t>年代別の有所見</w:t>
      </w:r>
      <w:r>
        <w:rPr>
          <w:rFonts w:hint="eastAsia"/>
        </w:rPr>
        <w:t>者の割合について、国における有所見者の割合を</w:t>
      </w:r>
      <w:r>
        <w:rPr>
          <w:rFonts w:hint="eastAsia"/>
        </w:rPr>
        <w:t>100</w:t>
      </w:r>
      <w:r>
        <w:rPr>
          <w:rFonts w:hint="eastAsia"/>
        </w:rPr>
        <w:t>とした</w:t>
      </w:r>
      <w:r>
        <w:rPr>
          <w:rFonts w:hint="default"/>
        </w:rPr>
        <w:t>標準化比</w:t>
      </w:r>
      <w:r>
        <w:rPr>
          <w:rFonts w:hint="eastAsia"/>
        </w:rPr>
        <w:t>を国立保健医療科学院のツールを使って算出し国と比較すると</w:t>
      </w:r>
      <w:r>
        <w:rPr>
          <w:rFonts w:hint="default"/>
        </w:rPr>
        <w:t>（</w:t>
      </w:r>
      <w:r>
        <w:rPr>
          <w:rFonts w:hint="eastAsia"/>
        </w:rPr>
        <w:fldChar w:fldCharType="begin"/>
      </w:r>
      <w:r>
        <w:rPr>
          <w:rFonts w:hint="eastAsia"/>
        </w:rPr>
        <w:instrText xml:space="preserve">REF _Ref130213898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2</w:t>
      </w:r>
      <w:r>
        <w:rPr>
          <w:rFonts w:hint="eastAsia"/>
        </w:rPr>
        <w:t>-</w:t>
      </w:r>
      <w:r>
        <w:rPr>
          <w:rFonts w:hint="default"/>
        </w:rPr>
        <w:t>2</w:t>
      </w:r>
      <w:r>
        <w:rPr>
          <w:rFonts w:hint="eastAsia"/>
        </w:rPr>
        <w:fldChar w:fldCharType="end"/>
      </w:r>
      <w:r>
        <w:rPr>
          <w:rFonts w:hint="eastAsia"/>
        </w:rPr>
        <w:t>・</w:t>
      </w:r>
      <w:r>
        <w:rPr>
          <w:rFonts w:hint="eastAsia"/>
        </w:rPr>
        <w:fldChar w:fldCharType="begin"/>
      </w:r>
      <w:r>
        <w:rPr>
          <w:rFonts w:hint="eastAsia"/>
        </w:rPr>
        <w:instrText xml:space="preserve">REF _Ref130213904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2</w:t>
      </w:r>
      <w:r>
        <w:rPr>
          <w:rFonts w:hint="eastAsia"/>
        </w:rPr>
        <w:t>-</w:t>
      </w:r>
      <w:r>
        <w:rPr>
          <w:rFonts w:hint="default"/>
        </w:rPr>
        <w:t>3</w:t>
      </w:r>
      <w:r>
        <w:rPr>
          <w:rFonts w:hint="eastAsia"/>
        </w:rPr>
        <w:fldChar w:fldCharType="end"/>
      </w:r>
      <w:r>
        <w:rPr>
          <w:rFonts w:hint="default"/>
        </w:rPr>
        <w:t>）、</w:t>
      </w:r>
      <w:r>
        <w:rPr>
          <w:rFonts w:hint="eastAsia"/>
        </w:rPr>
        <w:t>男性では</w:t>
      </w:r>
      <w:r>
        <w:rPr>
          <w:rFonts w:hint="default"/>
        </w:rPr>
        <w:t>「</w:t>
      </w:r>
      <w:r>
        <w:rPr>
          <w:rFonts w:hint="default"/>
        </w:rPr>
        <w:t>BMI</w:t>
      </w:r>
      <w:r>
        <w:rPr>
          <w:rFonts w:hint="default"/>
        </w:rPr>
        <w:t>」「中性脂肪」「</w:t>
      </w:r>
      <w:r>
        <w:rPr>
          <w:rFonts w:hint="default"/>
        </w:rPr>
        <w:t>LDL-C</w:t>
      </w:r>
      <w:r>
        <w:rPr>
          <w:rFonts w:hint="default"/>
        </w:rPr>
        <w:t>」の標準化比がいずれの年代においても</w:t>
      </w:r>
      <w:r>
        <w:rPr>
          <w:rFonts w:hint="default"/>
        </w:rPr>
        <w:t>100</w:t>
      </w:r>
      <w:r>
        <w:rPr>
          <w:rFonts w:hint="default"/>
        </w:rPr>
        <w:t>を超えている</w:t>
      </w:r>
      <w:r>
        <w:rPr>
          <w:rFonts w:hint="eastAsia"/>
        </w:rPr>
        <w:t>。女性では</w:t>
      </w:r>
      <w:r>
        <w:rPr>
          <w:rFonts w:hint="default"/>
        </w:rPr>
        <w:t>「</w:t>
      </w:r>
      <w:r>
        <w:rPr>
          <w:rFonts w:hint="default"/>
        </w:rPr>
        <w:t>BMI</w:t>
      </w:r>
      <w:r>
        <w:rPr>
          <w:rFonts w:hint="default"/>
        </w:rPr>
        <w:t>」「腹囲」「中性脂肪」「</w:t>
      </w:r>
      <w:r>
        <w:rPr>
          <w:rFonts w:hint="default"/>
        </w:rPr>
        <w:t>LDL-C</w:t>
      </w:r>
      <w:r>
        <w:rPr>
          <w:rFonts w:hint="default"/>
        </w:rPr>
        <w:t>」「</w:t>
      </w:r>
      <w:r>
        <w:rPr>
          <w:rFonts w:hint="default"/>
        </w:rPr>
        <w:t>ALT</w:t>
      </w:r>
      <w:r>
        <w:rPr>
          <w:rFonts w:hint="default"/>
        </w:rPr>
        <w:t>」の標準化比がいずれの年代においても</w:t>
      </w:r>
      <w:r>
        <w:rPr>
          <w:rFonts w:hint="default"/>
        </w:rPr>
        <w:t>100</w:t>
      </w:r>
      <w:r>
        <w:rPr>
          <w:rFonts w:hint="default"/>
        </w:rPr>
        <w:t>を超えている。</w:t>
      </w:r>
    </w:p>
    <w:p>
      <w:pPr>
        <w:pStyle w:val="0"/>
        <w:rPr>
          <w:rFonts w:hint="default"/>
        </w:rPr>
      </w:pPr>
    </w:p>
    <w:p>
      <w:pPr>
        <w:pStyle w:val="38"/>
        <w:rPr>
          <w:rFonts w:hint="default"/>
        </w:rPr>
      </w:pPr>
      <w:bookmarkStart w:id="61" w:name="_Ref13021389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61"/>
      <w:r>
        <w:rPr>
          <w:rFonts w:hint="default"/>
        </w:rPr>
        <w:t>：特定健診受診者における年代別有所見者の割合</w:t>
      </w:r>
      <w:r>
        <w:rPr>
          <w:rFonts w:hint="eastAsia"/>
        </w:rPr>
        <w:t>・</w:t>
      </w:r>
      <w:r>
        <w:rPr>
          <w:rFonts w:hint="default"/>
        </w:rPr>
        <w:t>標準化比</w:t>
      </w:r>
      <w:r>
        <w:rPr>
          <w:rFonts w:hint="default"/>
        </w:rPr>
        <w:t>_</w:t>
      </w:r>
      <w:r>
        <w:rPr>
          <w:rFonts w:hint="default"/>
        </w:rPr>
        <w:t>男性</w:t>
      </w:r>
    </w:p>
    <w:p>
      <w:pPr>
        <w:pStyle w:val="0"/>
        <w:jc w:val="center"/>
        <w:rPr>
          <w:rFonts w:hint="default"/>
        </w:rPr>
      </w:pPr>
      <w:r>
        <w:rPr>
          <w:rFonts w:hint="eastAsia"/>
        </w:rPr>
        <w:drawing>
          <wp:inline distT="0" distB="0" distL="0" distR="0">
            <wp:extent cx="5939790" cy="2123440"/>
            <wp:effectExtent l="0" t="0" r="0" b="0"/>
            <wp:docPr id="1075" name="オブジェクト 0"/>
            <a:graphic xmlns:a="http://schemas.openxmlformats.org/drawingml/2006/main">
              <a:graphicData uri="http://schemas.openxmlformats.org/drawingml/2006/chart">
                <c:chart xmlns:c="http://schemas.openxmlformats.org/drawingml/2006/chart" r:id="rId30"/>
              </a:graphicData>
            </a:graphic>
          </wp:inline>
        </w:drawing>
      </w:r>
    </w:p>
    <w:tbl>
      <w:tblPr>
        <w:tblStyle w:val="172"/>
        <w:tblW w:w="937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firstRow="1" w:lastRow="0" w:firstColumn="1" w:lastColumn="0" w:noHBand="0" w:noVBand="1" w:val="04A0"/>
      </w:tblPr>
      <w:tblGrid>
        <w:gridCol w:w="655"/>
        <w:gridCol w:w="655"/>
        <w:gridCol w:w="654"/>
        <w:gridCol w:w="654"/>
        <w:gridCol w:w="654"/>
        <w:gridCol w:w="655"/>
        <w:gridCol w:w="655"/>
        <w:gridCol w:w="655"/>
        <w:gridCol w:w="655"/>
        <w:gridCol w:w="655"/>
        <w:gridCol w:w="707"/>
        <w:gridCol w:w="707"/>
        <w:gridCol w:w="707"/>
        <w:gridCol w:w="707"/>
      </w:tblGrid>
      <w:tr>
        <w:trPr/>
        <w:tc>
          <w:tcPr>
            <w:tcW w:w="1310"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b w:val="1"/>
              </w:rPr>
            </w:pPr>
          </w:p>
        </w:tc>
        <w:tc>
          <w:tcPr>
            <w:tcW w:w="654"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BMI</w:t>
            </w:r>
          </w:p>
        </w:tc>
        <w:tc>
          <w:tcPr>
            <w:tcW w:w="654"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腹囲</w:t>
            </w:r>
          </w:p>
        </w:tc>
        <w:tc>
          <w:tcPr>
            <w:tcW w:w="654"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空腹時血糖</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HbA1c</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収縮期血圧</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拡張期血圧</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中性脂肪</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HDL-C</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LDL-C</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ALT</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sz w:val="14"/>
              </w:rPr>
              <w:t>尿酸</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sz w:val="14"/>
              </w:rPr>
              <w:t>血清クレアチニン</w:t>
            </w:r>
          </w:p>
        </w:tc>
      </w:tr>
      <w:tr>
        <w:trPr/>
        <w:tc>
          <w:tcPr>
            <w:tcW w:w="655" w:type="dxa"/>
            <w:vMerge w:val="restart"/>
            <w:tcMar>
              <w:top w:w="28" w:type="dxa"/>
              <w:left w:w="28" w:type="dxa"/>
              <w:bottom w:w="28" w:type="dxa"/>
              <w:right w:w="28" w:type="dxa"/>
            </w:tcMar>
            <w:vAlign w:val="center"/>
          </w:tcPr>
          <w:p>
            <w:pPr>
              <w:pStyle w:val="0"/>
              <w:spacing w:line="276" w:lineRule="auto"/>
              <w:jc w:val="both"/>
              <w:rPr>
                <w:rFonts w:hint="default"/>
              </w:rPr>
            </w:pPr>
            <w:r>
              <w:rPr>
                <w:rFonts w:hint="default"/>
              </w:rPr>
              <w:t>40-</w:t>
            </w:r>
          </w:p>
          <w:p>
            <w:pPr>
              <w:pStyle w:val="0"/>
              <w:spacing w:line="276" w:lineRule="auto"/>
              <w:jc w:val="both"/>
              <w:rPr>
                <w:rFonts w:hint="default"/>
              </w:rPr>
            </w:pPr>
            <w:r>
              <w:rPr>
                <w:rFonts w:hint="default"/>
              </w:rPr>
              <w:t>64</w:t>
            </w:r>
            <w:r>
              <w:rPr>
                <w:rFonts w:hint="default"/>
              </w:rPr>
              <w:t>歳</w:t>
            </w: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構成割合</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41.8%</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51.9%</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6.3%</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39.1%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22.4%</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14.1%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39.1%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5.5%</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52.5%</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25.7%</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0.6%</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1.4%</w:t>
            </w:r>
          </w:p>
        </w:tc>
      </w:tr>
      <w:tr>
        <w:trPr/>
        <w:tc>
          <w:tcPr>
            <w:tcW w:w="655" w:type="dxa"/>
            <w:vMerge w:val="continue"/>
            <w:tcMar>
              <w:top w:w="28" w:type="dxa"/>
              <w:left w:w="28" w:type="dxa"/>
              <w:bottom w:w="28" w:type="dxa"/>
              <w:right w:w="28" w:type="dxa"/>
            </w:tcMar>
            <w:vAlign w:val="center"/>
          </w:tcPr>
          <w:p>
            <w:pPr>
              <w:pStyle w:val="0"/>
              <w:spacing w:line="276" w:lineRule="auto"/>
              <w:jc w:val="both"/>
              <w:rPr>
                <w:rFonts w:hint="default"/>
              </w:rPr>
            </w:pP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標準化比</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107.5</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95.3</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25.4</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83.9</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57.0</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47.3</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123.2</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70.5</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102.2</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87.3</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3.7</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111.6</w:t>
            </w:r>
          </w:p>
        </w:tc>
      </w:tr>
      <w:tr>
        <w:trPr/>
        <w:tc>
          <w:tcPr>
            <w:tcW w:w="655" w:type="dxa"/>
            <w:vMerge w:val="restart"/>
            <w:tcMar>
              <w:top w:w="28" w:type="dxa"/>
              <w:left w:w="28" w:type="dxa"/>
              <w:bottom w:w="28" w:type="dxa"/>
              <w:right w:w="28" w:type="dxa"/>
            </w:tcMar>
            <w:vAlign w:val="center"/>
          </w:tcPr>
          <w:p>
            <w:pPr>
              <w:pStyle w:val="0"/>
              <w:spacing w:line="276" w:lineRule="auto"/>
              <w:jc w:val="both"/>
              <w:rPr>
                <w:rFonts w:hint="default"/>
              </w:rPr>
            </w:pPr>
            <w:r>
              <w:rPr>
                <w:rFonts w:hint="default"/>
              </w:rPr>
              <w:t>65-</w:t>
            </w:r>
          </w:p>
          <w:p>
            <w:pPr>
              <w:pStyle w:val="0"/>
              <w:spacing w:line="276" w:lineRule="auto"/>
              <w:jc w:val="both"/>
              <w:rPr>
                <w:rFonts w:hint="default"/>
              </w:rPr>
            </w:pPr>
            <w:r>
              <w:rPr>
                <w:rFonts w:hint="default"/>
              </w:rPr>
              <w:t>74</w:t>
            </w:r>
            <w:r>
              <w:rPr>
                <w:rFonts w:hint="default"/>
              </w:rPr>
              <w:t>歳</w:t>
            </w: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構成割合</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33.8%</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58.1%</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11.3%</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57.8%</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31.1%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9.2%</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35.1%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8.0%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45.2%</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16.8%</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1.8%</w:t>
            </w:r>
          </w:p>
        </w:tc>
      </w:tr>
      <w:tr>
        <w:trPr/>
        <w:tc>
          <w:tcPr>
            <w:tcW w:w="655" w:type="dxa"/>
            <w:vMerge w:val="continue"/>
            <w:tcMar>
              <w:top w:w="28" w:type="dxa"/>
              <w:left w:w="28" w:type="dxa"/>
              <w:bottom w:w="28" w:type="dxa"/>
              <w:right w:w="28" w:type="dxa"/>
            </w:tcMar>
            <w:vAlign w:val="center"/>
          </w:tcPr>
          <w:p>
            <w:pPr>
              <w:pStyle w:val="0"/>
              <w:spacing w:line="276" w:lineRule="auto"/>
              <w:jc w:val="center"/>
              <w:rPr>
                <w:rFonts w:hint="default"/>
              </w:rPr>
            </w:pP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標準化比</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105.7</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103.1</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32.8</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90.3</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56.1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37.9</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131.7</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114.3</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106.7</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97.2</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55.6</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S21_024-</w:t>
      </w:r>
      <w:r>
        <w:rPr>
          <w:rFonts w:hint="default"/>
        </w:rPr>
        <w:t>厚生労働省様式（様式</w:t>
      </w:r>
      <w:r>
        <w:rPr>
          <w:rFonts w:hint="default"/>
        </w:rPr>
        <w:t>5-2</w:t>
      </w:r>
      <w:r>
        <w:rPr>
          <w:rFonts w:hint="default"/>
        </w:rPr>
        <w:t>）</w:t>
      </w:r>
      <w:r>
        <w:rPr>
          <w:rFonts w:hint="eastAsia"/>
        </w:rPr>
        <w:t xml:space="preserve"> </w:t>
      </w:r>
      <w:r>
        <w:rPr>
          <w:rFonts w:hint="eastAsia"/>
        </w:rPr>
        <w:t>令和</w:t>
      </w:r>
      <w:r>
        <w:rPr>
          <w:rFonts w:hint="eastAsia"/>
        </w:rPr>
        <w:t>4</w:t>
      </w:r>
      <w:r>
        <w:rPr>
          <w:rFonts w:hint="eastAsia"/>
        </w:rPr>
        <w:t>年度</w:t>
      </w:r>
      <w:r>
        <w:rPr>
          <w:rFonts w:hint="eastAsia"/>
        </w:rPr>
        <w:t xml:space="preserve"> </w:t>
      </w:r>
      <w:r>
        <w:rPr>
          <w:rFonts w:hint="eastAsia"/>
        </w:rPr>
        <w:t>年次</w:t>
      </w:r>
    </w:p>
    <w:p>
      <w:pPr>
        <w:pStyle w:val="0"/>
        <w:rPr>
          <w:rFonts w:hint="default"/>
        </w:rPr>
      </w:pPr>
    </w:p>
    <w:p>
      <w:pPr>
        <w:pStyle w:val="38"/>
        <w:rPr>
          <w:rFonts w:hint="default"/>
          <w:b w:val="1"/>
          <w:sz w:val="22"/>
        </w:rPr>
      </w:pPr>
      <w:bookmarkStart w:id="62" w:name="_Ref130213904"/>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62"/>
      <w:r>
        <w:rPr>
          <w:rFonts w:hint="default"/>
        </w:rPr>
        <w:t>：特定健診受診者における年代別有所見者の割合</w:t>
      </w:r>
      <w:r>
        <w:rPr>
          <w:rFonts w:hint="eastAsia"/>
        </w:rPr>
        <w:t>・</w:t>
      </w:r>
      <w:r>
        <w:rPr>
          <w:rFonts w:hint="default"/>
        </w:rPr>
        <w:t>標準化比</w:t>
      </w:r>
      <w:r>
        <w:rPr>
          <w:rFonts w:hint="default"/>
        </w:rPr>
        <w:t>_</w:t>
      </w:r>
      <w:r>
        <w:rPr>
          <w:rFonts w:hint="default"/>
        </w:rPr>
        <w:t>女性</w:t>
      </w:r>
    </w:p>
    <w:p>
      <w:pPr>
        <w:pStyle w:val="0"/>
        <w:jc w:val="center"/>
        <w:rPr>
          <w:rFonts w:hint="default"/>
        </w:rPr>
      </w:pPr>
      <w:r>
        <w:rPr>
          <w:rFonts w:hint="eastAsia"/>
        </w:rPr>
        <w:drawing>
          <wp:inline distT="0" distB="0" distL="0" distR="0">
            <wp:extent cx="5939790" cy="2123440"/>
            <wp:effectExtent l="0" t="0" r="0" b="0"/>
            <wp:docPr id="1076" name="オブジェクト 0"/>
            <a:graphic xmlns:a="http://schemas.openxmlformats.org/drawingml/2006/main">
              <a:graphicData uri="http://schemas.openxmlformats.org/drawingml/2006/chart">
                <c:chart xmlns:c="http://schemas.openxmlformats.org/drawingml/2006/chart" r:id="rId31"/>
              </a:graphicData>
            </a:graphic>
          </wp:inline>
        </w:drawing>
      </w:r>
    </w:p>
    <w:tbl>
      <w:tblPr>
        <w:tblStyle w:val="172"/>
        <w:tblW w:w="937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firstRow="1" w:lastRow="0" w:firstColumn="1" w:lastColumn="0" w:noHBand="0" w:noVBand="1" w:val="04A0"/>
      </w:tblPr>
      <w:tblGrid>
        <w:gridCol w:w="655"/>
        <w:gridCol w:w="655"/>
        <w:gridCol w:w="654"/>
        <w:gridCol w:w="654"/>
        <w:gridCol w:w="654"/>
        <w:gridCol w:w="655"/>
        <w:gridCol w:w="655"/>
        <w:gridCol w:w="655"/>
        <w:gridCol w:w="655"/>
        <w:gridCol w:w="655"/>
        <w:gridCol w:w="707"/>
        <w:gridCol w:w="707"/>
        <w:gridCol w:w="707"/>
        <w:gridCol w:w="707"/>
      </w:tblGrid>
      <w:tr>
        <w:trPr/>
        <w:tc>
          <w:tcPr>
            <w:tcW w:w="1310"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b w:val="1"/>
              </w:rPr>
            </w:pPr>
          </w:p>
        </w:tc>
        <w:tc>
          <w:tcPr>
            <w:tcW w:w="654"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BMI</w:t>
            </w:r>
          </w:p>
        </w:tc>
        <w:tc>
          <w:tcPr>
            <w:tcW w:w="654"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腹囲</w:t>
            </w:r>
          </w:p>
        </w:tc>
        <w:tc>
          <w:tcPr>
            <w:tcW w:w="654"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空腹時血糖</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HbA1c</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収縮期血圧</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拡張期血圧</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中性脂肪</w:t>
            </w:r>
          </w:p>
        </w:tc>
        <w:tc>
          <w:tcPr>
            <w:tcW w:w="65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HDL-C</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LDL-C</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default"/>
                <w:b w:val="1"/>
                <w:sz w:val="14"/>
              </w:rPr>
              <w:t>ALT</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sz w:val="14"/>
              </w:rPr>
              <w:t>尿酸</w:t>
            </w:r>
          </w:p>
        </w:tc>
        <w:tc>
          <w:tcPr>
            <w:tcW w:w="707"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sz w:val="14"/>
              </w:rPr>
              <w:t>血清クレアチニン</w:t>
            </w:r>
          </w:p>
        </w:tc>
      </w:tr>
      <w:tr>
        <w:trPr/>
        <w:tc>
          <w:tcPr>
            <w:tcW w:w="655" w:type="dxa"/>
            <w:vMerge w:val="restart"/>
            <w:tcMar>
              <w:top w:w="28" w:type="dxa"/>
              <w:left w:w="28" w:type="dxa"/>
              <w:bottom w:w="28" w:type="dxa"/>
              <w:right w:w="28" w:type="dxa"/>
            </w:tcMar>
            <w:vAlign w:val="center"/>
          </w:tcPr>
          <w:p>
            <w:pPr>
              <w:pStyle w:val="0"/>
              <w:spacing w:line="276" w:lineRule="auto"/>
              <w:jc w:val="both"/>
              <w:rPr>
                <w:rFonts w:hint="default"/>
              </w:rPr>
            </w:pPr>
            <w:r>
              <w:rPr>
                <w:rFonts w:hint="default"/>
              </w:rPr>
              <w:t>40-</w:t>
            </w:r>
          </w:p>
          <w:p>
            <w:pPr>
              <w:pStyle w:val="0"/>
              <w:spacing w:line="276" w:lineRule="auto"/>
              <w:jc w:val="both"/>
              <w:rPr>
                <w:rFonts w:hint="default"/>
              </w:rPr>
            </w:pPr>
            <w:r>
              <w:rPr>
                <w:rFonts w:hint="default"/>
              </w:rPr>
              <w:t>64</w:t>
            </w:r>
            <w:r>
              <w:rPr>
                <w:rFonts w:hint="default"/>
              </w:rPr>
              <w:t>歳</w:t>
            </w: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構成割合</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28.5%</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22.5%</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4.9%</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41.0%</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18.1%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7.9%</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22.8%</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0.9%</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55.7%</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10.4%</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0.2%</w:t>
            </w:r>
          </w:p>
        </w:tc>
      </w:tr>
      <w:tr>
        <w:trPr/>
        <w:tc>
          <w:tcPr>
            <w:tcW w:w="655" w:type="dxa"/>
            <w:vMerge w:val="continue"/>
            <w:tcMar>
              <w:top w:w="28" w:type="dxa"/>
              <w:left w:w="28" w:type="dxa"/>
              <w:bottom w:w="28" w:type="dxa"/>
              <w:right w:w="28" w:type="dxa"/>
            </w:tcMar>
            <w:vAlign w:val="center"/>
          </w:tcPr>
          <w:p>
            <w:pPr>
              <w:pStyle w:val="0"/>
              <w:spacing w:line="276" w:lineRule="auto"/>
              <w:jc w:val="both"/>
              <w:rPr>
                <w:rFonts w:hint="default"/>
              </w:rPr>
            </w:pP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標準化比</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134.9</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134.4</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35.4</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94.2</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61.6</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48.5</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166.1</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79.8</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103.1</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102.9</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94.6</w:t>
            </w:r>
          </w:p>
        </w:tc>
      </w:tr>
      <w:tr>
        <w:trPr/>
        <w:tc>
          <w:tcPr>
            <w:tcW w:w="655" w:type="dxa"/>
            <w:vMerge w:val="restart"/>
            <w:tcMar>
              <w:top w:w="28" w:type="dxa"/>
              <w:left w:w="28" w:type="dxa"/>
              <w:bottom w:w="28" w:type="dxa"/>
              <w:right w:w="28" w:type="dxa"/>
            </w:tcMar>
            <w:vAlign w:val="center"/>
          </w:tcPr>
          <w:p>
            <w:pPr>
              <w:pStyle w:val="0"/>
              <w:spacing w:line="276" w:lineRule="auto"/>
              <w:jc w:val="both"/>
              <w:rPr>
                <w:rFonts w:hint="default"/>
              </w:rPr>
            </w:pPr>
            <w:r>
              <w:rPr>
                <w:rFonts w:hint="default"/>
              </w:rPr>
              <w:t>65-</w:t>
            </w:r>
          </w:p>
          <w:p>
            <w:pPr>
              <w:pStyle w:val="0"/>
              <w:spacing w:line="276" w:lineRule="auto"/>
              <w:jc w:val="both"/>
              <w:rPr>
                <w:rFonts w:hint="default"/>
              </w:rPr>
            </w:pPr>
            <w:r>
              <w:rPr>
                <w:rFonts w:hint="default"/>
              </w:rPr>
              <w:t>74</w:t>
            </w:r>
            <w:r>
              <w:rPr>
                <w:rFonts w:hint="default"/>
              </w:rPr>
              <w:t>歳</w:t>
            </w: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構成割合</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22.1%</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20.0%</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6.6%</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55.5%</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31.0%</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6.6%</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22.5%</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0.9%</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58.1%</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8.8%</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0.3%</w:t>
            </w:r>
          </w:p>
        </w:tc>
      </w:tr>
      <w:tr>
        <w:trPr/>
        <w:tc>
          <w:tcPr>
            <w:tcW w:w="655" w:type="dxa"/>
            <w:vMerge w:val="continue"/>
            <w:tcMar>
              <w:top w:w="28" w:type="dxa"/>
              <w:left w:w="28" w:type="dxa"/>
              <w:bottom w:w="28" w:type="dxa"/>
              <w:right w:w="28" w:type="dxa"/>
            </w:tcMar>
            <w:vAlign w:val="center"/>
          </w:tcPr>
          <w:p>
            <w:pPr>
              <w:pStyle w:val="0"/>
              <w:spacing w:line="276" w:lineRule="auto"/>
              <w:jc w:val="center"/>
              <w:rPr>
                <w:rFonts w:hint="default"/>
              </w:rPr>
            </w:pPr>
          </w:p>
        </w:tc>
        <w:tc>
          <w:tcPr>
            <w:tcW w:w="655" w:type="dxa"/>
            <w:tcMar>
              <w:top w:w="28" w:type="dxa"/>
              <w:left w:w="28" w:type="dxa"/>
              <w:bottom w:w="28" w:type="dxa"/>
              <w:right w:w="28" w:type="dxa"/>
            </w:tcMar>
            <w:vAlign w:val="center"/>
          </w:tcPr>
          <w:p>
            <w:pPr>
              <w:pStyle w:val="0"/>
              <w:spacing w:line="276" w:lineRule="auto"/>
              <w:jc w:val="center"/>
              <w:rPr>
                <w:rFonts w:hint="default"/>
              </w:rPr>
            </w:pPr>
            <w:r>
              <w:rPr>
                <w:rFonts w:hint="default"/>
                <w:sz w:val="14"/>
              </w:rPr>
              <w:t>標準化比</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102.0</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100.2</w:t>
            </w:r>
          </w:p>
        </w:tc>
        <w:tc>
          <w:tcPr>
            <w:tcW w:w="654" w:type="dxa"/>
            <w:tcMar>
              <w:top w:w="28" w:type="dxa"/>
              <w:left w:w="28" w:type="dxa"/>
              <w:bottom w:w="28" w:type="dxa"/>
              <w:right w:w="28" w:type="dxa"/>
            </w:tcMar>
            <w:vAlign w:val="center"/>
          </w:tcPr>
          <w:p>
            <w:pPr>
              <w:pStyle w:val="0"/>
              <w:spacing w:line="276" w:lineRule="auto"/>
              <w:jc w:val="right"/>
              <w:rPr>
                <w:rFonts w:hint="default"/>
              </w:rPr>
            </w:pPr>
            <w:r>
              <w:rPr>
                <w:rFonts w:hint="eastAsia"/>
              </w:rPr>
              <w:t>29.7</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88.3</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58.7</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38.4</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134.8</w:t>
            </w:r>
          </w:p>
        </w:tc>
        <w:tc>
          <w:tcPr>
            <w:tcW w:w="655" w:type="dxa"/>
            <w:tcMar>
              <w:top w:w="28" w:type="dxa"/>
              <w:left w:w="28" w:type="dxa"/>
              <w:bottom w:w="28" w:type="dxa"/>
              <w:right w:w="28" w:type="dxa"/>
            </w:tcMar>
            <w:vAlign w:val="center"/>
          </w:tcPr>
          <w:p>
            <w:pPr>
              <w:pStyle w:val="0"/>
              <w:spacing w:line="276" w:lineRule="auto"/>
              <w:jc w:val="right"/>
              <w:rPr>
                <w:rFonts w:hint="default"/>
              </w:rPr>
            </w:pPr>
            <w:r>
              <w:rPr>
                <w:rFonts w:hint="eastAsia"/>
              </w:rPr>
              <w:t>71.4</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107.5</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103.1</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0.0</w:t>
            </w:r>
          </w:p>
        </w:tc>
        <w:tc>
          <w:tcPr>
            <w:tcW w:w="707" w:type="dxa"/>
            <w:tcMar>
              <w:top w:w="28" w:type="dxa"/>
              <w:left w:w="28" w:type="dxa"/>
              <w:bottom w:w="28" w:type="dxa"/>
              <w:right w:w="28" w:type="dxa"/>
            </w:tcMar>
            <w:vAlign w:val="center"/>
          </w:tcPr>
          <w:p>
            <w:pPr>
              <w:pStyle w:val="0"/>
              <w:spacing w:line="276" w:lineRule="auto"/>
              <w:jc w:val="right"/>
              <w:rPr>
                <w:rFonts w:hint="default"/>
              </w:rPr>
            </w:pPr>
            <w:r>
              <w:rPr>
                <w:rFonts w:hint="eastAsia"/>
              </w:rPr>
              <w:t>97.2</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S21_024-</w:t>
      </w:r>
      <w:r>
        <w:rPr>
          <w:rFonts w:hint="default"/>
        </w:rPr>
        <w:t>厚生労働省様式（様式</w:t>
      </w:r>
      <w:r>
        <w:rPr>
          <w:rFonts w:hint="default"/>
        </w:rPr>
        <w:t>5-2</w:t>
      </w:r>
      <w:r>
        <w:rPr>
          <w:rFonts w:hint="default"/>
        </w:rPr>
        <w:t>）</w:t>
      </w:r>
      <w:r>
        <w:rPr>
          <w:rFonts w:hint="eastAsia"/>
        </w:rPr>
        <w:t xml:space="preserve"> </w:t>
      </w:r>
      <w:r>
        <w:rPr>
          <w:rFonts w:hint="eastAsia"/>
        </w:rPr>
        <w:t>令和</w:t>
      </w:r>
      <w:r>
        <w:rPr>
          <w:rFonts w:hint="eastAsia"/>
        </w:rPr>
        <w:t>4</w:t>
      </w:r>
      <w:r>
        <w:rPr>
          <w:rFonts w:hint="eastAsia"/>
        </w:rPr>
        <w:t>年度</w:t>
      </w:r>
      <w:r>
        <w:rPr>
          <w:rFonts w:hint="eastAsia"/>
        </w:rPr>
        <w:t xml:space="preserve"> </w:t>
      </w:r>
      <w:r>
        <w:rPr>
          <w:rFonts w:hint="eastAsia"/>
        </w:rPr>
        <w:t>年次</w:t>
      </w:r>
    </w:p>
    <w:p>
      <w:pPr>
        <w:pStyle w:val="0"/>
        <w:rPr>
          <w:rFonts w:hint="default"/>
          <w:b w:val="1"/>
          <w:sz w:val="22"/>
        </w:rPr>
      </w:pPr>
      <w:r>
        <w:rPr>
          <w:rFonts w:hint="default"/>
        </w:rPr>
        <w:br w:type="page"/>
      </w:r>
    </w:p>
    <w:p>
      <w:pPr>
        <w:pStyle w:val="3"/>
        <w:rPr>
          <w:rFonts w:hint="default"/>
        </w:rPr>
      </w:pPr>
      <w:bookmarkStart w:id="63" w:name="_Toc162548689"/>
      <w:r>
        <w:rPr>
          <w:rFonts w:hint="default"/>
        </w:rPr>
        <w:t>メタボリックシンドロームの状況</w:t>
      </w:r>
      <w:bookmarkEnd w:id="63"/>
    </w:p>
    <w:p>
      <w:pPr>
        <w:pStyle w:val="4"/>
        <w:rPr>
          <w:rFonts w:hint="default"/>
        </w:rPr>
      </w:pPr>
      <w:r>
        <w:rPr>
          <w:rFonts w:hint="eastAsia"/>
        </w:rPr>
        <w:t>特定健診受診者におけるメタボ該当者数とメタボ予備群該当者数</w:t>
      </w:r>
    </w:p>
    <w:p>
      <w:pPr>
        <w:pStyle w:val="39"/>
        <w:ind w:firstLine="200"/>
        <w:rPr>
          <w:rFonts w:hint="default"/>
        </w:rPr>
      </w:pPr>
      <w:r>
        <w:rPr>
          <w:rFonts w:hint="eastAsia"/>
        </w:rPr>
        <w:t>ここでは、特定健診受診者における</w:t>
      </w:r>
      <w:r>
        <w:rPr>
          <w:rFonts w:hint="default"/>
        </w:rPr>
        <w:t>メタボリックシンドローム</w:t>
      </w:r>
      <w:r>
        <w:rPr>
          <w:rFonts w:hint="eastAsia"/>
        </w:rPr>
        <w:t>該当者</w:t>
      </w:r>
      <w:r>
        <w:rPr>
          <w:rFonts w:hint="default"/>
        </w:rPr>
        <w:t>（以下、メタボ該当者と</w:t>
      </w:r>
      <w:r>
        <w:rPr>
          <w:rFonts w:hint="eastAsia"/>
        </w:rPr>
        <w:t>いう。</w:t>
      </w:r>
      <w:r>
        <w:rPr>
          <w:rFonts w:hint="default"/>
        </w:rPr>
        <w:t>）</w:t>
      </w:r>
      <w:r>
        <w:rPr>
          <w:rFonts w:hint="eastAsia"/>
        </w:rPr>
        <w:t>及びメタボリックシンドローム予備群該当者（以下、メタボ予備群該当者という。）のデータを概観する。メタボリックシンドロームと</w:t>
      </w:r>
      <w:r>
        <w:rPr>
          <w:rFonts w:hint="default"/>
        </w:rPr>
        <w:t>は、</w:t>
      </w:r>
      <w:r>
        <w:rPr>
          <w:rFonts w:hint="eastAsia"/>
        </w:rPr>
        <w:t>「内臓肥満に高血圧・高血糖・脂質代謝異常が組み合わさることにより、心臓病や脳卒中などになりやすい病態」（厚生労働省</w:t>
      </w:r>
      <w:r>
        <w:rPr>
          <w:rFonts w:hint="eastAsia"/>
        </w:rPr>
        <w:t xml:space="preserve"> </w:t>
      </w:r>
      <w:r>
        <w:rPr>
          <w:rFonts w:hint="eastAsia"/>
        </w:rPr>
        <w:t>生活習慣病予防のための健康情報サイトより引用）を指している。ここでは八街市のメタボ該当者及びメタボ予備群該当者の割合及び高血圧、高血糖及び脂質代謝異常リスクの該当状況をみる。</w:t>
      </w:r>
    </w:p>
    <w:p>
      <w:pPr>
        <w:pStyle w:val="39"/>
        <w:ind w:firstLine="200"/>
        <w:rPr>
          <w:rFonts w:hint="default"/>
        </w:rPr>
      </w:pPr>
      <w:r>
        <w:rPr>
          <w:rFonts w:hint="eastAsia"/>
        </w:rPr>
        <w:t>令和</w:t>
      </w:r>
      <w:r>
        <w:rPr>
          <w:rFonts w:hint="eastAsia"/>
        </w:rPr>
        <w:t>4</w:t>
      </w:r>
      <w:r>
        <w:rPr>
          <w:rFonts w:hint="eastAsia"/>
        </w:rPr>
        <w:t>年度の</w:t>
      </w:r>
      <w:r>
        <w:rPr>
          <w:rFonts w:hint="default"/>
        </w:rPr>
        <w:t>特定健診受診者におけるメタボリックシンドロームの状況をみると（</w:t>
      </w:r>
      <w:r>
        <w:rPr>
          <w:rFonts w:hint="eastAsia"/>
        </w:rPr>
        <w:fldChar w:fldCharType="begin"/>
      </w:r>
      <w:r>
        <w:rPr>
          <w:rFonts w:hint="eastAsia"/>
        </w:rPr>
        <w:instrText xml:space="preserve">REF _Ref122539795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3</w:t>
      </w:r>
      <w:r>
        <w:rPr>
          <w:rFonts w:hint="eastAsia"/>
        </w:rPr>
        <w:t>-</w:t>
      </w:r>
      <w:r>
        <w:rPr>
          <w:rFonts w:hint="default"/>
        </w:rPr>
        <w:t>1</w:t>
      </w:r>
      <w:r>
        <w:rPr>
          <w:rFonts w:hint="eastAsia"/>
        </w:rPr>
        <w:fldChar w:fldCharType="end"/>
      </w:r>
      <w:r>
        <w:rPr>
          <w:rFonts w:hint="default"/>
        </w:rPr>
        <w:t>）、メタボ該当者は</w:t>
      </w:r>
      <w:r>
        <w:rPr>
          <w:rFonts w:hint="default"/>
        </w:rPr>
        <w:t>676</w:t>
      </w:r>
      <w:r>
        <w:rPr>
          <w:rFonts w:hint="default"/>
        </w:rPr>
        <w:t>人で</w:t>
      </w:r>
      <w:r>
        <w:rPr>
          <w:rFonts w:hint="eastAsia"/>
        </w:rPr>
        <w:t>特定健診</w:t>
      </w:r>
      <w:r>
        <w:rPr>
          <w:rFonts w:hint="default"/>
        </w:rPr>
        <w:t>受診者</w:t>
      </w:r>
      <w:r>
        <w:rPr>
          <w:rFonts w:hint="eastAsia"/>
        </w:rPr>
        <w:t>（</w:t>
      </w:r>
      <w:r>
        <w:rPr>
          <w:rFonts w:hint="eastAsia"/>
        </w:rPr>
        <w:t>3,611</w:t>
      </w:r>
      <w:r>
        <w:rPr>
          <w:rFonts w:hint="eastAsia"/>
        </w:rPr>
        <w:t>人）</w:t>
      </w:r>
      <w:r>
        <w:rPr>
          <w:rFonts w:hint="default"/>
        </w:rPr>
        <w:t>における</w:t>
      </w:r>
      <w:r>
        <w:rPr>
          <w:rFonts w:hint="eastAsia"/>
        </w:rPr>
        <w:t>該当者</w:t>
      </w:r>
      <w:r>
        <w:rPr>
          <w:rFonts w:hint="default"/>
        </w:rPr>
        <w:t>割合は</w:t>
      </w:r>
      <w:r>
        <w:rPr>
          <w:rFonts w:hint="default"/>
        </w:rPr>
        <w:t>18.7%</w:t>
      </w:r>
      <w:r>
        <w:rPr>
          <w:rFonts w:hint="eastAsia"/>
        </w:rPr>
        <w:t>で、該当者割合は</w:t>
      </w:r>
      <w:r>
        <w:rPr>
          <w:rFonts w:hint="default"/>
        </w:rPr>
        <w:t>国・県より低い</w:t>
      </w:r>
      <w:r>
        <w:rPr>
          <w:rFonts w:hint="eastAsia"/>
        </w:rPr>
        <w:t>。男女別にみると、男性では特定健診受診者の</w:t>
      </w:r>
      <w:r>
        <w:rPr>
          <w:rFonts w:hint="default"/>
        </w:rPr>
        <w:t>28.7%</w:t>
      </w:r>
      <w:r>
        <w:rPr>
          <w:rFonts w:hint="eastAsia"/>
        </w:rPr>
        <w:t>が、女性では</w:t>
      </w:r>
      <w:r>
        <w:rPr>
          <w:rFonts w:hint="default"/>
        </w:rPr>
        <w:t>10.1%</w:t>
      </w:r>
      <w:r>
        <w:rPr>
          <w:rFonts w:hint="eastAsia"/>
        </w:rPr>
        <w:t>がメタボ該当者となっている。</w:t>
      </w:r>
    </w:p>
    <w:p>
      <w:pPr>
        <w:pStyle w:val="39"/>
        <w:ind w:firstLine="200"/>
        <w:rPr>
          <w:rFonts w:hint="default"/>
        </w:rPr>
      </w:pPr>
      <w:r>
        <w:rPr>
          <w:rFonts w:hint="eastAsia"/>
        </w:rPr>
        <w:t>メタボ予備群該当者は</w:t>
      </w:r>
      <w:r>
        <w:rPr>
          <w:rFonts w:hint="default"/>
        </w:rPr>
        <w:t>452</w:t>
      </w:r>
      <w:r>
        <w:rPr>
          <w:rFonts w:hint="default"/>
        </w:rPr>
        <w:t>人</w:t>
      </w:r>
      <w:r>
        <w:rPr>
          <w:rFonts w:hint="eastAsia"/>
        </w:rPr>
        <w:t>で特定健診</w:t>
      </w:r>
      <w:r>
        <w:rPr>
          <w:rFonts w:hint="default"/>
        </w:rPr>
        <w:t>受診者における</w:t>
      </w:r>
      <w:r>
        <w:rPr>
          <w:rFonts w:hint="eastAsia"/>
        </w:rPr>
        <w:t>該当者</w:t>
      </w:r>
      <w:r>
        <w:rPr>
          <w:rFonts w:hint="default"/>
        </w:rPr>
        <w:t>割合は</w:t>
      </w:r>
      <w:r>
        <w:rPr>
          <w:rFonts w:hint="default"/>
        </w:rPr>
        <w:t>12.5%</w:t>
      </w:r>
      <w:r>
        <w:rPr>
          <w:rFonts w:hint="eastAsia"/>
        </w:rPr>
        <w:t>となっており、該当者割合は</w:t>
      </w:r>
      <w:r>
        <w:rPr>
          <w:rFonts w:hint="default"/>
        </w:rPr>
        <w:t>国・県より高い</w:t>
      </w:r>
      <w:r>
        <w:rPr>
          <w:rFonts w:hint="eastAsia"/>
        </w:rPr>
        <w:t>。男女別にみると、男性では特定健診受診者の</w:t>
      </w:r>
      <w:r>
        <w:rPr>
          <w:rFonts w:hint="default"/>
        </w:rPr>
        <w:t>19.2%</w:t>
      </w:r>
      <w:r>
        <w:rPr>
          <w:rFonts w:hint="eastAsia"/>
        </w:rPr>
        <w:t>が、女性では</w:t>
      </w:r>
      <w:r>
        <w:rPr>
          <w:rFonts w:hint="default"/>
        </w:rPr>
        <w:t>6.7%</w:t>
      </w:r>
      <w:r>
        <w:rPr>
          <w:rFonts w:hint="eastAsia"/>
        </w:rPr>
        <w:t>がメタボ予備群該当者となっている。</w:t>
      </w:r>
    </w:p>
    <w:p>
      <w:pPr>
        <w:pStyle w:val="39"/>
        <w:ind w:firstLine="200"/>
        <w:rPr>
          <w:rFonts w:hint="default"/>
        </w:rPr>
      </w:pPr>
      <w:r>
        <w:rPr>
          <w:rFonts w:hint="eastAsia"/>
        </w:rPr>
        <w:t>なお、メタボ該当者及びメタボ予備群該当者の定義は、下表（</w:t>
      </w:r>
      <w:r>
        <w:rPr>
          <w:rFonts w:hint="default"/>
        </w:rPr>
        <w:t>メタボリックシンドローム判定値の</w:t>
      </w:r>
      <w:r>
        <w:rPr>
          <w:rFonts w:hint="eastAsia"/>
        </w:rPr>
        <w:t>定義）のとおりである。</w:t>
      </w:r>
    </w:p>
    <w:p>
      <w:pPr>
        <w:pStyle w:val="0"/>
        <w:rPr>
          <w:rFonts w:hint="default"/>
        </w:rPr>
      </w:pPr>
    </w:p>
    <w:p>
      <w:pPr>
        <w:pStyle w:val="38"/>
        <w:rPr>
          <w:rFonts w:hint="default"/>
        </w:rPr>
      </w:pPr>
      <w:bookmarkStart w:id="64" w:name="_Ref122539795"/>
      <w:bookmarkStart w:id="65" w:name="_Toc12493684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64"/>
      <w:r>
        <w:rPr>
          <w:rFonts w:hint="default"/>
        </w:rPr>
        <w:t>：特定健診受診者におけるメタボ該当者</w:t>
      </w:r>
      <w:r>
        <w:rPr>
          <w:rFonts w:hint="eastAsia"/>
        </w:rPr>
        <w:t>数・メタボ</w:t>
      </w:r>
      <w:r>
        <w:rPr>
          <w:rFonts w:hint="default"/>
        </w:rPr>
        <w:t>予備群該当者</w:t>
      </w:r>
      <w:r>
        <w:rPr>
          <w:rFonts w:hint="eastAsia"/>
        </w:rPr>
        <w:t>数</w:t>
      </w:r>
      <w:bookmarkEnd w:id="65"/>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476"/>
        <w:gridCol w:w="1050"/>
        <w:gridCol w:w="1569"/>
        <w:gridCol w:w="1502"/>
        <w:gridCol w:w="1592"/>
        <w:gridCol w:w="1592"/>
        <w:gridCol w:w="1594"/>
      </w:tblGrid>
      <w:tr>
        <w:trPr>
          <w:trHeight w:val="25" w:hRule="atLeast"/>
        </w:trPr>
        <w:tc>
          <w:tcPr>
            <w:tcW w:w="814" w:type="pct"/>
            <w:gridSpan w:val="2"/>
            <w:vMerge w:val="restart"/>
            <w:shd w:val="clear" w:color="auto" w:fill="CCD6FF"/>
            <w:tcMar>
              <w:top w:w="28" w:type="dxa"/>
              <w:left w:w="28" w:type="dxa"/>
              <w:bottom w:w="28" w:type="dxa"/>
              <w:right w:w="28" w:type="dxa"/>
            </w:tcMar>
            <w:vAlign w:val="center"/>
          </w:tcPr>
          <w:p>
            <w:pPr>
              <w:pStyle w:val="0"/>
              <w:rPr>
                <w:rFonts w:hint="default"/>
              </w:rPr>
            </w:pPr>
          </w:p>
        </w:tc>
        <w:tc>
          <w:tcPr>
            <w:tcW w:w="1638" w:type="pct"/>
            <w:gridSpan w:val="2"/>
            <w:shd w:val="clear" w:color="auto" w:fill="CCD6FF"/>
            <w:tcMar>
              <w:top w:w="28" w:type="dxa"/>
              <w:left w:w="28" w:type="dxa"/>
              <w:bottom w:w="28" w:type="dxa"/>
              <w:right w:w="28" w:type="dxa"/>
            </w:tcMar>
            <w:vAlign w:val="center"/>
          </w:tcPr>
          <w:p>
            <w:pPr>
              <w:pStyle w:val="0"/>
              <w:jc w:val="center"/>
              <w:rPr>
                <w:rFonts w:hint="default"/>
              </w:rPr>
            </w:pPr>
            <w:r>
              <w:rPr>
                <w:rFonts w:hint="default"/>
                <w:b w:val="1"/>
              </w:rPr>
              <w:t>八街市</w:t>
            </w:r>
          </w:p>
        </w:tc>
        <w:tc>
          <w:tcPr>
            <w:tcW w:w="849"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国</w:t>
            </w:r>
          </w:p>
        </w:tc>
        <w:tc>
          <w:tcPr>
            <w:tcW w:w="849"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県</w:t>
            </w:r>
          </w:p>
        </w:tc>
        <w:tc>
          <w:tcPr>
            <w:tcW w:w="85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同規模</w:t>
            </w:r>
          </w:p>
        </w:tc>
      </w:tr>
      <w:tr>
        <w:trPr>
          <w:trHeight w:val="20" w:hRule="atLeast"/>
        </w:trPr>
        <w:tc>
          <w:tcPr>
            <w:tcW w:w="814" w:type="pct"/>
            <w:gridSpan w:val="2"/>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837"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対象者数（人）</w:t>
            </w:r>
          </w:p>
        </w:tc>
        <w:tc>
          <w:tcPr>
            <w:tcW w:w="801"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割合</w:t>
            </w:r>
          </w:p>
        </w:tc>
        <w:tc>
          <w:tcPr>
            <w:tcW w:w="849"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割合</w:t>
            </w:r>
          </w:p>
        </w:tc>
        <w:tc>
          <w:tcPr>
            <w:tcW w:w="849"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割合</w:t>
            </w:r>
          </w:p>
        </w:tc>
        <w:tc>
          <w:tcPr>
            <w:tcW w:w="850"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割合</w:t>
            </w:r>
          </w:p>
        </w:tc>
      </w:tr>
      <w:tr>
        <w:trPr>
          <w:trHeight w:val="20" w:hRule="atLeast"/>
        </w:trPr>
        <w:tc>
          <w:tcPr>
            <w:tcW w:w="814" w:type="pct"/>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メタボ</w:t>
            </w:r>
            <w:r>
              <w:rPr>
                <w:rFonts w:hint="default"/>
              </w:rPr>
              <w:t>該当者</w:t>
            </w:r>
          </w:p>
        </w:tc>
        <w:tc>
          <w:tcPr>
            <w:tcW w:w="837" w:type="pct"/>
            <w:shd w:val="clear" w:color="auto" w:fill="auto"/>
            <w:tcMar>
              <w:top w:w="28" w:type="dxa"/>
              <w:left w:w="28" w:type="dxa"/>
              <w:bottom w:w="28" w:type="dxa"/>
              <w:right w:w="28" w:type="dxa"/>
            </w:tcMar>
            <w:vAlign w:val="center"/>
          </w:tcPr>
          <w:p>
            <w:pPr>
              <w:pStyle w:val="0"/>
              <w:jc w:val="right"/>
              <w:rPr>
                <w:rFonts w:hint="default"/>
              </w:rPr>
            </w:pPr>
            <w:r>
              <w:rPr>
                <w:rFonts w:hint="default"/>
              </w:rPr>
              <w:t>676</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18.7%</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20.6%</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20.3%</w:t>
            </w:r>
          </w:p>
        </w:tc>
        <w:tc>
          <w:tcPr>
            <w:tcW w:w="850" w:type="pct"/>
            <w:shd w:val="clear" w:color="auto" w:fill="auto"/>
            <w:tcMar>
              <w:top w:w="28" w:type="dxa"/>
              <w:left w:w="28" w:type="dxa"/>
              <w:bottom w:w="28" w:type="dxa"/>
              <w:right w:w="28" w:type="dxa"/>
            </w:tcMar>
            <w:vAlign w:val="center"/>
          </w:tcPr>
          <w:p>
            <w:pPr>
              <w:pStyle w:val="0"/>
              <w:jc w:val="right"/>
              <w:rPr>
                <w:rFonts w:hint="default"/>
              </w:rPr>
            </w:pPr>
            <w:r>
              <w:rPr>
                <w:rFonts w:hint="eastAsia"/>
              </w:rPr>
              <w:t>20.9%</w:t>
            </w:r>
          </w:p>
        </w:tc>
      </w:tr>
      <w:tr>
        <w:trPr>
          <w:trHeight w:val="20" w:hRule="atLeast"/>
        </w:trPr>
        <w:tc>
          <w:tcPr>
            <w:tcW w:w="254"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56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男性</w:t>
            </w:r>
          </w:p>
        </w:tc>
        <w:tc>
          <w:tcPr>
            <w:tcW w:w="837" w:type="pct"/>
            <w:shd w:val="clear" w:color="auto" w:fill="auto"/>
            <w:tcMar>
              <w:top w:w="28" w:type="dxa"/>
              <w:left w:w="28" w:type="dxa"/>
              <w:bottom w:w="28" w:type="dxa"/>
              <w:right w:w="28" w:type="dxa"/>
            </w:tcMar>
            <w:vAlign w:val="center"/>
          </w:tcPr>
          <w:p>
            <w:pPr>
              <w:pStyle w:val="0"/>
              <w:jc w:val="right"/>
              <w:rPr>
                <w:rFonts w:hint="default"/>
              </w:rPr>
            </w:pPr>
            <w:r>
              <w:rPr>
                <w:rFonts w:hint="default"/>
              </w:rPr>
              <w:t>480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28.7%</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32.9%</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32.9%</w:t>
            </w:r>
          </w:p>
        </w:tc>
        <w:tc>
          <w:tcPr>
            <w:tcW w:w="850" w:type="pct"/>
            <w:shd w:val="clear" w:color="auto" w:fill="auto"/>
            <w:tcMar>
              <w:top w:w="28" w:type="dxa"/>
              <w:left w:w="28" w:type="dxa"/>
              <w:bottom w:w="28" w:type="dxa"/>
              <w:right w:w="28" w:type="dxa"/>
            </w:tcMar>
            <w:vAlign w:val="center"/>
          </w:tcPr>
          <w:p>
            <w:pPr>
              <w:pStyle w:val="0"/>
              <w:jc w:val="right"/>
              <w:rPr>
                <w:rFonts w:hint="default"/>
              </w:rPr>
            </w:pPr>
            <w:r>
              <w:rPr>
                <w:rFonts w:hint="eastAsia"/>
              </w:rPr>
              <w:t>32.8%</w:t>
            </w:r>
          </w:p>
        </w:tc>
      </w:tr>
      <w:tr>
        <w:trPr>
          <w:trHeight w:val="20" w:hRule="atLeast"/>
        </w:trPr>
        <w:tc>
          <w:tcPr>
            <w:tcW w:w="254"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560"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女性</w:t>
            </w:r>
          </w:p>
        </w:tc>
        <w:tc>
          <w:tcPr>
            <w:tcW w:w="837" w:type="pct"/>
            <w:shd w:val="clear" w:color="auto" w:fill="auto"/>
            <w:tcMar>
              <w:top w:w="28" w:type="dxa"/>
              <w:left w:w="28" w:type="dxa"/>
              <w:bottom w:w="28" w:type="dxa"/>
              <w:right w:w="28" w:type="dxa"/>
            </w:tcMar>
            <w:vAlign w:val="center"/>
          </w:tcPr>
          <w:p>
            <w:pPr>
              <w:pStyle w:val="0"/>
              <w:jc w:val="right"/>
              <w:rPr>
                <w:rFonts w:hint="default"/>
              </w:rPr>
            </w:pPr>
            <w:r>
              <w:rPr>
                <w:rFonts w:hint="default"/>
              </w:rPr>
              <w:t>196</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10.1%</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11.3%</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11.2%</w:t>
            </w:r>
          </w:p>
        </w:tc>
        <w:tc>
          <w:tcPr>
            <w:tcW w:w="850" w:type="pct"/>
            <w:shd w:val="clear" w:color="auto" w:fill="auto"/>
            <w:tcMar>
              <w:top w:w="28" w:type="dxa"/>
              <w:left w:w="28" w:type="dxa"/>
              <w:bottom w:w="28" w:type="dxa"/>
              <w:right w:w="28" w:type="dxa"/>
            </w:tcMar>
            <w:vAlign w:val="center"/>
          </w:tcPr>
          <w:p>
            <w:pPr>
              <w:pStyle w:val="0"/>
              <w:jc w:val="right"/>
              <w:rPr>
                <w:rFonts w:hint="default"/>
              </w:rPr>
            </w:pPr>
            <w:r>
              <w:rPr>
                <w:rFonts w:hint="eastAsia"/>
              </w:rPr>
              <w:t>11.5%</w:t>
            </w:r>
          </w:p>
        </w:tc>
      </w:tr>
      <w:tr>
        <w:trPr>
          <w:trHeight w:val="20" w:hRule="atLeast"/>
        </w:trPr>
        <w:tc>
          <w:tcPr>
            <w:tcW w:w="814" w:type="pct"/>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メタボ</w:t>
            </w:r>
            <w:r>
              <w:rPr>
                <w:rFonts w:hint="default"/>
              </w:rPr>
              <w:t>予備群</w:t>
            </w:r>
            <w:r>
              <w:rPr>
                <w:rFonts w:hint="eastAsia"/>
              </w:rPr>
              <w:t>該当者</w:t>
            </w:r>
          </w:p>
        </w:tc>
        <w:tc>
          <w:tcPr>
            <w:tcW w:w="837" w:type="pct"/>
            <w:shd w:val="clear" w:color="auto" w:fill="auto"/>
            <w:tcMar>
              <w:top w:w="28" w:type="dxa"/>
              <w:left w:w="28" w:type="dxa"/>
              <w:bottom w:w="28" w:type="dxa"/>
              <w:right w:w="28" w:type="dxa"/>
            </w:tcMar>
            <w:vAlign w:val="center"/>
          </w:tcPr>
          <w:p>
            <w:pPr>
              <w:pStyle w:val="0"/>
              <w:jc w:val="right"/>
              <w:rPr>
                <w:rFonts w:hint="default"/>
              </w:rPr>
            </w:pPr>
            <w:r>
              <w:rPr>
                <w:rFonts w:hint="default"/>
              </w:rPr>
              <w:t>452</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12.5%</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11.1%</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11.3%</w:t>
            </w:r>
          </w:p>
        </w:tc>
        <w:tc>
          <w:tcPr>
            <w:tcW w:w="850" w:type="pct"/>
            <w:shd w:val="clear" w:color="auto" w:fill="auto"/>
            <w:tcMar>
              <w:top w:w="28" w:type="dxa"/>
              <w:left w:w="28" w:type="dxa"/>
              <w:bottom w:w="28" w:type="dxa"/>
              <w:right w:w="28" w:type="dxa"/>
            </w:tcMar>
            <w:vAlign w:val="center"/>
          </w:tcPr>
          <w:p>
            <w:pPr>
              <w:pStyle w:val="0"/>
              <w:jc w:val="right"/>
              <w:rPr>
                <w:rFonts w:hint="default"/>
              </w:rPr>
            </w:pPr>
            <w:r>
              <w:rPr>
                <w:rFonts w:hint="eastAsia"/>
              </w:rPr>
              <w:t>11.0%</w:t>
            </w:r>
          </w:p>
        </w:tc>
      </w:tr>
      <w:tr>
        <w:trPr>
          <w:trHeight w:val="20" w:hRule="atLeast"/>
        </w:trPr>
        <w:tc>
          <w:tcPr>
            <w:tcW w:w="254"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560"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男性</w:t>
            </w:r>
          </w:p>
        </w:tc>
        <w:tc>
          <w:tcPr>
            <w:tcW w:w="837" w:type="pct"/>
            <w:shd w:val="clear" w:color="auto" w:fill="auto"/>
            <w:tcMar>
              <w:top w:w="28" w:type="dxa"/>
              <w:left w:w="28" w:type="dxa"/>
              <w:bottom w:w="28" w:type="dxa"/>
              <w:right w:w="28" w:type="dxa"/>
            </w:tcMar>
            <w:vAlign w:val="center"/>
          </w:tcPr>
          <w:p>
            <w:pPr>
              <w:pStyle w:val="0"/>
              <w:jc w:val="right"/>
              <w:rPr>
                <w:rFonts w:hint="default"/>
              </w:rPr>
            </w:pPr>
            <w:r>
              <w:rPr>
                <w:rFonts w:hint="default"/>
              </w:rPr>
              <w:t>322</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19.2%</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17.8%</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18.3%</w:t>
            </w:r>
          </w:p>
        </w:tc>
        <w:tc>
          <w:tcPr>
            <w:tcW w:w="850" w:type="pct"/>
            <w:shd w:val="clear" w:color="auto" w:fill="auto"/>
            <w:tcMar>
              <w:top w:w="28" w:type="dxa"/>
              <w:left w:w="28" w:type="dxa"/>
              <w:bottom w:w="28" w:type="dxa"/>
              <w:right w:w="28" w:type="dxa"/>
            </w:tcMar>
            <w:vAlign w:val="center"/>
          </w:tcPr>
          <w:p>
            <w:pPr>
              <w:pStyle w:val="0"/>
              <w:jc w:val="right"/>
              <w:rPr>
                <w:rFonts w:hint="default"/>
              </w:rPr>
            </w:pPr>
            <w:r>
              <w:rPr>
                <w:rFonts w:hint="eastAsia"/>
              </w:rPr>
              <w:t>17.5%</w:t>
            </w:r>
          </w:p>
        </w:tc>
      </w:tr>
      <w:tr>
        <w:trPr>
          <w:trHeight w:val="20" w:hRule="atLeast"/>
        </w:trPr>
        <w:tc>
          <w:tcPr>
            <w:tcW w:w="254" w:type="pct"/>
            <w:vMerge w:val="continue"/>
            <w:shd w:val="clear" w:color="auto" w:fill="auto"/>
            <w:tcMar>
              <w:top w:w="28" w:type="dxa"/>
              <w:left w:w="28" w:type="dxa"/>
              <w:bottom w:w="28" w:type="dxa"/>
              <w:right w:w="28" w:type="dxa"/>
            </w:tcMar>
            <w:vAlign w:val="center"/>
          </w:tcPr>
          <w:p>
            <w:pPr>
              <w:pStyle w:val="0"/>
              <w:rPr>
                <w:rFonts w:hint="default"/>
              </w:rPr>
            </w:pPr>
          </w:p>
        </w:tc>
        <w:tc>
          <w:tcPr>
            <w:tcW w:w="560" w:type="pct"/>
            <w:shd w:val="clear" w:color="auto" w:fill="auto"/>
            <w:tcMar>
              <w:top w:w="28" w:type="dxa"/>
              <w:left w:w="28" w:type="dxa"/>
              <w:bottom w:w="28" w:type="dxa"/>
              <w:right w:w="28" w:type="dxa"/>
            </w:tcMar>
            <w:vAlign w:val="center"/>
          </w:tcPr>
          <w:p>
            <w:pPr>
              <w:pStyle w:val="0"/>
              <w:rPr>
                <w:rFonts w:hint="default"/>
              </w:rPr>
            </w:pPr>
            <w:r>
              <w:rPr>
                <w:rFonts w:hint="default"/>
              </w:rPr>
              <w:t>女性</w:t>
            </w:r>
          </w:p>
        </w:tc>
        <w:tc>
          <w:tcPr>
            <w:tcW w:w="837" w:type="pct"/>
            <w:shd w:val="clear" w:color="auto" w:fill="auto"/>
            <w:tcMar>
              <w:top w:w="28" w:type="dxa"/>
              <w:left w:w="28" w:type="dxa"/>
              <w:bottom w:w="28" w:type="dxa"/>
              <w:right w:w="28" w:type="dxa"/>
            </w:tcMar>
            <w:vAlign w:val="center"/>
          </w:tcPr>
          <w:p>
            <w:pPr>
              <w:pStyle w:val="0"/>
              <w:jc w:val="right"/>
              <w:rPr>
                <w:rFonts w:hint="default"/>
              </w:rPr>
            </w:pPr>
            <w:r>
              <w:rPr>
                <w:rFonts w:hint="default"/>
              </w:rPr>
              <w:t>130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6.7%</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6.0%</w:t>
            </w:r>
          </w:p>
        </w:tc>
        <w:tc>
          <w:tcPr>
            <w:tcW w:w="849" w:type="pct"/>
            <w:shd w:val="clear" w:color="auto" w:fill="auto"/>
            <w:tcMar>
              <w:top w:w="28" w:type="dxa"/>
              <w:left w:w="28" w:type="dxa"/>
              <w:bottom w:w="28" w:type="dxa"/>
              <w:right w:w="28" w:type="dxa"/>
            </w:tcMar>
            <w:vAlign w:val="center"/>
          </w:tcPr>
          <w:p>
            <w:pPr>
              <w:pStyle w:val="0"/>
              <w:jc w:val="right"/>
              <w:rPr>
                <w:rFonts w:hint="default"/>
              </w:rPr>
            </w:pPr>
            <w:r>
              <w:rPr>
                <w:rFonts w:hint="eastAsia"/>
              </w:rPr>
              <w:t>6.2%</w:t>
            </w:r>
          </w:p>
        </w:tc>
        <w:tc>
          <w:tcPr>
            <w:tcW w:w="850" w:type="pct"/>
            <w:shd w:val="clear" w:color="auto" w:fill="auto"/>
            <w:tcMar>
              <w:top w:w="28" w:type="dxa"/>
              <w:left w:w="28" w:type="dxa"/>
              <w:bottom w:w="28" w:type="dxa"/>
              <w:right w:w="28" w:type="dxa"/>
            </w:tcMar>
            <w:vAlign w:val="center"/>
          </w:tcPr>
          <w:p>
            <w:pPr>
              <w:pStyle w:val="0"/>
              <w:jc w:val="right"/>
              <w:rPr>
                <w:rFonts w:hint="default"/>
              </w:rPr>
            </w:pPr>
            <w:r>
              <w:rPr>
                <w:rFonts w:hint="eastAsia"/>
              </w:rPr>
              <w:t>6.0%</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eastAsia"/>
        </w:rPr>
        <w:t xml:space="preserve"> </w:t>
      </w:r>
      <w:r>
        <w:rPr>
          <w:rFonts w:hint="eastAsia"/>
        </w:rPr>
        <w:t>令和</w:t>
      </w:r>
      <w:r>
        <w:rPr>
          <w:rFonts w:hint="eastAsia"/>
        </w:rPr>
        <w:t>4</w:t>
      </w:r>
      <w:r>
        <w:rPr>
          <w:rFonts w:hint="eastAsia"/>
        </w:rPr>
        <w:t>年度</w:t>
      </w:r>
      <w:r>
        <w:rPr>
          <w:rFonts w:hint="default"/>
        </w:rPr>
        <w:t xml:space="preserve"> </w:t>
      </w:r>
      <w:r>
        <w:rPr>
          <w:rFonts w:hint="default"/>
        </w:rPr>
        <w:t>累計</w:t>
      </w:r>
    </w:p>
    <w:p>
      <w:pPr>
        <w:pStyle w:val="0"/>
        <w:rPr>
          <w:rFonts w:hint="default"/>
        </w:rPr>
      </w:pPr>
    </w:p>
    <w:p>
      <w:pPr>
        <w:pStyle w:val="38"/>
        <w:rPr>
          <w:rFonts w:hint="default"/>
        </w:rPr>
      </w:pPr>
      <w:r>
        <w:rPr>
          <w:rFonts w:hint="default"/>
        </w:rPr>
        <w:t>参考：メタボリックシンドローム判定値の定義</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7"/>
        <w:gridCol w:w="1568"/>
        <w:gridCol w:w="6240"/>
      </w:tblGrid>
      <w:tr>
        <w:trPr>
          <w:trHeight w:val="240" w:hRule="atLeast"/>
        </w:trPr>
        <w:tc>
          <w:tcPr>
            <w:tcW w:w="836"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widowControl w:val="0"/>
              <w:spacing w:line="240" w:lineRule="auto"/>
              <w:jc w:val="both"/>
              <w:rPr>
                <w:rFonts w:hint="default"/>
                <w:b w:val="1"/>
                <w:sz w:val="14"/>
              </w:rPr>
            </w:pPr>
            <w:r>
              <w:rPr>
                <w:rFonts w:hint="eastAsia"/>
                <w:b w:val="1"/>
                <w:sz w:val="14"/>
              </w:rPr>
              <w:t>メタボ</w:t>
            </w:r>
            <w:r>
              <w:rPr>
                <w:rFonts w:hint="default"/>
                <w:b w:val="1"/>
                <w:sz w:val="14"/>
              </w:rPr>
              <w:t>該当者</w:t>
            </w:r>
          </w:p>
        </w:tc>
        <w:tc>
          <w:tcPr>
            <w:tcW w:w="836" w:type="pct"/>
            <w:vMerge w:val="restart"/>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腹囲</w:t>
            </w:r>
          </w:p>
          <w:p>
            <w:pPr>
              <w:pStyle w:val="0"/>
              <w:widowControl w:val="0"/>
              <w:spacing w:line="240" w:lineRule="auto"/>
              <w:jc w:val="both"/>
              <w:rPr>
                <w:rFonts w:hint="default"/>
                <w:sz w:val="14"/>
              </w:rPr>
            </w:pPr>
            <w:r>
              <w:rPr>
                <w:rFonts w:hint="default"/>
                <w:sz w:val="14"/>
              </w:rPr>
              <w:t>85</w:t>
            </w:r>
            <w:r>
              <w:rPr>
                <w:rFonts w:hint="default"/>
                <w:sz w:val="14"/>
              </w:rPr>
              <w:t>㎝（男性）</w:t>
            </w:r>
          </w:p>
          <w:p>
            <w:pPr>
              <w:pStyle w:val="0"/>
              <w:widowControl w:val="0"/>
              <w:spacing w:line="240" w:lineRule="auto"/>
              <w:jc w:val="both"/>
              <w:rPr>
                <w:rFonts w:hint="default"/>
                <w:sz w:val="14"/>
              </w:rPr>
            </w:pPr>
            <w:r>
              <w:rPr>
                <w:rFonts w:hint="default"/>
                <w:sz w:val="14"/>
              </w:rPr>
              <w:t>90</w:t>
            </w:r>
            <w:r>
              <w:rPr>
                <w:rFonts w:hint="default"/>
                <w:sz w:val="14"/>
              </w:rPr>
              <w:t>㎝（女性）以上</w:t>
            </w:r>
          </w:p>
        </w:tc>
        <w:tc>
          <w:tcPr>
            <w:tcW w:w="3328" w:type="pct"/>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以下の追加リスク</w:t>
            </w:r>
            <w:r>
              <w:rPr>
                <w:rFonts w:hint="eastAsia"/>
                <w:sz w:val="14"/>
              </w:rPr>
              <w:t>のうち</w:t>
            </w:r>
            <w:r>
              <w:rPr>
                <w:rFonts w:hint="default"/>
                <w:sz w:val="14"/>
              </w:rPr>
              <w:t>2</w:t>
            </w:r>
            <w:r>
              <w:rPr>
                <w:rFonts w:hint="eastAsia"/>
                <w:sz w:val="14"/>
              </w:rPr>
              <w:t>つ</w:t>
            </w:r>
            <w:r>
              <w:rPr>
                <w:rFonts w:hint="default"/>
                <w:sz w:val="14"/>
              </w:rPr>
              <w:t>以上該当</w:t>
            </w:r>
          </w:p>
        </w:tc>
      </w:tr>
      <w:tr>
        <w:trPr>
          <w:trHeight w:val="240" w:hRule="atLeast"/>
        </w:trPr>
        <w:tc>
          <w:tcPr>
            <w:tcW w:w="836" w:type="pct"/>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widowControl w:val="0"/>
              <w:spacing w:line="240" w:lineRule="auto"/>
              <w:jc w:val="both"/>
              <w:rPr>
                <w:rFonts w:hint="default"/>
                <w:b w:val="1"/>
                <w:sz w:val="14"/>
              </w:rPr>
            </w:pPr>
            <w:r>
              <w:rPr>
                <w:rFonts w:hint="eastAsia"/>
                <w:b w:val="1"/>
                <w:sz w:val="14"/>
              </w:rPr>
              <w:t>メタボ</w:t>
            </w:r>
            <w:r>
              <w:rPr>
                <w:rFonts w:hint="default"/>
                <w:b w:val="1"/>
                <w:sz w:val="14"/>
              </w:rPr>
              <w:t>予備群</w:t>
            </w:r>
            <w:r>
              <w:rPr>
                <w:rFonts w:hint="eastAsia"/>
                <w:b w:val="1"/>
                <w:sz w:val="14"/>
              </w:rPr>
              <w:t>該当者</w:t>
            </w:r>
          </w:p>
        </w:tc>
        <w:tc>
          <w:tcPr>
            <w:tcW w:w="836"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jc w:val="both"/>
              <w:rPr>
                <w:rFonts w:hint="default"/>
                <w:sz w:val="14"/>
              </w:rPr>
            </w:pPr>
          </w:p>
        </w:tc>
        <w:tc>
          <w:tcPr>
            <w:tcW w:w="3328" w:type="pct"/>
            <w:tcBorders>
              <w:top w:val="none" w:color="auto" w:sz="0" w:space="0"/>
              <w:left w:val="none" w:color="auto" w:sz="0" w:space="0"/>
              <w:bottom w:val="doub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以下の追加リスク</w:t>
            </w:r>
            <w:r>
              <w:rPr>
                <w:rFonts w:hint="eastAsia"/>
                <w:sz w:val="14"/>
              </w:rPr>
              <w:t>のうち</w:t>
            </w:r>
            <w:r>
              <w:rPr>
                <w:rFonts w:hint="default"/>
                <w:sz w:val="14"/>
              </w:rPr>
              <w:t>1</w:t>
            </w:r>
            <w:r>
              <w:rPr>
                <w:rFonts w:hint="eastAsia"/>
                <w:sz w:val="14"/>
              </w:rPr>
              <w:t>つ</w:t>
            </w:r>
            <w:r>
              <w:rPr>
                <w:rFonts w:hint="default"/>
                <w:sz w:val="14"/>
              </w:rPr>
              <w:t>該当</w:t>
            </w:r>
          </w:p>
        </w:tc>
      </w:tr>
      <w:tr>
        <w:trPr>
          <w:trHeight w:val="20" w:hRule="atLeast"/>
        </w:trPr>
        <w:tc>
          <w:tcPr>
            <w:tcW w:w="836"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widowControl w:val="0"/>
              <w:spacing w:line="240" w:lineRule="auto"/>
              <w:jc w:val="both"/>
              <w:rPr>
                <w:rFonts w:hint="default"/>
                <w:b w:val="1"/>
                <w:sz w:val="14"/>
              </w:rPr>
            </w:pPr>
            <w:r>
              <w:rPr>
                <w:rFonts w:hint="default"/>
                <w:b w:val="1"/>
                <w:sz w:val="14"/>
              </w:rPr>
              <w:t>追加リスク</w:t>
            </w:r>
          </w:p>
        </w:tc>
        <w:tc>
          <w:tcPr>
            <w:tcW w:w="836" w:type="pct"/>
            <w:tcBorders>
              <w:top w:val="double" w:color="auto"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血糖</w:t>
            </w:r>
          </w:p>
        </w:tc>
        <w:tc>
          <w:tcPr>
            <w:tcW w:w="3328" w:type="pct"/>
            <w:tcBorders>
              <w:top w:val="double" w:color="auto"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空腹時血糖</w:t>
            </w:r>
            <w:r>
              <w:rPr>
                <w:rFonts w:hint="default"/>
                <w:sz w:val="14"/>
              </w:rPr>
              <w:t>110mg/dL</w:t>
            </w:r>
            <w:r>
              <w:rPr>
                <w:rFonts w:hint="default"/>
                <w:sz w:val="14"/>
              </w:rPr>
              <w:t>以上</w:t>
            </w:r>
            <w:r>
              <w:rPr>
                <w:rFonts w:hint="eastAsia"/>
                <w:sz w:val="14"/>
              </w:rPr>
              <w:t>（空腹時血糖の結果値が存在しない場合、</w:t>
            </w:r>
            <w:r>
              <w:rPr>
                <w:rFonts w:hint="default"/>
                <w:sz w:val="14"/>
              </w:rPr>
              <w:t>HbA1c 6.0%</w:t>
            </w:r>
            <w:r>
              <w:rPr>
                <w:rFonts w:hint="default"/>
                <w:sz w:val="14"/>
              </w:rPr>
              <w:t>以上）</w:t>
            </w:r>
          </w:p>
        </w:tc>
      </w:tr>
      <w:tr>
        <w:trPr>
          <w:trHeight w:val="20" w:hRule="atLeast"/>
        </w:trPr>
        <w:tc>
          <w:tcPr>
            <w:tcW w:w="836" w:type="pct"/>
            <w:vMerge w:val="continue"/>
            <w:shd w:val="clear" w:color="auto" w:fill="EFEFEF"/>
            <w:tcMar>
              <w:top w:w="28" w:type="dxa"/>
              <w:left w:w="28" w:type="dxa"/>
              <w:bottom w:w="28" w:type="dxa"/>
              <w:right w:w="28" w:type="dxa"/>
            </w:tcMar>
            <w:vAlign w:val="center"/>
          </w:tcPr>
          <w:p>
            <w:pPr>
              <w:pStyle w:val="0"/>
              <w:widowControl w:val="0"/>
              <w:spacing w:line="240" w:lineRule="auto"/>
              <w:jc w:val="both"/>
              <w:rPr>
                <w:rFonts w:hint="default"/>
                <w:sz w:val="14"/>
              </w:rPr>
            </w:pPr>
          </w:p>
        </w:tc>
        <w:tc>
          <w:tcPr>
            <w:tcW w:w="836" w:type="pct"/>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血圧</w:t>
            </w:r>
          </w:p>
        </w:tc>
        <w:tc>
          <w:tcPr>
            <w:tcW w:w="3328" w:type="pct"/>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収縮期血圧</w:t>
            </w:r>
            <w:r>
              <w:rPr>
                <w:rFonts w:hint="default"/>
                <w:sz w:val="14"/>
              </w:rPr>
              <w:t>13</w:t>
            </w:r>
            <w:r>
              <w:rPr>
                <w:rFonts w:hint="eastAsia"/>
                <w:sz w:val="14"/>
              </w:rPr>
              <w:t>0</w:t>
            </w:r>
            <w:r>
              <w:rPr>
                <w:rFonts w:hint="default"/>
                <w:sz w:val="14"/>
              </w:rPr>
              <w:t>mmHg</w:t>
            </w:r>
            <w:r>
              <w:rPr>
                <w:rFonts w:hint="default"/>
                <w:sz w:val="14"/>
              </w:rPr>
              <w:t>以上</w:t>
            </w:r>
            <w:r>
              <w:rPr>
                <w:rFonts w:hint="eastAsia"/>
                <w:sz w:val="14"/>
              </w:rPr>
              <w:t>、</w:t>
            </w:r>
            <w:r>
              <w:rPr>
                <w:rFonts w:hint="default"/>
                <w:sz w:val="14"/>
              </w:rPr>
              <w:t>または拡張期血圧</w:t>
            </w:r>
            <w:r>
              <w:rPr>
                <w:rFonts w:hint="default"/>
                <w:sz w:val="14"/>
              </w:rPr>
              <w:t>85mmHg</w:t>
            </w:r>
            <w:r>
              <w:rPr>
                <w:rFonts w:hint="default"/>
                <w:sz w:val="14"/>
              </w:rPr>
              <w:t>以上</w:t>
            </w:r>
          </w:p>
        </w:tc>
      </w:tr>
      <w:tr>
        <w:trPr>
          <w:trHeight w:val="20" w:hRule="atLeast"/>
        </w:trPr>
        <w:tc>
          <w:tcPr>
            <w:tcW w:w="836" w:type="pct"/>
            <w:vMerge w:val="continue"/>
            <w:shd w:val="clear" w:color="auto" w:fill="EFEFEF"/>
            <w:tcMar>
              <w:top w:w="28" w:type="dxa"/>
              <w:left w:w="28" w:type="dxa"/>
              <w:bottom w:w="28" w:type="dxa"/>
              <w:right w:w="28" w:type="dxa"/>
            </w:tcMar>
            <w:vAlign w:val="center"/>
          </w:tcPr>
          <w:p>
            <w:pPr>
              <w:pStyle w:val="0"/>
              <w:widowControl w:val="0"/>
              <w:spacing w:line="240" w:lineRule="auto"/>
              <w:jc w:val="both"/>
              <w:rPr>
                <w:rFonts w:hint="default"/>
                <w:sz w:val="14"/>
              </w:rPr>
            </w:pPr>
          </w:p>
        </w:tc>
        <w:tc>
          <w:tcPr>
            <w:tcW w:w="836" w:type="pct"/>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脂質</w:t>
            </w:r>
          </w:p>
        </w:tc>
        <w:tc>
          <w:tcPr>
            <w:tcW w:w="3328" w:type="pct"/>
            <w:tcMar>
              <w:top w:w="28" w:type="dxa"/>
              <w:left w:w="28" w:type="dxa"/>
              <w:bottom w:w="28" w:type="dxa"/>
              <w:right w:w="28" w:type="dxa"/>
            </w:tcMar>
            <w:vAlign w:val="center"/>
          </w:tcPr>
          <w:p>
            <w:pPr>
              <w:pStyle w:val="0"/>
              <w:widowControl w:val="0"/>
              <w:spacing w:line="240" w:lineRule="auto"/>
              <w:jc w:val="both"/>
              <w:rPr>
                <w:rFonts w:hint="default"/>
                <w:sz w:val="14"/>
              </w:rPr>
            </w:pPr>
            <w:r>
              <w:rPr>
                <w:rFonts w:hint="default"/>
                <w:sz w:val="14"/>
              </w:rPr>
              <w:t>中性脂肪</w:t>
            </w:r>
            <w:r>
              <w:rPr>
                <w:rFonts w:hint="default"/>
                <w:sz w:val="14"/>
              </w:rPr>
              <w:t>150mg/dL</w:t>
            </w:r>
            <w:r>
              <w:rPr>
                <w:rFonts w:hint="default"/>
                <w:sz w:val="14"/>
              </w:rPr>
              <w:t>以上</w:t>
            </w:r>
            <w:r>
              <w:rPr>
                <w:rFonts w:hint="eastAsia"/>
                <w:sz w:val="14"/>
              </w:rPr>
              <w:t>、</w:t>
            </w:r>
            <w:r>
              <w:rPr>
                <w:rFonts w:hint="default"/>
                <w:sz w:val="14"/>
              </w:rPr>
              <w:t>または</w:t>
            </w:r>
            <w:r>
              <w:rPr>
                <w:rFonts w:hint="default"/>
                <w:sz w:val="14"/>
              </w:rPr>
              <w:t>HDL</w:t>
            </w:r>
            <w:r>
              <w:rPr>
                <w:rFonts w:hint="default"/>
                <w:sz w:val="14"/>
              </w:rPr>
              <w:t>コレステロール</w:t>
            </w:r>
            <w:r>
              <w:rPr>
                <w:rFonts w:hint="default"/>
                <w:sz w:val="14"/>
              </w:rPr>
              <w:t>40mg/dL</w:t>
            </w:r>
            <w:r>
              <w:rPr>
                <w:rFonts w:hint="default"/>
                <w:sz w:val="14"/>
              </w:rPr>
              <w:t>未満</w:t>
            </w:r>
          </w:p>
        </w:tc>
      </w:tr>
    </w:tbl>
    <w:p>
      <w:pPr>
        <w:pStyle w:val="44"/>
        <w:rPr>
          <w:rFonts w:hint="default"/>
        </w:rPr>
      </w:pPr>
      <w:r>
        <w:rPr>
          <w:rFonts w:hint="default"/>
        </w:rPr>
        <w:t>【出典】厚生労働省</w:t>
      </w:r>
      <w:r>
        <w:rPr>
          <w:rFonts w:hint="eastAsia"/>
        </w:rPr>
        <w:t xml:space="preserve"> </w:t>
      </w:r>
      <w:r>
        <w:rPr>
          <w:rFonts w:hint="default"/>
        </w:rPr>
        <w:t>メタボリックシンドロームの診断基準</w:t>
      </w:r>
    </w:p>
    <w:p>
      <w:pPr>
        <w:pStyle w:val="0"/>
        <w:rPr>
          <w:rFonts w:hint="default"/>
        </w:rPr>
      </w:pPr>
      <w:r>
        <w:rPr>
          <w:rFonts w:hint="default"/>
        </w:rPr>
        <w:br w:type="page"/>
      </w:r>
    </w:p>
    <w:p>
      <w:pPr>
        <w:pStyle w:val="4"/>
        <w:rPr>
          <w:rFonts w:hint="default"/>
        </w:rPr>
      </w:pPr>
      <w:r>
        <w:rPr>
          <w:rFonts w:hint="eastAsia"/>
        </w:rPr>
        <w:t>メタボ該当者数とメタボ予備群該当者数の推移</w:t>
      </w:r>
    </w:p>
    <w:p>
      <w:pPr>
        <w:pStyle w:val="39"/>
        <w:ind w:firstLine="200"/>
        <w:rPr>
          <w:rFonts w:hint="default"/>
        </w:rPr>
      </w:pPr>
      <w:r>
        <w:rPr>
          <w:rFonts w:hint="default"/>
        </w:rPr>
        <w:t>令和</w:t>
      </w:r>
      <w:r>
        <w:rPr>
          <w:rFonts w:hint="default"/>
        </w:rPr>
        <w:t>4</w:t>
      </w:r>
      <w:r>
        <w:rPr>
          <w:rFonts w:hint="default"/>
        </w:rPr>
        <w:t>年度</w:t>
      </w:r>
      <w:r>
        <w:rPr>
          <w:rFonts w:hint="eastAsia"/>
        </w:rPr>
        <w:t>と</w:t>
      </w:r>
      <w:r>
        <w:rPr>
          <w:rFonts w:hint="default"/>
        </w:rPr>
        <w:t>令和</w:t>
      </w:r>
      <w:r>
        <w:rPr>
          <w:rFonts w:hint="default"/>
        </w:rPr>
        <w:t>1</w:t>
      </w:r>
      <w:r>
        <w:rPr>
          <w:rFonts w:hint="default"/>
        </w:rPr>
        <w:t>年度</w:t>
      </w:r>
      <w:r>
        <w:rPr>
          <w:rFonts w:hint="eastAsia"/>
        </w:rPr>
        <w:t>の該当者割合を比較すると（</w:t>
      </w:r>
      <w:r>
        <w:rPr>
          <w:rFonts w:hint="eastAsia"/>
        </w:rPr>
        <w:fldChar w:fldCharType="begin"/>
      </w:r>
      <w:r>
        <w:rPr>
          <w:rFonts w:hint="eastAsia"/>
        </w:rPr>
        <w:instrText xml:space="preserve">REF _Ref122539820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3</w:t>
      </w:r>
      <w:r>
        <w:rPr>
          <w:rFonts w:hint="eastAsia"/>
        </w:rPr>
        <w:t>-</w:t>
      </w:r>
      <w:r>
        <w:rPr>
          <w:rFonts w:hint="default"/>
        </w:rPr>
        <w:t>2</w:t>
      </w:r>
      <w:r>
        <w:rPr>
          <w:rFonts w:hint="eastAsia"/>
        </w:rPr>
        <w:fldChar w:fldCharType="end"/>
      </w:r>
      <w:r>
        <w:rPr>
          <w:rFonts w:hint="default"/>
        </w:rPr>
        <w:t>）</w:t>
      </w:r>
      <w:r>
        <w:rPr>
          <w:rFonts w:hint="eastAsia"/>
        </w:rPr>
        <w:t>、</w:t>
      </w:r>
      <w:r>
        <w:rPr>
          <w:rFonts w:hint="default"/>
        </w:rPr>
        <w:t>特定健診受診者のうちメタボ該当者の割合は</w:t>
      </w:r>
      <w:r>
        <w:rPr>
          <w:rFonts w:hint="default"/>
        </w:rPr>
        <w:t>1.5</w:t>
      </w:r>
      <w:r>
        <w:rPr>
          <w:rFonts w:hint="default"/>
        </w:rPr>
        <w:t>ポイント増加しており、</w:t>
      </w:r>
      <w:r>
        <w:rPr>
          <w:rFonts w:hint="eastAsia"/>
        </w:rPr>
        <w:t>メタボ</w:t>
      </w:r>
      <w:r>
        <w:rPr>
          <w:rFonts w:hint="default"/>
        </w:rPr>
        <w:t>予備群該当者の割合は</w:t>
      </w:r>
      <w:r>
        <w:rPr>
          <w:rFonts w:hint="default"/>
        </w:rPr>
        <w:t>0.4</w:t>
      </w:r>
      <w:r>
        <w:rPr>
          <w:rFonts w:hint="default"/>
        </w:rPr>
        <w:t>ポイント減少している</w:t>
      </w:r>
      <w:r>
        <w:rPr>
          <w:rFonts w:hint="eastAsia"/>
        </w:rPr>
        <w:t>。</w:t>
      </w:r>
    </w:p>
    <w:p>
      <w:pPr>
        <w:pStyle w:val="0"/>
        <w:rPr>
          <w:rFonts w:hint="default"/>
        </w:rPr>
      </w:pPr>
    </w:p>
    <w:p>
      <w:pPr>
        <w:pStyle w:val="38"/>
        <w:rPr>
          <w:rFonts w:hint="default"/>
        </w:rPr>
      </w:pPr>
      <w:bookmarkStart w:id="66" w:name="_Ref122539820"/>
      <w:bookmarkStart w:id="67" w:name="_Toc12493684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66"/>
      <w:r>
        <w:rPr>
          <w:rFonts w:hint="default"/>
        </w:rPr>
        <w:t>：メタボ該当者</w:t>
      </w:r>
      <w:r>
        <w:rPr>
          <w:rFonts w:hint="eastAsia"/>
        </w:rPr>
        <w:t>数・メタボ</w:t>
      </w:r>
      <w:r>
        <w:rPr>
          <w:rFonts w:hint="default"/>
        </w:rPr>
        <w:t>予備群該当者</w:t>
      </w:r>
      <w:r>
        <w:rPr>
          <w:rFonts w:hint="eastAsia"/>
        </w:rPr>
        <w:t>数の推移</w:t>
      </w:r>
      <w:bookmarkEnd w:id="67"/>
    </w:p>
    <w:p>
      <w:pPr>
        <w:pStyle w:val="0"/>
        <w:jc w:val="center"/>
        <w:rPr>
          <w:rFonts w:hint="default"/>
        </w:rPr>
      </w:pPr>
      <w:r>
        <w:rPr>
          <w:rFonts w:hint="default"/>
        </w:rPr>
        <w:drawing>
          <wp:inline distT="0" distB="0" distL="0" distR="0">
            <wp:extent cx="5939790" cy="2519680"/>
            <wp:effectExtent l="0" t="0" r="0" b="0"/>
            <wp:docPr id="1077" name="オブジェクト 0"/>
            <a:graphic xmlns:a="http://schemas.openxmlformats.org/drawingml/2006/main">
              <a:graphicData uri="http://schemas.openxmlformats.org/drawingml/2006/chart">
                <c:chart xmlns:c="http://schemas.openxmlformats.org/drawingml/2006/chart" r:id="rId32"/>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58"/>
        <w:gridCol w:w="989"/>
        <w:gridCol w:w="574"/>
        <w:gridCol w:w="985"/>
        <w:gridCol w:w="579"/>
        <w:gridCol w:w="980"/>
        <w:gridCol w:w="584"/>
        <w:gridCol w:w="976"/>
        <w:gridCol w:w="588"/>
        <w:gridCol w:w="1562"/>
      </w:tblGrid>
      <w:tr>
        <w:trPr>
          <w:trHeight w:val="490" w:hRule="atLeast"/>
        </w:trPr>
        <w:tc>
          <w:tcPr>
            <w:tcW w:w="1558" w:type="dxa"/>
            <w:vMerge w:val="restart"/>
            <w:shd w:val="clear" w:color="auto" w:fill="CCD6FF"/>
            <w:tcMar>
              <w:top w:w="28" w:type="dxa"/>
              <w:left w:w="28" w:type="dxa"/>
              <w:bottom w:w="28" w:type="dxa"/>
              <w:right w:w="28" w:type="dxa"/>
            </w:tcMar>
            <w:vAlign w:val="center"/>
          </w:tcPr>
          <w:p>
            <w:pPr>
              <w:pStyle w:val="0"/>
              <w:rPr>
                <w:rFonts w:hint="default"/>
              </w:rPr>
            </w:pPr>
          </w:p>
        </w:tc>
        <w:tc>
          <w:tcPr>
            <w:tcW w:w="1563" w:type="dxa"/>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1564" w:type="dxa"/>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1564" w:type="dxa"/>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1564" w:type="dxa"/>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1562" w:type="dxa"/>
            <w:vMerge w:val="restart"/>
            <w:shd w:val="clear" w:color="auto" w:fill="F2F2F2"/>
            <w:tcMar>
              <w:top w:w="28" w:type="dxa"/>
              <w:left w:w="28" w:type="dxa"/>
              <w:bottom w:w="28" w:type="dxa"/>
              <w:right w:w="28" w:type="dxa"/>
            </w:tcMar>
            <w:vAlign w:val="center"/>
          </w:tcPr>
          <w:p>
            <w:pPr>
              <w:pStyle w:val="0"/>
              <w:jc w:val="center"/>
              <w:rPr>
                <w:rFonts w:hint="default"/>
                <w:b w:val="1"/>
              </w:rPr>
            </w:pPr>
            <w:r>
              <w:rPr>
                <w:rFonts w:hint="default"/>
                <w:b w:val="1"/>
                <w:sz w:val="14"/>
              </w:rPr>
              <w:t>令和</w:t>
            </w:r>
            <w:r>
              <w:rPr>
                <w:rFonts w:hint="default"/>
                <w:b w:val="1"/>
                <w:sz w:val="14"/>
              </w:rPr>
              <w:t>1</w:t>
            </w:r>
            <w:r>
              <w:rPr>
                <w:rFonts w:hint="default"/>
                <w:b w:val="1"/>
                <w:sz w:val="14"/>
              </w:rPr>
              <w:t>年度と令和</w:t>
            </w:r>
            <w:r>
              <w:rPr>
                <w:rFonts w:hint="default"/>
                <w:b w:val="1"/>
                <w:sz w:val="14"/>
              </w:rPr>
              <w:t>4</w:t>
            </w:r>
            <w:r>
              <w:rPr>
                <w:rFonts w:hint="default"/>
                <w:b w:val="1"/>
                <w:sz w:val="14"/>
              </w:rPr>
              <w:t>年度の割合の差</w:t>
            </w:r>
          </w:p>
        </w:tc>
      </w:tr>
      <w:tr>
        <w:trPr>
          <w:trHeight w:val="36" w:hRule="atLeast"/>
        </w:trPr>
        <w:tc>
          <w:tcPr>
            <w:tcW w:w="1558" w:type="dxa"/>
            <w:vMerge w:val="continue"/>
            <w:shd w:val="clear" w:color="auto" w:fill="CCD6FF"/>
            <w:tcMar>
              <w:top w:w="28" w:type="dxa"/>
              <w:left w:w="28" w:type="dxa"/>
              <w:bottom w:w="28" w:type="dxa"/>
              <w:right w:w="28" w:type="dxa"/>
            </w:tcMar>
            <w:vAlign w:val="center"/>
          </w:tcPr>
          <w:p>
            <w:pPr>
              <w:pStyle w:val="0"/>
              <w:rPr>
                <w:rFonts w:hint="default"/>
              </w:rPr>
            </w:pPr>
          </w:p>
        </w:tc>
        <w:tc>
          <w:tcPr>
            <w:tcW w:w="989"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対象者</w:t>
            </w:r>
            <w:r>
              <w:rPr>
                <w:rFonts w:hint="eastAsia"/>
                <w:b w:val="1"/>
                <w:sz w:val="14"/>
              </w:rPr>
              <w:t>（人）</w:t>
            </w:r>
          </w:p>
        </w:tc>
        <w:tc>
          <w:tcPr>
            <w:tcW w:w="574"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割合</w:t>
            </w:r>
          </w:p>
        </w:tc>
        <w:tc>
          <w:tcPr>
            <w:tcW w:w="985"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対象者</w:t>
            </w:r>
            <w:r>
              <w:rPr>
                <w:rFonts w:hint="eastAsia"/>
                <w:b w:val="1"/>
                <w:sz w:val="14"/>
              </w:rPr>
              <w:t>（人）</w:t>
            </w:r>
          </w:p>
        </w:tc>
        <w:tc>
          <w:tcPr>
            <w:tcW w:w="579"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割合</w:t>
            </w:r>
          </w:p>
        </w:tc>
        <w:tc>
          <w:tcPr>
            <w:tcW w:w="980"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対象者</w:t>
            </w:r>
            <w:r>
              <w:rPr>
                <w:rFonts w:hint="eastAsia"/>
                <w:b w:val="1"/>
                <w:sz w:val="14"/>
              </w:rPr>
              <w:t>（人）</w:t>
            </w:r>
          </w:p>
        </w:tc>
        <w:tc>
          <w:tcPr>
            <w:tcW w:w="584"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割合</w:t>
            </w:r>
          </w:p>
        </w:tc>
        <w:tc>
          <w:tcPr>
            <w:tcW w:w="976"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対象者（人）</w:t>
            </w:r>
          </w:p>
        </w:tc>
        <w:tc>
          <w:tcPr>
            <w:tcW w:w="588" w:type="dxa"/>
            <w:shd w:val="clear" w:color="auto" w:fill="CCD6FF"/>
            <w:tcMar>
              <w:top w:w="28" w:type="dxa"/>
              <w:left w:w="0" w:type="dxa"/>
              <w:bottom w:w="28" w:type="dxa"/>
              <w:right w:w="0" w:type="dxa"/>
            </w:tcMar>
            <w:vAlign w:val="center"/>
          </w:tcPr>
          <w:p>
            <w:pPr>
              <w:pStyle w:val="0"/>
              <w:jc w:val="center"/>
              <w:rPr>
                <w:rFonts w:hint="default"/>
                <w:b w:val="1"/>
                <w:sz w:val="14"/>
              </w:rPr>
            </w:pPr>
            <w:r>
              <w:rPr>
                <w:rFonts w:hint="default"/>
                <w:b w:val="1"/>
                <w:sz w:val="14"/>
              </w:rPr>
              <w:t>割合</w:t>
            </w:r>
          </w:p>
        </w:tc>
        <w:tc>
          <w:tcPr>
            <w:tcW w:w="1562" w:type="dxa"/>
            <w:vMerge w:val="continue"/>
            <w:shd w:val="clear" w:color="auto" w:fill="F2F2F2"/>
            <w:tcMar>
              <w:top w:w="28" w:type="dxa"/>
              <w:left w:w="28" w:type="dxa"/>
              <w:bottom w:w="28" w:type="dxa"/>
              <w:right w:w="28" w:type="dxa"/>
            </w:tcMar>
            <w:vAlign w:val="center"/>
          </w:tcPr>
          <w:p>
            <w:pPr>
              <w:pStyle w:val="0"/>
              <w:jc w:val="center"/>
              <w:rPr>
                <w:rFonts w:hint="default"/>
                <w:b w:val="1"/>
                <w:sz w:val="14"/>
              </w:rPr>
            </w:pPr>
          </w:p>
        </w:tc>
      </w:tr>
      <w:tr>
        <w:trPr>
          <w:trHeight w:val="20" w:hRule="atLeast"/>
        </w:trPr>
        <w:tc>
          <w:tcPr>
            <w:tcW w:w="1558" w:type="dxa"/>
            <w:shd w:val="clear" w:color="auto" w:fill="auto"/>
            <w:tcMar>
              <w:top w:w="28" w:type="dxa"/>
              <w:left w:w="28" w:type="dxa"/>
              <w:bottom w:w="28" w:type="dxa"/>
              <w:right w:w="28" w:type="dxa"/>
            </w:tcMar>
            <w:vAlign w:val="center"/>
          </w:tcPr>
          <w:p>
            <w:pPr>
              <w:pStyle w:val="0"/>
              <w:rPr>
                <w:rFonts w:hint="default"/>
              </w:rPr>
            </w:pPr>
            <w:r>
              <w:rPr>
                <w:rFonts w:hint="eastAsia"/>
              </w:rPr>
              <w:t>メタボ</w:t>
            </w:r>
            <w:r>
              <w:rPr>
                <w:rFonts w:hint="default"/>
              </w:rPr>
              <w:t>該当者</w:t>
            </w:r>
          </w:p>
        </w:tc>
        <w:tc>
          <w:tcPr>
            <w:tcW w:w="989" w:type="dxa"/>
            <w:shd w:val="clear" w:color="auto" w:fill="auto"/>
            <w:tcMar>
              <w:top w:w="28" w:type="dxa"/>
              <w:left w:w="28" w:type="dxa"/>
              <w:bottom w:w="28" w:type="dxa"/>
              <w:right w:w="28" w:type="dxa"/>
            </w:tcMar>
            <w:vAlign w:val="center"/>
          </w:tcPr>
          <w:p>
            <w:pPr>
              <w:pStyle w:val="0"/>
              <w:jc w:val="right"/>
              <w:rPr>
                <w:rFonts w:hint="default"/>
              </w:rPr>
            </w:pPr>
            <w:r>
              <w:rPr>
                <w:rFonts w:hint="default"/>
              </w:rPr>
              <w:t>846</w:t>
            </w:r>
          </w:p>
        </w:tc>
        <w:tc>
          <w:tcPr>
            <w:tcW w:w="574" w:type="dxa"/>
            <w:shd w:val="clear" w:color="auto" w:fill="auto"/>
            <w:tcMar>
              <w:top w:w="28" w:type="dxa"/>
              <w:left w:w="28" w:type="dxa"/>
              <w:bottom w:w="28" w:type="dxa"/>
              <w:right w:w="28" w:type="dxa"/>
            </w:tcMar>
            <w:vAlign w:val="center"/>
          </w:tcPr>
          <w:p>
            <w:pPr>
              <w:pStyle w:val="0"/>
              <w:jc w:val="right"/>
              <w:rPr>
                <w:rFonts w:hint="default"/>
              </w:rPr>
            </w:pPr>
            <w:r>
              <w:rPr>
                <w:rFonts w:hint="default"/>
              </w:rPr>
              <w:t>17.2%</w:t>
            </w:r>
          </w:p>
        </w:tc>
        <w:tc>
          <w:tcPr>
            <w:tcW w:w="985" w:type="dxa"/>
            <w:shd w:val="clear" w:color="auto" w:fill="auto"/>
            <w:tcMar>
              <w:top w:w="28" w:type="dxa"/>
              <w:left w:w="28" w:type="dxa"/>
              <w:bottom w:w="28" w:type="dxa"/>
              <w:right w:w="28" w:type="dxa"/>
            </w:tcMar>
            <w:vAlign w:val="center"/>
          </w:tcPr>
          <w:p>
            <w:pPr>
              <w:pStyle w:val="0"/>
              <w:jc w:val="right"/>
              <w:rPr>
                <w:rFonts w:hint="default"/>
              </w:rPr>
            </w:pPr>
            <w:r>
              <w:rPr>
                <w:rFonts w:hint="default"/>
              </w:rPr>
              <w:t>478</w:t>
            </w:r>
          </w:p>
        </w:tc>
        <w:tc>
          <w:tcPr>
            <w:tcW w:w="579" w:type="dxa"/>
            <w:shd w:val="clear" w:color="auto" w:fill="auto"/>
            <w:tcMar>
              <w:top w:w="28" w:type="dxa"/>
              <w:left w:w="28" w:type="dxa"/>
              <w:bottom w:w="28" w:type="dxa"/>
              <w:right w:w="28" w:type="dxa"/>
            </w:tcMar>
            <w:vAlign w:val="center"/>
          </w:tcPr>
          <w:p>
            <w:pPr>
              <w:pStyle w:val="0"/>
              <w:jc w:val="right"/>
              <w:rPr>
                <w:rFonts w:hint="default"/>
              </w:rPr>
            </w:pPr>
            <w:r>
              <w:rPr>
                <w:rFonts w:hint="default"/>
              </w:rPr>
              <w:t>18.1%</w:t>
            </w:r>
          </w:p>
        </w:tc>
        <w:tc>
          <w:tcPr>
            <w:tcW w:w="980" w:type="dxa"/>
            <w:shd w:val="clear" w:color="auto" w:fill="auto"/>
            <w:tcMar>
              <w:top w:w="28" w:type="dxa"/>
              <w:left w:w="28" w:type="dxa"/>
              <w:bottom w:w="28" w:type="dxa"/>
              <w:right w:w="28" w:type="dxa"/>
            </w:tcMar>
            <w:vAlign w:val="center"/>
          </w:tcPr>
          <w:p>
            <w:pPr>
              <w:pStyle w:val="0"/>
              <w:jc w:val="right"/>
              <w:rPr>
                <w:rFonts w:hint="default"/>
              </w:rPr>
            </w:pPr>
            <w:r>
              <w:rPr>
                <w:rFonts w:hint="default"/>
              </w:rPr>
              <w:t>730</w:t>
            </w:r>
          </w:p>
        </w:tc>
        <w:tc>
          <w:tcPr>
            <w:tcW w:w="584" w:type="dxa"/>
            <w:shd w:val="clear" w:color="auto" w:fill="auto"/>
            <w:tcMar>
              <w:top w:w="28" w:type="dxa"/>
              <w:left w:w="28" w:type="dxa"/>
              <w:bottom w:w="28" w:type="dxa"/>
              <w:right w:w="28" w:type="dxa"/>
            </w:tcMar>
            <w:vAlign w:val="center"/>
          </w:tcPr>
          <w:p>
            <w:pPr>
              <w:pStyle w:val="0"/>
              <w:jc w:val="right"/>
              <w:rPr>
                <w:rFonts w:hint="default"/>
              </w:rPr>
            </w:pPr>
            <w:r>
              <w:rPr>
                <w:rFonts w:hint="default"/>
              </w:rPr>
              <w:t>19.3%</w:t>
            </w:r>
          </w:p>
        </w:tc>
        <w:tc>
          <w:tcPr>
            <w:tcW w:w="976" w:type="dxa"/>
            <w:shd w:val="clear" w:color="auto" w:fill="auto"/>
            <w:tcMar>
              <w:top w:w="28" w:type="dxa"/>
              <w:left w:w="28" w:type="dxa"/>
              <w:bottom w:w="28" w:type="dxa"/>
              <w:right w:w="28" w:type="dxa"/>
            </w:tcMar>
            <w:vAlign w:val="center"/>
          </w:tcPr>
          <w:p>
            <w:pPr>
              <w:pStyle w:val="0"/>
              <w:jc w:val="right"/>
              <w:rPr>
                <w:rFonts w:hint="default"/>
              </w:rPr>
            </w:pPr>
            <w:r>
              <w:rPr>
                <w:rFonts w:hint="eastAsia"/>
              </w:rPr>
              <w:t>676</w:t>
            </w:r>
          </w:p>
        </w:tc>
        <w:tc>
          <w:tcPr>
            <w:tcW w:w="588" w:type="dxa"/>
            <w:shd w:val="clear" w:color="auto" w:fill="auto"/>
            <w:tcMar>
              <w:top w:w="28" w:type="dxa"/>
              <w:left w:w="28" w:type="dxa"/>
              <w:bottom w:w="28" w:type="dxa"/>
              <w:right w:w="28" w:type="dxa"/>
            </w:tcMar>
            <w:vAlign w:val="center"/>
          </w:tcPr>
          <w:p>
            <w:pPr>
              <w:pStyle w:val="0"/>
              <w:jc w:val="right"/>
              <w:rPr>
                <w:rFonts w:hint="default"/>
              </w:rPr>
            </w:pPr>
            <w:r>
              <w:rPr>
                <w:rFonts w:hint="default"/>
              </w:rPr>
              <w:t>18.7%</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r>
      <w:tr>
        <w:trPr>
          <w:trHeight w:val="20" w:hRule="atLeast"/>
        </w:trPr>
        <w:tc>
          <w:tcPr>
            <w:tcW w:w="1558" w:type="dxa"/>
            <w:shd w:val="clear" w:color="auto" w:fill="auto"/>
            <w:tcMar>
              <w:top w:w="28" w:type="dxa"/>
              <w:left w:w="28" w:type="dxa"/>
              <w:bottom w:w="28" w:type="dxa"/>
              <w:right w:w="28" w:type="dxa"/>
            </w:tcMar>
            <w:vAlign w:val="center"/>
          </w:tcPr>
          <w:p>
            <w:pPr>
              <w:pStyle w:val="0"/>
              <w:rPr>
                <w:rFonts w:hint="default"/>
              </w:rPr>
            </w:pPr>
            <w:r>
              <w:rPr>
                <w:rFonts w:hint="eastAsia"/>
              </w:rPr>
              <w:t>メタボ</w:t>
            </w:r>
            <w:r>
              <w:rPr>
                <w:rFonts w:hint="default"/>
              </w:rPr>
              <w:t>予備群</w:t>
            </w:r>
            <w:r>
              <w:rPr>
                <w:rFonts w:hint="eastAsia"/>
              </w:rPr>
              <w:t>該当者</w:t>
            </w:r>
          </w:p>
        </w:tc>
        <w:tc>
          <w:tcPr>
            <w:tcW w:w="989" w:type="dxa"/>
            <w:shd w:val="clear" w:color="auto" w:fill="auto"/>
            <w:tcMar>
              <w:top w:w="28" w:type="dxa"/>
              <w:left w:w="28" w:type="dxa"/>
              <w:bottom w:w="28" w:type="dxa"/>
              <w:right w:w="28" w:type="dxa"/>
            </w:tcMar>
            <w:vAlign w:val="center"/>
          </w:tcPr>
          <w:p>
            <w:pPr>
              <w:pStyle w:val="0"/>
              <w:jc w:val="right"/>
              <w:rPr>
                <w:rFonts w:hint="default"/>
              </w:rPr>
            </w:pPr>
            <w:r>
              <w:rPr>
                <w:rFonts w:hint="default"/>
              </w:rPr>
              <w:t>633</w:t>
            </w:r>
          </w:p>
        </w:tc>
        <w:tc>
          <w:tcPr>
            <w:tcW w:w="574" w:type="dxa"/>
            <w:shd w:val="clear" w:color="auto" w:fill="auto"/>
            <w:tcMar>
              <w:top w:w="28" w:type="dxa"/>
              <w:left w:w="28" w:type="dxa"/>
              <w:bottom w:w="28" w:type="dxa"/>
              <w:right w:w="28" w:type="dxa"/>
            </w:tcMar>
            <w:vAlign w:val="center"/>
          </w:tcPr>
          <w:p>
            <w:pPr>
              <w:pStyle w:val="0"/>
              <w:jc w:val="right"/>
              <w:rPr>
                <w:rFonts w:hint="default"/>
              </w:rPr>
            </w:pPr>
            <w:r>
              <w:rPr>
                <w:rFonts w:hint="default"/>
              </w:rPr>
              <w:t>12.9%</w:t>
            </w:r>
          </w:p>
        </w:tc>
        <w:tc>
          <w:tcPr>
            <w:tcW w:w="985" w:type="dxa"/>
            <w:shd w:val="clear" w:color="auto" w:fill="auto"/>
            <w:tcMar>
              <w:top w:w="28" w:type="dxa"/>
              <w:left w:w="28" w:type="dxa"/>
              <w:bottom w:w="28" w:type="dxa"/>
              <w:right w:w="28" w:type="dxa"/>
            </w:tcMar>
            <w:vAlign w:val="center"/>
          </w:tcPr>
          <w:p>
            <w:pPr>
              <w:pStyle w:val="0"/>
              <w:jc w:val="right"/>
              <w:rPr>
                <w:rFonts w:hint="default"/>
              </w:rPr>
            </w:pPr>
            <w:r>
              <w:rPr>
                <w:rFonts w:hint="default"/>
              </w:rPr>
              <w:t>379</w:t>
            </w:r>
          </w:p>
        </w:tc>
        <w:tc>
          <w:tcPr>
            <w:tcW w:w="579" w:type="dxa"/>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980" w:type="dxa"/>
            <w:shd w:val="clear" w:color="auto" w:fill="auto"/>
            <w:tcMar>
              <w:top w:w="28" w:type="dxa"/>
              <w:left w:w="28" w:type="dxa"/>
              <w:bottom w:w="28" w:type="dxa"/>
              <w:right w:w="28" w:type="dxa"/>
            </w:tcMar>
            <w:vAlign w:val="center"/>
          </w:tcPr>
          <w:p>
            <w:pPr>
              <w:pStyle w:val="0"/>
              <w:jc w:val="right"/>
              <w:rPr>
                <w:rFonts w:hint="default"/>
              </w:rPr>
            </w:pPr>
            <w:r>
              <w:rPr>
                <w:rFonts w:hint="default"/>
              </w:rPr>
              <w:t>546</w:t>
            </w:r>
          </w:p>
        </w:tc>
        <w:tc>
          <w:tcPr>
            <w:tcW w:w="584" w:type="dxa"/>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976" w:type="dxa"/>
            <w:shd w:val="clear" w:color="auto" w:fill="auto"/>
            <w:tcMar>
              <w:top w:w="28" w:type="dxa"/>
              <w:left w:w="28" w:type="dxa"/>
              <w:bottom w:w="28" w:type="dxa"/>
              <w:right w:w="28" w:type="dxa"/>
            </w:tcMar>
            <w:vAlign w:val="center"/>
          </w:tcPr>
          <w:p>
            <w:pPr>
              <w:pStyle w:val="0"/>
              <w:jc w:val="right"/>
              <w:rPr>
                <w:rFonts w:hint="default"/>
              </w:rPr>
            </w:pPr>
            <w:r>
              <w:rPr>
                <w:rFonts w:hint="eastAsia"/>
              </w:rPr>
              <w:t>452</w:t>
            </w:r>
          </w:p>
        </w:tc>
        <w:tc>
          <w:tcPr>
            <w:tcW w:w="588" w:type="dxa"/>
            <w:shd w:val="clear" w:color="auto" w:fill="auto"/>
            <w:tcMar>
              <w:top w:w="28" w:type="dxa"/>
              <w:left w:w="28" w:type="dxa"/>
              <w:bottom w:w="28" w:type="dxa"/>
              <w:right w:w="28" w:type="dxa"/>
            </w:tcMar>
            <w:vAlign w:val="center"/>
          </w:tcPr>
          <w:p>
            <w:pPr>
              <w:pStyle w:val="0"/>
              <w:jc w:val="right"/>
              <w:rPr>
                <w:rFonts w:hint="default"/>
              </w:rPr>
            </w:pPr>
            <w:r>
              <w:rPr>
                <w:rFonts w:hint="default"/>
              </w:rPr>
              <w:t>12.5%</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eastAsia"/>
        </w:rPr>
        <w:t xml:space="preserve"> </w:t>
      </w:r>
      <w:r>
        <w:rPr>
          <w:rFonts w:hint="eastAsia"/>
        </w:rPr>
        <w:t>令和</w:t>
      </w:r>
      <w:r>
        <w:rPr>
          <w:rFonts w:hint="eastAsia"/>
        </w:rPr>
        <w:t>1</w:t>
      </w:r>
      <w:r>
        <w:rPr>
          <w:rFonts w:hint="default"/>
        </w:rPr>
        <w:t>年度から</w:t>
      </w:r>
      <w:r>
        <w:rPr>
          <w:rFonts w:hint="eastAsia"/>
        </w:rPr>
        <w:t>令和</w:t>
      </w:r>
      <w:r>
        <w:rPr>
          <w:rFonts w:hint="eastAsia"/>
        </w:rPr>
        <w:t>4</w:t>
      </w:r>
      <w:r>
        <w:rPr>
          <w:rFonts w:hint="eastAsia"/>
        </w:rPr>
        <w:t>年度</w:t>
      </w:r>
      <w:r>
        <w:rPr>
          <w:rFonts w:hint="default"/>
        </w:rPr>
        <w:t xml:space="preserve"> </w:t>
      </w:r>
      <w:r>
        <w:rPr>
          <w:rFonts w:hint="default"/>
        </w:rPr>
        <w:t>累計</w:t>
      </w:r>
    </w:p>
    <w:p>
      <w:pPr>
        <w:pStyle w:val="0"/>
        <w:rPr>
          <w:rFonts w:hint="default"/>
        </w:rPr>
      </w:pPr>
      <w:r>
        <w:rPr>
          <w:rFonts w:hint="default"/>
        </w:rPr>
        <w:br w:type="page"/>
      </w:r>
    </w:p>
    <w:p>
      <w:pPr>
        <w:pStyle w:val="4"/>
        <w:rPr>
          <w:rFonts w:hint="default"/>
        </w:rPr>
      </w:pPr>
      <w:r>
        <w:rPr>
          <w:rFonts w:hint="eastAsia"/>
        </w:rPr>
        <w:t>メタボ該当者とメタボ予備群該当者における追加リスクの重複状況</w:t>
      </w:r>
    </w:p>
    <w:p>
      <w:pPr>
        <w:pStyle w:val="39"/>
        <w:ind w:firstLine="200"/>
        <w:rPr>
          <w:rFonts w:hint="default"/>
        </w:rPr>
      </w:pPr>
      <w:r>
        <w:rPr>
          <w:rFonts w:hint="default"/>
        </w:rPr>
        <w:t>メタボ該当者</w:t>
      </w:r>
      <w:r>
        <w:rPr>
          <w:rFonts w:hint="eastAsia"/>
        </w:rPr>
        <w:t>及びメタボ</w:t>
      </w:r>
      <w:r>
        <w:rPr>
          <w:rFonts w:hint="default"/>
        </w:rPr>
        <w:t>予備群</w:t>
      </w:r>
      <w:r>
        <w:rPr>
          <w:rFonts w:hint="eastAsia"/>
        </w:rPr>
        <w:t>該当者における追加リスクの</w:t>
      </w:r>
      <w:r>
        <w:rPr>
          <w:rFonts w:hint="default"/>
        </w:rPr>
        <w:t>重複状況をみる（</w:t>
      </w:r>
      <w:r>
        <w:rPr>
          <w:rFonts w:hint="eastAsia"/>
        </w:rPr>
        <w:fldChar w:fldCharType="begin"/>
      </w:r>
      <w:r>
        <w:rPr>
          <w:rFonts w:hint="eastAsia"/>
        </w:rPr>
        <w:instrText xml:space="preserve">REF _Ref122540518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3</w:t>
      </w:r>
      <w:r>
        <w:rPr>
          <w:rFonts w:hint="eastAsia"/>
        </w:rPr>
        <w:t>-</w:t>
      </w:r>
      <w:r>
        <w:rPr>
          <w:rFonts w:hint="default"/>
        </w:rPr>
        <w:t>3</w:t>
      </w:r>
      <w:r>
        <w:rPr>
          <w:rFonts w:hint="eastAsia"/>
        </w:rPr>
        <w:fldChar w:fldCharType="end"/>
      </w:r>
      <w:r>
        <w:rPr>
          <w:rFonts w:hint="default"/>
        </w:rPr>
        <w:t>）</w:t>
      </w:r>
      <w:r>
        <w:rPr>
          <w:rFonts w:hint="eastAsia"/>
        </w:rPr>
        <w:t>。</w:t>
      </w:r>
    </w:p>
    <w:p>
      <w:pPr>
        <w:pStyle w:val="39"/>
        <w:ind w:firstLine="200"/>
        <w:rPr>
          <w:rFonts w:hint="default"/>
        </w:rPr>
      </w:pPr>
      <w:r>
        <w:rPr>
          <w:rFonts w:hint="eastAsia"/>
        </w:rPr>
        <w:t>メタボ該当者においては</w:t>
      </w:r>
      <w:r>
        <w:rPr>
          <w:rFonts w:hint="default"/>
        </w:rPr>
        <w:t>「高血圧・脂質異常該当者」</w:t>
      </w:r>
      <w:r>
        <w:rPr>
          <w:rFonts w:hint="eastAsia"/>
        </w:rPr>
        <w:t>が多く、</w:t>
      </w:r>
      <w:r>
        <w:rPr>
          <w:rFonts w:hint="default"/>
        </w:rPr>
        <w:t>676</w:t>
      </w:r>
      <w:r>
        <w:rPr>
          <w:rFonts w:hint="default"/>
        </w:rPr>
        <w:t>人</w:t>
      </w:r>
      <w:r>
        <w:rPr>
          <w:rFonts w:hint="eastAsia"/>
        </w:rPr>
        <w:t>中</w:t>
      </w:r>
      <w:r>
        <w:rPr>
          <w:rFonts w:hint="default"/>
        </w:rPr>
        <w:t>274</w:t>
      </w:r>
      <w:r>
        <w:rPr>
          <w:rFonts w:hint="default"/>
        </w:rPr>
        <w:t>人</w:t>
      </w:r>
      <w:r>
        <w:rPr>
          <w:rFonts w:hint="eastAsia"/>
        </w:rPr>
        <w:t>が該当しており、特定健診受診者数の</w:t>
      </w:r>
      <w:r>
        <w:rPr>
          <w:rFonts w:hint="default"/>
        </w:rPr>
        <w:t>7.6%</w:t>
      </w:r>
      <w:r>
        <w:rPr>
          <w:rFonts w:hint="eastAsia"/>
        </w:rPr>
        <w:t>を占めている。</w:t>
      </w:r>
    </w:p>
    <w:p>
      <w:pPr>
        <w:pStyle w:val="39"/>
        <w:ind w:firstLine="200"/>
        <w:rPr>
          <w:rFonts w:hint="default"/>
        </w:rPr>
      </w:pPr>
      <w:r>
        <w:rPr>
          <w:rFonts w:hint="eastAsia"/>
        </w:rPr>
        <w:t>メタボ</w:t>
      </w:r>
      <w:r>
        <w:rPr>
          <w:rFonts w:hint="default"/>
        </w:rPr>
        <w:t>予備群</w:t>
      </w:r>
      <w:r>
        <w:rPr>
          <w:rFonts w:hint="eastAsia"/>
        </w:rPr>
        <w:t>該当者</w:t>
      </w:r>
      <w:r>
        <w:rPr>
          <w:rFonts w:hint="default"/>
        </w:rPr>
        <w:t>では「高血圧該当者」</w:t>
      </w:r>
      <w:r>
        <w:rPr>
          <w:rFonts w:hint="eastAsia"/>
        </w:rPr>
        <w:t>が多く、</w:t>
      </w:r>
      <w:r>
        <w:rPr>
          <w:rFonts w:hint="default"/>
        </w:rPr>
        <w:t>452</w:t>
      </w:r>
      <w:r>
        <w:rPr>
          <w:rFonts w:hint="default"/>
        </w:rPr>
        <w:t>人</w:t>
      </w:r>
      <w:r>
        <w:rPr>
          <w:rFonts w:hint="eastAsia"/>
        </w:rPr>
        <w:t>中</w:t>
      </w:r>
      <w:r>
        <w:rPr>
          <w:rFonts w:hint="default"/>
        </w:rPr>
        <w:t>216</w:t>
      </w:r>
      <w:r>
        <w:rPr>
          <w:rFonts w:hint="default"/>
        </w:rPr>
        <w:t>人</w:t>
      </w:r>
      <w:r>
        <w:rPr>
          <w:rFonts w:hint="eastAsia"/>
        </w:rPr>
        <w:t>が該当しており、特定健診受診者数の</w:t>
      </w:r>
      <w:r>
        <w:rPr>
          <w:rFonts w:hint="default"/>
        </w:rPr>
        <w:t>6.0%</w:t>
      </w:r>
      <w:r>
        <w:rPr>
          <w:rFonts w:hint="eastAsia"/>
        </w:rPr>
        <w:t>を占めている。</w:t>
      </w:r>
    </w:p>
    <w:p>
      <w:pPr>
        <w:pStyle w:val="0"/>
        <w:rPr>
          <w:rFonts w:hint="default"/>
        </w:rPr>
      </w:pPr>
    </w:p>
    <w:p>
      <w:pPr>
        <w:pStyle w:val="38"/>
        <w:rPr>
          <w:rFonts w:hint="default"/>
        </w:rPr>
      </w:pPr>
      <w:bookmarkStart w:id="68" w:name="_Ref122540518"/>
      <w:bookmarkStart w:id="69" w:name="_Toc12493684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68"/>
      <w:r>
        <w:rPr>
          <w:rFonts w:hint="default"/>
        </w:rPr>
        <w:t>：メタ</w:t>
      </w:r>
      <w:r>
        <w:rPr>
          <w:rFonts w:hint="eastAsia"/>
        </w:rPr>
        <w:t>ボ</w:t>
      </w:r>
      <w:r>
        <w:rPr>
          <w:rFonts w:hint="default"/>
        </w:rPr>
        <w:t>該当者</w:t>
      </w:r>
      <w:r>
        <w:rPr>
          <w:rFonts w:hint="eastAsia"/>
        </w:rPr>
        <w:t>・メタボ</w:t>
      </w:r>
      <w:r>
        <w:rPr>
          <w:rFonts w:hint="default"/>
        </w:rPr>
        <w:t>予備群</w:t>
      </w:r>
      <w:r>
        <w:rPr>
          <w:rFonts w:hint="eastAsia"/>
        </w:rPr>
        <w:t>該当者における追加リスク</w:t>
      </w:r>
      <w:r>
        <w:rPr>
          <w:rFonts w:hint="default"/>
        </w:rPr>
        <w:t>の重複状況</w:t>
      </w:r>
      <w:bookmarkEnd w:id="69"/>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2"/>
        <w:gridCol w:w="158"/>
        <w:gridCol w:w="2859"/>
        <w:gridCol w:w="1035"/>
        <w:gridCol w:w="1035"/>
        <w:gridCol w:w="1035"/>
        <w:gridCol w:w="1035"/>
        <w:gridCol w:w="1035"/>
        <w:gridCol w:w="1031"/>
      </w:tblGrid>
      <w:tr>
        <w:trPr>
          <w:trHeight w:val="20" w:hRule="atLeast"/>
        </w:trPr>
        <w:tc>
          <w:tcPr>
            <w:tcW w:w="1690" w:type="pct"/>
            <w:gridSpan w:val="3"/>
            <w:vMerge w:val="restart"/>
            <w:shd w:val="clear" w:color="auto" w:fill="CCD6FF"/>
            <w:tcMar>
              <w:top w:w="28" w:type="dxa"/>
              <w:left w:w="28" w:type="dxa"/>
              <w:bottom w:w="28" w:type="dxa"/>
              <w:right w:w="28" w:type="dxa"/>
            </w:tcMar>
            <w:vAlign w:val="center"/>
          </w:tcPr>
          <w:p>
            <w:pPr>
              <w:pStyle w:val="0"/>
              <w:snapToGrid w:val="0"/>
              <w:jc w:val="center"/>
              <w:rPr>
                <w:rFonts w:hint="default"/>
              </w:rPr>
            </w:pPr>
          </w:p>
        </w:tc>
        <w:tc>
          <w:tcPr>
            <w:tcW w:w="1104" w:type="pct"/>
            <w:gridSpan w:val="2"/>
            <w:shd w:val="clear" w:color="auto" w:fill="CCD6FF"/>
            <w:tcMar>
              <w:top w:w="28" w:type="dxa"/>
              <w:left w:w="28" w:type="dxa"/>
              <w:bottom w:w="28" w:type="dxa"/>
              <w:right w:w="28" w:type="dxa"/>
            </w:tcMar>
            <w:vAlign w:val="center"/>
          </w:tcPr>
          <w:p>
            <w:pPr>
              <w:pStyle w:val="0"/>
              <w:snapToGrid w:val="0"/>
              <w:jc w:val="center"/>
              <w:rPr>
                <w:rFonts w:hint="default"/>
              </w:rPr>
            </w:pPr>
            <w:r>
              <w:rPr>
                <w:rFonts w:hint="eastAsia"/>
                <w:b w:val="1"/>
                <w:color w:val="000000"/>
              </w:rPr>
              <w:t>男性</w:t>
            </w:r>
          </w:p>
        </w:tc>
        <w:tc>
          <w:tcPr>
            <w:tcW w:w="1104" w:type="pct"/>
            <w:gridSpan w:val="2"/>
            <w:shd w:val="clear" w:color="auto" w:fill="CCD6FF"/>
            <w:tcMar>
              <w:top w:w="28" w:type="dxa"/>
              <w:left w:w="28" w:type="dxa"/>
              <w:bottom w:w="28" w:type="dxa"/>
              <w:right w:w="28" w:type="dxa"/>
            </w:tcMar>
            <w:vAlign w:val="center"/>
          </w:tcPr>
          <w:p>
            <w:pPr>
              <w:pStyle w:val="0"/>
              <w:snapToGrid w:val="0"/>
              <w:jc w:val="center"/>
              <w:rPr>
                <w:rFonts w:hint="default"/>
              </w:rPr>
            </w:pPr>
            <w:r>
              <w:rPr>
                <w:rFonts w:hint="eastAsia"/>
                <w:b w:val="1"/>
                <w:color w:val="000000"/>
              </w:rPr>
              <w:t>女性</w:t>
            </w:r>
          </w:p>
        </w:tc>
        <w:tc>
          <w:tcPr>
            <w:tcW w:w="1103" w:type="pct"/>
            <w:gridSpan w:val="2"/>
            <w:shd w:val="clear" w:color="auto" w:fill="CCD6FF"/>
            <w:tcMar>
              <w:top w:w="28" w:type="dxa"/>
              <w:left w:w="28" w:type="dxa"/>
              <w:bottom w:w="28" w:type="dxa"/>
              <w:right w:w="28" w:type="dxa"/>
            </w:tcMar>
            <w:vAlign w:val="center"/>
          </w:tcPr>
          <w:p>
            <w:pPr>
              <w:pStyle w:val="0"/>
              <w:snapToGrid w:val="0"/>
              <w:jc w:val="center"/>
              <w:rPr>
                <w:rFonts w:hint="default"/>
              </w:rPr>
            </w:pPr>
            <w:r>
              <w:rPr>
                <w:rFonts w:hint="eastAsia"/>
                <w:b w:val="1"/>
                <w:color w:val="000000"/>
              </w:rPr>
              <w:t>合計</w:t>
            </w:r>
          </w:p>
        </w:tc>
      </w:tr>
      <w:tr>
        <w:trPr>
          <w:trHeight w:val="20" w:hRule="atLeast"/>
        </w:trPr>
        <w:tc>
          <w:tcPr>
            <w:tcW w:w="1690" w:type="pct"/>
            <w:gridSpan w:val="3"/>
            <w:vMerge w:val="continue"/>
            <w:tcMar>
              <w:top w:w="28" w:type="dxa"/>
              <w:left w:w="28" w:type="dxa"/>
              <w:bottom w:w="28" w:type="dxa"/>
              <w:right w:w="28" w:type="dxa"/>
            </w:tcMar>
            <w:vAlign w:val="center"/>
          </w:tcPr>
          <w:p>
            <w:pPr>
              <w:pStyle w:val="0"/>
              <w:snapToGrid w:val="0"/>
              <w:jc w:val="center"/>
              <w:rPr>
                <w:rFonts w:hint="default"/>
              </w:rPr>
            </w:pPr>
          </w:p>
        </w:tc>
        <w:tc>
          <w:tcPr>
            <w:tcW w:w="552" w:type="pct"/>
            <w:shd w:val="clear" w:color="auto" w:fill="CCD6FF"/>
            <w:tcMar>
              <w:top w:w="28" w:type="dxa"/>
              <w:left w:w="28" w:type="dxa"/>
              <w:bottom w:w="28" w:type="dxa"/>
              <w:right w:w="28" w:type="dxa"/>
            </w:tcMar>
            <w:vAlign w:val="center"/>
          </w:tcPr>
          <w:p>
            <w:pPr>
              <w:pStyle w:val="0"/>
              <w:snapToGrid w:val="0"/>
              <w:jc w:val="center"/>
              <w:rPr>
                <w:rFonts w:hint="default"/>
                <w:sz w:val="14"/>
              </w:rPr>
            </w:pPr>
            <w:r>
              <w:rPr>
                <w:rFonts w:hint="eastAsia"/>
                <w:b w:val="1"/>
                <w:color w:val="000000"/>
                <w:sz w:val="14"/>
              </w:rPr>
              <w:t>人数（人）</w:t>
            </w:r>
          </w:p>
        </w:tc>
        <w:tc>
          <w:tcPr>
            <w:tcW w:w="552" w:type="pct"/>
            <w:shd w:val="clear" w:color="auto" w:fill="CCD6FF"/>
            <w:tcMar>
              <w:top w:w="28" w:type="dxa"/>
              <w:left w:w="28" w:type="dxa"/>
              <w:bottom w:w="28" w:type="dxa"/>
              <w:right w:w="28" w:type="dxa"/>
            </w:tcMar>
            <w:vAlign w:val="center"/>
          </w:tcPr>
          <w:p>
            <w:pPr>
              <w:pStyle w:val="0"/>
              <w:snapToGrid w:val="0"/>
              <w:jc w:val="center"/>
              <w:rPr>
                <w:rFonts w:hint="default"/>
                <w:sz w:val="14"/>
              </w:rPr>
            </w:pPr>
            <w:r>
              <w:rPr>
                <w:rFonts w:hint="eastAsia"/>
                <w:b w:val="1"/>
                <w:color w:val="000000"/>
                <w:sz w:val="14"/>
              </w:rPr>
              <w:t>割合</w:t>
            </w:r>
          </w:p>
        </w:tc>
        <w:tc>
          <w:tcPr>
            <w:tcW w:w="552" w:type="pct"/>
            <w:shd w:val="clear" w:color="auto" w:fill="CCD6FF"/>
            <w:tcMar>
              <w:top w:w="28" w:type="dxa"/>
              <w:left w:w="28" w:type="dxa"/>
              <w:bottom w:w="28" w:type="dxa"/>
              <w:right w:w="28" w:type="dxa"/>
            </w:tcMar>
            <w:vAlign w:val="center"/>
          </w:tcPr>
          <w:p>
            <w:pPr>
              <w:pStyle w:val="0"/>
              <w:snapToGrid w:val="0"/>
              <w:jc w:val="center"/>
              <w:rPr>
                <w:rFonts w:hint="default"/>
                <w:sz w:val="14"/>
              </w:rPr>
            </w:pPr>
            <w:r>
              <w:rPr>
                <w:rFonts w:hint="eastAsia"/>
                <w:b w:val="1"/>
                <w:color w:val="000000"/>
                <w:sz w:val="14"/>
              </w:rPr>
              <w:t>人数（人）</w:t>
            </w:r>
          </w:p>
        </w:tc>
        <w:tc>
          <w:tcPr>
            <w:tcW w:w="552" w:type="pct"/>
            <w:shd w:val="clear" w:color="auto" w:fill="CCD6FF"/>
            <w:tcMar>
              <w:top w:w="28" w:type="dxa"/>
              <w:left w:w="28" w:type="dxa"/>
              <w:bottom w:w="28" w:type="dxa"/>
              <w:right w:w="28" w:type="dxa"/>
            </w:tcMar>
            <w:vAlign w:val="center"/>
          </w:tcPr>
          <w:p>
            <w:pPr>
              <w:pStyle w:val="0"/>
              <w:snapToGrid w:val="0"/>
              <w:jc w:val="center"/>
              <w:rPr>
                <w:rFonts w:hint="default"/>
                <w:sz w:val="14"/>
              </w:rPr>
            </w:pPr>
            <w:r>
              <w:rPr>
                <w:rFonts w:hint="eastAsia"/>
                <w:b w:val="1"/>
                <w:color w:val="000000"/>
                <w:sz w:val="14"/>
              </w:rPr>
              <w:t>割合</w:t>
            </w:r>
          </w:p>
        </w:tc>
        <w:tc>
          <w:tcPr>
            <w:tcW w:w="552" w:type="pct"/>
            <w:shd w:val="clear" w:color="auto" w:fill="CCD6FF"/>
            <w:tcMar>
              <w:top w:w="28" w:type="dxa"/>
              <w:left w:w="28" w:type="dxa"/>
              <w:bottom w:w="28" w:type="dxa"/>
              <w:right w:w="28" w:type="dxa"/>
            </w:tcMar>
            <w:vAlign w:val="center"/>
          </w:tcPr>
          <w:p>
            <w:pPr>
              <w:pStyle w:val="0"/>
              <w:snapToGrid w:val="0"/>
              <w:jc w:val="center"/>
              <w:rPr>
                <w:rFonts w:hint="default"/>
                <w:sz w:val="14"/>
              </w:rPr>
            </w:pPr>
            <w:r>
              <w:rPr>
                <w:rFonts w:hint="eastAsia"/>
                <w:b w:val="1"/>
                <w:color w:val="000000"/>
                <w:sz w:val="14"/>
              </w:rPr>
              <w:t>人数（人）</w:t>
            </w:r>
          </w:p>
        </w:tc>
        <w:tc>
          <w:tcPr>
            <w:tcW w:w="551" w:type="pct"/>
            <w:shd w:val="clear" w:color="auto" w:fill="CCD6FF"/>
            <w:tcMar>
              <w:top w:w="28" w:type="dxa"/>
              <w:left w:w="28" w:type="dxa"/>
              <w:bottom w:w="28" w:type="dxa"/>
              <w:right w:w="28" w:type="dxa"/>
            </w:tcMar>
            <w:vAlign w:val="center"/>
          </w:tcPr>
          <w:p>
            <w:pPr>
              <w:pStyle w:val="0"/>
              <w:snapToGrid w:val="0"/>
              <w:jc w:val="center"/>
              <w:rPr>
                <w:rFonts w:hint="default"/>
                <w:sz w:val="14"/>
              </w:rPr>
            </w:pPr>
            <w:r>
              <w:rPr>
                <w:rFonts w:hint="eastAsia"/>
                <w:b w:val="1"/>
                <w:color w:val="000000"/>
                <w:sz w:val="14"/>
              </w:rPr>
              <w:t>割合</w:t>
            </w:r>
          </w:p>
        </w:tc>
      </w:tr>
      <w:tr>
        <w:trPr>
          <w:trHeight w:val="20" w:hRule="atLeast"/>
        </w:trPr>
        <w:tc>
          <w:tcPr>
            <w:tcW w:w="1690" w:type="pct"/>
            <w:gridSpan w:val="3"/>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r>
              <w:rPr>
                <w:rFonts w:hint="eastAsia"/>
                <w:color w:val="000000"/>
              </w:rPr>
              <w:t>特定健診受診者数</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1,673</w:t>
            </w:r>
          </w:p>
        </w:tc>
        <w:tc>
          <w:tcPr>
            <w:tcW w:w="552" w:type="pct"/>
            <w:tcMar>
              <w:top w:w="28" w:type="dxa"/>
              <w:left w:w="28" w:type="dxa"/>
              <w:bottom w:w="28" w:type="dxa"/>
              <w:right w:w="28" w:type="dxa"/>
            </w:tcMar>
            <w:vAlign w:val="center"/>
          </w:tcPr>
          <w:p>
            <w:pPr>
              <w:pStyle w:val="0"/>
              <w:snapToGrid w:val="0"/>
              <w:jc w:val="right"/>
              <w:rPr>
                <w:rFonts w:hint="default"/>
              </w:rPr>
            </w:pPr>
            <w:r>
              <w:rPr>
                <w:rFonts w:hint="eastAsia"/>
                <w:color w:val="000000"/>
              </w:rPr>
              <w:t>-</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1,938</w:t>
            </w:r>
          </w:p>
        </w:tc>
        <w:tc>
          <w:tcPr>
            <w:tcW w:w="552" w:type="pct"/>
            <w:tcMar>
              <w:top w:w="28" w:type="dxa"/>
              <w:left w:w="28" w:type="dxa"/>
              <w:bottom w:w="28" w:type="dxa"/>
              <w:right w:w="28" w:type="dxa"/>
            </w:tcMar>
            <w:vAlign w:val="center"/>
          </w:tcPr>
          <w:p>
            <w:pPr>
              <w:pStyle w:val="0"/>
              <w:snapToGrid w:val="0"/>
              <w:jc w:val="right"/>
              <w:rPr>
                <w:rFonts w:hint="default"/>
              </w:rPr>
            </w:pPr>
            <w:r>
              <w:rPr>
                <w:rFonts w:hint="eastAsia"/>
                <w:color w:val="000000"/>
              </w:rPr>
              <w:t>-</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3,611</w:t>
            </w:r>
          </w:p>
        </w:tc>
        <w:tc>
          <w:tcPr>
            <w:tcW w:w="551" w:type="pct"/>
            <w:tcMar>
              <w:top w:w="28" w:type="dxa"/>
              <w:left w:w="28" w:type="dxa"/>
              <w:bottom w:w="28" w:type="dxa"/>
              <w:right w:w="28" w:type="dxa"/>
            </w:tcMar>
            <w:vAlign w:val="center"/>
          </w:tcPr>
          <w:p>
            <w:pPr>
              <w:pStyle w:val="0"/>
              <w:snapToGrid w:val="0"/>
              <w:jc w:val="right"/>
              <w:rPr>
                <w:rFonts w:hint="default"/>
              </w:rPr>
            </w:pPr>
            <w:r>
              <w:rPr>
                <w:rFonts w:hint="eastAsia"/>
                <w:color w:val="000000"/>
              </w:rPr>
              <w:t>-</w:t>
            </w:r>
          </w:p>
        </w:tc>
      </w:tr>
      <w:tr>
        <w:trPr>
          <w:trHeight w:val="20" w:hRule="atLeast"/>
        </w:trPr>
        <w:tc>
          <w:tcPr>
            <w:tcW w:w="1690" w:type="pct"/>
            <w:gridSpan w:val="3"/>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r>
              <w:rPr>
                <w:rFonts w:hint="eastAsia"/>
                <w:color w:val="000000"/>
              </w:rPr>
              <w:t>腹囲基準値以上</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940</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56.2%</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404</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20.8%</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1,344</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37.2%</w:t>
            </w:r>
          </w:p>
        </w:tc>
      </w:tr>
      <w:tr>
        <w:trPr>
          <w:trHeight w:val="30" w:hRule="atLeast"/>
        </w:trPr>
        <w:tc>
          <w:tcPr>
            <w:tcW w:w="81"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tcMar>
              <w:top w:w="40" w:type="dxa"/>
              <w:left w:w="40" w:type="dxa"/>
              <w:bottom w:w="40" w:type="dxa"/>
              <w:right w:w="40" w:type="dxa"/>
            </w:tcMar>
            <w:vAlign w:val="center"/>
          </w:tcPr>
          <w:p>
            <w:pPr>
              <w:pStyle w:val="0"/>
              <w:rPr>
                <w:rFonts w:hint="default"/>
              </w:rPr>
            </w:pPr>
          </w:p>
        </w:tc>
        <w:tc>
          <w:tcPr>
            <w:tcW w:w="1608" w:type="pct"/>
            <w:gridSpan w:val="2"/>
            <w:tcBorders>
              <w:top w:val="single" w:color="auto" w:sz="4" w:space="0"/>
              <w:left w:val="none" w:color="auto" w:sz="0" w:space="0"/>
              <w:bottom w:val="nil"/>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r>
              <w:rPr>
                <w:rFonts w:hint="eastAsia"/>
                <w:color w:val="000000"/>
              </w:rPr>
              <w:t>メタボ該当者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480</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28.7%</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196</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10.1%</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676</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18.7%</w:t>
            </w:r>
          </w:p>
        </w:tc>
      </w:tr>
      <w:tr>
        <w:trPr>
          <w:trHeight w:val="20"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p>
        </w:tc>
        <w:tc>
          <w:tcPr>
            <w:tcW w:w="1524" w:type="pct"/>
            <w:tcBorders>
              <w:top w:val="single" w:color="auto"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r>
              <w:rPr>
                <w:rFonts w:hint="eastAsia"/>
                <w:color w:val="000000"/>
              </w:rPr>
              <w:t>高血糖・高血圧該当者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83</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5.0%</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28</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1.4%</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111</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3.1%</w:t>
            </w:r>
          </w:p>
        </w:tc>
      </w:tr>
      <w:tr>
        <w:trPr>
          <w:trHeight w:val="22"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continue"/>
            <w:tcMar>
              <w:top w:w="28" w:type="dxa"/>
              <w:left w:w="28" w:type="dxa"/>
              <w:bottom w:w="28" w:type="dxa"/>
              <w:right w:w="28" w:type="dxa"/>
            </w:tcMar>
            <w:vAlign w:val="center"/>
          </w:tcPr>
          <w:p>
            <w:pPr>
              <w:pStyle w:val="0"/>
              <w:snapToGrid w:val="0"/>
              <w:rPr>
                <w:rFonts w:hint="default"/>
              </w:rPr>
            </w:pPr>
          </w:p>
        </w:tc>
        <w:tc>
          <w:tcPr>
            <w:tcW w:w="1524" w:type="pct"/>
            <w:tcMar>
              <w:top w:w="28" w:type="dxa"/>
              <w:left w:w="28" w:type="dxa"/>
              <w:bottom w:w="28" w:type="dxa"/>
              <w:right w:w="28" w:type="dxa"/>
            </w:tcMar>
            <w:vAlign w:val="center"/>
          </w:tcPr>
          <w:p>
            <w:pPr>
              <w:pStyle w:val="0"/>
              <w:snapToGrid w:val="0"/>
              <w:rPr>
                <w:rFonts w:hint="default"/>
              </w:rPr>
            </w:pPr>
            <w:r>
              <w:rPr>
                <w:rFonts w:hint="eastAsia"/>
                <w:color w:val="000000"/>
              </w:rPr>
              <w:t>高血糖・脂質異常該当者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67</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4.0%</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17</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0.9%</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84</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2.3%</w:t>
            </w:r>
          </w:p>
        </w:tc>
      </w:tr>
      <w:tr>
        <w:trPr>
          <w:trHeight w:val="20"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continue"/>
            <w:tcMar>
              <w:top w:w="28" w:type="dxa"/>
              <w:left w:w="28" w:type="dxa"/>
              <w:bottom w:w="28" w:type="dxa"/>
              <w:right w:w="28" w:type="dxa"/>
            </w:tcMar>
            <w:vAlign w:val="center"/>
          </w:tcPr>
          <w:p>
            <w:pPr>
              <w:pStyle w:val="0"/>
              <w:snapToGrid w:val="0"/>
              <w:rPr>
                <w:rFonts w:hint="default"/>
              </w:rPr>
            </w:pPr>
          </w:p>
        </w:tc>
        <w:tc>
          <w:tcPr>
            <w:tcW w:w="1524" w:type="pct"/>
            <w:tcMar>
              <w:top w:w="28" w:type="dxa"/>
              <w:left w:w="28" w:type="dxa"/>
              <w:bottom w:w="28" w:type="dxa"/>
              <w:right w:w="28" w:type="dxa"/>
            </w:tcMar>
            <w:vAlign w:val="center"/>
          </w:tcPr>
          <w:p>
            <w:pPr>
              <w:pStyle w:val="0"/>
              <w:snapToGrid w:val="0"/>
              <w:rPr>
                <w:rFonts w:hint="default"/>
              </w:rPr>
            </w:pPr>
            <w:r>
              <w:rPr>
                <w:rFonts w:hint="eastAsia"/>
                <w:color w:val="000000"/>
              </w:rPr>
              <w:t>高血圧・脂質異常該当者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189</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11.3%</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85</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4.4%</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274</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7.6%</w:t>
            </w:r>
          </w:p>
        </w:tc>
      </w:tr>
      <w:tr>
        <w:trPr>
          <w:trHeight w:val="30"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p>
        </w:tc>
        <w:tc>
          <w:tcPr>
            <w:tcW w:w="1524" w:type="pct"/>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color w:val="000000"/>
              </w:rPr>
            </w:pPr>
            <w:r>
              <w:rPr>
                <w:rFonts w:hint="eastAsia"/>
                <w:color w:val="000000"/>
              </w:rPr>
              <w:t>高血糖・高血圧・脂質異常該当者</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color w:val="000000"/>
              </w:rPr>
              <w:t>141</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rPr>
              <w:t>8.4%</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color w:val="000000"/>
              </w:rPr>
              <w:t>66</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rPr>
              <w:t>3.4%</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color w:val="000000"/>
              </w:rPr>
              <w:t>207</w:t>
            </w:r>
          </w:p>
        </w:tc>
        <w:tc>
          <w:tcPr>
            <w:tcW w:w="551" w:type="pct"/>
            <w:tcMar>
              <w:top w:w="28" w:type="dxa"/>
              <w:left w:w="28" w:type="dxa"/>
              <w:bottom w:w="28" w:type="dxa"/>
              <w:right w:w="28" w:type="dxa"/>
            </w:tcMar>
            <w:vAlign w:val="center"/>
          </w:tcPr>
          <w:p>
            <w:pPr>
              <w:pStyle w:val="0"/>
              <w:snapToGrid w:val="0"/>
              <w:jc w:val="right"/>
              <w:rPr>
                <w:rFonts w:hint="default"/>
                <w:color w:val="000000"/>
              </w:rPr>
            </w:pPr>
            <w:r>
              <w:rPr>
                <w:rFonts w:hint="default"/>
              </w:rPr>
              <w:t>5.7%</w:t>
            </w:r>
          </w:p>
        </w:tc>
      </w:tr>
      <w:tr>
        <w:trPr>
          <w:trHeight w:val="20" w:hRule="atLeast"/>
        </w:trPr>
        <w:tc>
          <w:tcPr>
            <w:tcW w:w="81" w:type="pct"/>
            <w:vMerge w:val="continue"/>
            <w:tcMar>
              <w:top w:w="40" w:type="dxa"/>
              <w:left w:w="40" w:type="dxa"/>
              <w:bottom w:w="40" w:type="dxa"/>
              <w:right w:w="40" w:type="dxa"/>
            </w:tcMar>
            <w:vAlign w:val="center"/>
          </w:tcPr>
          <w:p>
            <w:pPr>
              <w:pStyle w:val="0"/>
              <w:rPr>
                <w:rFonts w:hint="default"/>
              </w:rPr>
            </w:pPr>
          </w:p>
        </w:tc>
        <w:tc>
          <w:tcPr>
            <w:tcW w:w="1608" w:type="pct"/>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r>
              <w:rPr>
                <w:rFonts w:hint="eastAsia"/>
                <w:color w:val="000000"/>
              </w:rPr>
              <w:t>メタボ予備群該当者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322</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19.2%</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130</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6.7%</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452</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12.5%</w:t>
            </w:r>
          </w:p>
        </w:tc>
      </w:tr>
      <w:tr>
        <w:trPr>
          <w:trHeight w:val="20"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p>
        </w:tc>
        <w:tc>
          <w:tcPr>
            <w:tcW w:w="1524" w:type="pct"/>
            <w:tcBorders>
              <w:top w:val="single" w:color="auto"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napToGrid w:val="0"/>
              <w:rPr>
                <w:rFonts w:hint="default"/>
              </w:rPr>
            </w:pPr>
            <w:r>
              <w:rPr>
                <w:rFonts w:hint="eastAsia"/>
                <w:color w:val="000000"/>
              </w:rPr>
              <w:t>高血糖該当者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26</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1.6%</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14</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0.7%</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40</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1.1%</w:t>
            </w:r>
          </w:p>
        </w:tc>
      </w:tr>
      <w:tr>
        <w:trPr>
          <w:trHeight w:val="20"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continue"/>
            <w:tcMar>
              <w:top w:w="28" w:type="dxa"/>
              <w:left w:w="28" w:type="dxa"/>
              <w:bottom w:w="28" w:type="dxa"/>
              <w:right w:w="28" w:type="dxa"/>
            </w:tcMar>
            <w:vAlign w:val="center"/>
          </w:tcPr>
          <w:p>
            <w:pPr>
              <w:pStyle w:val="0"/>
              <w:snapToGrid w:val="0"/>
              <w:rPr>
                <w:rFonts w:hint="default"/>
              </w:rPr>
            </w:pPr>
          </w:p>
        </w:tc>
        <w:tc>
          <w:tcPr>
            <w:tcW w:w="1524" w:type="pct"/>
            <w:tcMar>
              <w:top w:w="28" w:type="dxa"/>
              <w:left w:w="28" w:type="dxa"/>
              <w:bottom w:w="28" w:type="dxa"/>
              <w:right w:w="28" w:type="dxa"/>
            </w:tcMar>
            <w:vAlign w:val="center"/>
          </w:tcPr>
          <w:p>
            <w:pPr>
              <w:pStyle w:val="0"/>
              <w:snapToGrid w:val="0"/>
              <w:rPr>
                <w:rFonts w:hint="default"/>
              </w:rPr>
            </w:pPr>
            <w:r>
              <w:rPr>
                <w:rFonts w:hint="eastAsia"/>
                <w:color w:val="000000"/>
              </w:rPr>
              <w:t>高血圧該当者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155</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9.3%</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61</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3.1%</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216</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6.0%</w:t>
            </w:r>
          </w:p>
        </w:tc>
      </w:tr>
      <w:tr>
        <w:trPr>
          <w:trHeight w:val="30" w:hRule="atLeast"/>
        </w:trPr>
        <w:tc>
          <w:tcPr>
            <w:tcW w:w="81" w:type="pct"/>
            <w:vMerge w:val="continue"/>
            <w:tcMar>
              <w:top w:w="40" w:type="dxa"/>
              <w:left w:w="40" w:type="dxa"/>
              <w:bottom w:w="40" w:type="dxa"/>
              <w:right w:w="40" w:type="dxa"/>
            </w:tcMar>
            <w:vAlign w:val="center"/>
          </w:tcPr>
          <w:p>
            <w:pPr>
              <w:pStyle w:val="0"/>
              <w:rPr>
                <w:rFonts w:hint="default"/>
              </w:rPr>
            </w:pPr>
          </w:p>
        </w:tc>
        <w:tc>
          <w:tcPr>
            <w:tcW w:w="84" w:type="pct"/>
            <w:vMerge w:val="continue"/>
            <w:tcMar>
              <w:top w:w="28" w:type="dxa"/>
              <w:left w:w="28" w:type="dxa"/>
              <w:bottom w:w="28" w:type="dxa"/>
              <w:right w:w="28" w:type="dxa"/>
            </w:tcMar>
            <w:vAlign w:val="center"/>
          </w:tcPr>
          <w:p>
            <w:pPr>
              <w:pStyle w:val="0"/>
              <w:snapToGrid w:val="0"/>
              <w:rPr>
                <w:rFonts w:hint="default"/>
              </w:rPr>
            </w:pPr>
          </w:p>
        </w:tc>
        <w:tc>
          <w:tcPr>
            <w:tcW w:w="1524" w:type="pct"/>
            <w:tcMar>
              <w:top w:w="28" w:type="dxa"/>
              <w:left w:w="28" w:type="dxa"/>
              <w:bottom w:w="28" w:type="dxa"/>
              <w:right w:w="28" w:type="dxa"/>
            </w:tcMar>
            <w:vAlign w:val="center"/>
          </w:tcPr>
          <w:p>
            <w:pPr>
              <w:pStyle w:val="0"/>
              <w:snapToGrid w:val="0"/>
              <w:rPr>
                <w:rFonts w:hint="default"/>
              </w:rPr>
            </w:pPr>
            <w:r>
              <w:rPr>
                <w:rFonts w:hint="eastAsia"/>
                <w:color w:val="000000"/>
              </w:rPr>
              <w:t>脂質異常該当者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141</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8.4%</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55</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rPr>
              <w:t>2.8%</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196</w:t>
            </w:r>
          </w:p>
        </w:tc>
        <w:tc>
          <w:tcPr>
            <w:tcW w:w="551" w:type="pct"/>
            <w:tcMar>
              <w:top w:w="28" w:type="dxa"/>
              <w:left w:w="28" w:type="dxa"/>
              <w:bottom w:w="28" w:type="dxa"/>
              <w:right w:w="28" w:type="dxa"/>
            </w:tcMar>
            <w:vAlign w:val="center"/>
          </w:tcPr>
          <w:p>
            <w:pPr>
              <w:pStyle w:val="0"/>
              <w:snapToGrid w:val="0"/>
              <w:jc w:val="right"/>
              <w:rPr>
                <w:rFonts w:hint="default"/>
              </w:rPr>
            </w:pPr>
            <w:r>
              <w:rPr>
                <w:rFonts w:hint="default"/>
              </w:rPr>
              <w:t>5.4%</w:t>
            </w:r>
          </w:p>
        </w:tc>
      </w:tr>
      <w:tr>
        <w:trPr>
          <w:trHeight w:val="30" w:hRule="atLeast"/>
        </w:trPr>
        <w:tc>
          <w:tcPr>
            <w:tcW w:w="81" w:type="pct"/>
            <w:vMerge w:val="continue"/>
            <w:tcMar>
              <w:top w:w="40" w:type="dxa"/>
              <w:left w:w="40" w:type="dxa"/>
              <w:bottom w:w="40" w:type="dxa"/>
              <w:right w:w="40" w:type="dxa"/>
            </w:tcMar>
            <w:vAlign w:val="center"/>
          </w:tcPr>
          <w:p>
            <w:pPr>
              <w:pStyle w:val="0"/>
              <w:rPr>
                <w:rFonts w:hint="default"/>
              </w:rPr>
            </w:pPr>
          </w:p>
        </w:tc>
        <w:tc>
          <w:tcPr>
            <w:tcW w:w="1608" w:type="pct"/>
            <w:gridSpan w:val="2"/>
            <w:tcMar>
              <w:top w:w="28" w:type="dxa"/>
              <w:left w:w="28" w:type="dxa"/>
              <w:bottom w:w="28" w:type="dxa"/>
              <w:right w:w="28" w:type="dxa"/>
            </w:tcMar>
            <w:vAlign w:val="center"/>
          </w:tcPr>
          <w:p>
            <w:pPr>
              <w:pStyle w:val="0"/>
              <w:snapToGrid w:val="0"/>
              <w:rPr>
                <w:rFonts w:hint="default"/>
                <w:color w:val="000000"/>
              </w:rPr>
            </w:pPr>
            <w:r>
              <w:rPr>
                <w:rFonts w:hint="eastAsia"/>
                <w:color w:val="000000"/>
              </w:rPr>
              <w:t>腹囲のみ該当者</w:t>
            </w:r>
          </w:p>
        </w:tc>
        <w:tc>
          <w:tcPr>
            <w:tcW w:w="552" w:type="pct"/>
            <w:tcMar>
              <w:top w:w="28" w:type="dxa"/>
              <w:left w:w="28" w:type="dxa"/>
              <w:bottom w:w="28" w:type="dxa"/>
              <w:right w:w="28" w:type="dxa"/>
            </w:tcMar>
            <w:vAlign w:val="center"/>
          </w:tcPr>
          <w:p>
            <w:pPr>
              <w:pStyle w:val="0"/>
              <w:snapToGrid w:val="0"/>
              <w:jc w:val="right"/>
              <w:rPr>
                <w:rFonts w:hint="default"/>
              </w:rPr>
            </w:pPr>
            <w:r>
              <w:rPr>
                <w:rFonts w:hint="default"/>
                <w:color w:val="000000"/>
              </w:rPr>
              <w:t>138</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rPr>
              <w:t>8.2%</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color w:val="000000"/>
              </w:rPr>
              <w:t>78</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rPr>
              <w:t>4.0%</w:t>
            </w:r>
          </w:p>
        </w:tc>
        <w:tc>
          <w:tcPr>
            <w:tcW w:w="552" w:type="pct"/>
            <w:tcMar>
              <w:top w:w="28" w:type="dxa"/>
              <w:left w:w="28" w:type="dxa"/>
              <w:bottom w:w="28" w:type="dxa"/>
              <w:right w:w="28" w:type="dxa"/>
            </w:tcMar>
            <w:vAlign w:val="center"/>
          </w:tcPr>
          <w:p>
            <w:pPr>
              <w:pStyle w:val="0"/>
              <w:snapToGrid w:val="0"/>
              <w:jc w:val="right"/>
              <w:rPr>
                <w:rFonts w:hint="default"/>
                <w:color w:val="000000"/>
              </w:rPr>
            </w:pPr>
            <w:r>
              <w:rPr>
                <w:rFonts w:hint="default"/>
                <w:color w:val="000000"/>
              </w:rPr>
              <w:t>216</w:t>
            </w:r>
          </w:p>
        </w:tc>
        <w:tc>
          <w:tcPr>
            <w:tcW w:w="551" w:type="pct"/>
            <w:tcMar>
              <w:top w:w="28" w:type="dxa"/>
              <w:left w:w="28" w:type="dxa"/>
              <w:bottom w:w="28" w:type="dxa"/>
              <w:right w:w="28" w:type="dxa"/>
            </w:tcMar>
            <w:vAlign w:val="center"/>
          </w:tcPr>
          <w:p>
            <w:pPr>
              <w:pStyle w:val="0"/>
              <w:snapToGrid w:val="0"/>
              <w:jc w:val="right"/>
              <w:rPr>
                <w:rFonts w:hint="default"/>
                <w:color w:val="000000"/>
              </w:rPr>
            </w:pPr>
            <w:r>
              <w:rPr>
                <w:rFonts w:hint="default"/>
              </w:rPr>
              <w:t>6.0%</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S21_025-</w:t>
      </w:r>
      <w:r>
        <w:rPr>
          <w:rFonts w:hint="default"/>
        </w:rPr>
        <w:t>厚生労働省様式（様式</w:t>
      </w:r>
      <w:r>
        <w:rPr>
          <w:rFonts w:hint="default"/>
        </w:rPr>
        <w:t>5-3</w:t>
      </w:r>
      <w:r>
        <w:rPr>
          <w:rFonts w:hint="default"/>
        </w:rPr>
        <w:t>）</w:t>
      </w:r>
      <w:r>
        <w:rPr>
          <w:rFonts w:hint="default"/>
        </w:rPr>
        <w:t xml:space="preserve"> </w:t>
      </w:r>
      <w:r>
        <w:rPr>
          <w:rFonts w:hint="eastAsia"/>
        </w:rPr>
        <w:t>令和</w:t>
      </w:r>
      <w:r>
        <w:rPr>
          <w:rFonts w:hint="eastAsia"/>
        </w:rPr>
        <w:t>4</w:t>
      </w:r>
      <w:r>
        <w:rPr>
          <w:rFonts w:hint="eastAsia"/>
        </w:rPr>
        <w:t>年度</w:t>
      </w:r>
      <w:r>
        <w:rPr>
          <w:rFonts w:hint="eastAsia"/>
        </w:rPr>
        <w:t xml:space="preserve"> </w:t>
      </w:r>
      <w:r>
        <w:rPr>
          <w:rFonts w:hint="eastAsia"/>
        </w:rPr>
        <w:t>年次</w:t>
      </w:r>
    </w:p>
    <w:p>
      <w:pPr>
        <w:pStyle w:val="0"/>
        <w:rPr>
          <w:rFonts w:hint="default"/>
          <w:b w:val="1"/>
        </w:rPr>
      </w:pPr>
      <w:r>
        <w:rPr>
          <w:rFonts w:hint="default"/>
        </w:rPr>
        <w:br w:type="page"/>
      </w:r>
    </w:p>
    <w:p>
      <w:pPr>
        <w:pStyle w:val="3"/>
        <w:rPr>
          <w:rFonts w:hint="default"/>
        </w:rPr>
      </w:pPr>
      <w:bookmarkStart w:id="70" w:name="_Toc162548690"/>
      <w:r>
        <w:rPr>
          <w:rFonts w:hint="default"/>
        </w:rPr>
        <w:t>特定保健指導実施率</w:t>
      </w:r>
      <w:bookmarkEnd w:id="70"/>
    </w:p>
    <w:p>
      <w:pPr>
        <w:pStyle w:val="39"/>
        <w:ind w:firstLine="200"/>
        <w:rPr>
          <w:rFonts w:hint="default"/>
        </w:rPr>
      </w:pPr>
      <w:r>
        <w:rPr>
          <w:rFonts w:hint="eastAsia"/>
        </w:rPr>
        <w:t>ここでは、特定保健指導の実施状況を概観する。特定保健指導とは、「特定健康診査の結果に基づき、主にメタボリックシンドロームの予防や解消を目的に行われる健康支援」（厚生労働省</w:t>
      </w:r>
      <w:r>
        <w:rPr>
          <w:rFonts w:hint="eastAsia"/>
        </w:rPr>
        <w:t xml:space="preserve"> </w:t>
      </w:r>
      <w:r>
        <w:rPr>
          <w:rFonts w:hint="eastAsia"/>
        </w:rPr>
        <w:t>生活習慣病予防のための健康情報サイトより引用）である。特定保健指導実施率をみることで、前述のメタボ該当者とメタボ予備群該当者のうち、どの程度の特定保健指導の対象者に対して支援できているのかがわかる。</w:t>
      </w:r>
    </w:p>
    <w:p>
      <w:pPr>
        <w:pStyle w:val="39"/>
        <w:ind w:firstLine="200"/>
        <w:rPr>
          <w:rFonts w:hint="default"/>
        </w:rPr>
      </w:pPr>
      <w:r>
        <w:rPr>
          <w:rFonts w:hint="eastAsia"/>
        </w:rPr>
        <w:t>特定健診受診者のうち特定保健指導の対象者数は（</w:t>
      </w:r>
      <w:r>
        <w:rPr>
          <w:rFonts w:hint="eastAsia"/>
        </w:rPr>
        <w:fldChar w:fldCharType="begin"/>
      </w:r>
      <w:r>
        <w:rPr>
          <w:rFonts w:hint="eastAsia"/>
        </w:rPr>
        <w:instrText xml:space="preserve">REF _Ref138936910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4</w:t>
      </w:r>
      <w:r>
        <w:rPr>
          <w:rFonts w:hint="eastAsia"/>
        </w:rPr>
        <w:t>-</w:t>
      </w:r>
      <w:r>
        <w:rPr>
          <w:rFonts w:hint="default"/>
        </w:rPr>
        <w:t>1</w:t>
      </w:r>
      <w:r>
        <w:rPr>
          <w:rFonts w:hint="eastAsia"/>
        </w:rPr>
        <w:fldChar w:fldCharType="end"/>
      </w:r>
      <w:r>
        <w:rPr>
          <w:rFonts w:hint="default"/>
        </w:rPr>
        <w:t>）</w:t>
      </w:r>
      <w:r>
        <w:rPr>
          <w:rFonts w:hint="eastAsia"/>
        </w:rPr>
        <w:t>、</w:t>
      </w:r>
      <w:bookmarkStart w:id="71" w:name="_Hlk152705331"/>
      <w:r>
        <w:rPr>
          <w:rFonts w:hint="eastAsia"/>
        </w:rPr>
        <w:t>令和</w:t>
      </w:r>
      <w:r>
        <w:rPr>
          <w:rFonts w:hint="default"/>
        </w:rPr>
        <w:t>4</w:t>
      </w:r>
      <w:r>
        <w:rPr>
          <w:rFonts w:hint="default"/>
        </w:rPr>
        <w:t>年度の速報値では</w:t>
      </w:r>
      <w:r>
        <w:rPr>
          <w:rFonts w:hint="eastAsia"/>
        </w:rPr>
        <w:t>540</w:t>
      </w:r>
      <w:r>
        <w:rPr>
          <w:rFonts w:hint="default"/>
        </w:rPr>
        <w:t>人で、特定健診受診者</w:t>
      </w:r>
      <w:r>
        <w:rPr>
          <w:rFonts w:hint="eastAsia"/>
        </w:rPr>
        <w:t>3,599</w:t>
      </w:r>
      <w:r>
        <w:rPr>
          <w:rFonts w:hint="default"/>
        </w:rPr>
        <w:t>人中</w:t>
      </w:r>
      <w:r>
        <w:rPr>
          <w:rFonts w:hint="eastAsia"/>
        </w:rPr>
        <w:t>15</w:t>
      </w:r>
      <w:r>
        <w:rPr>
          <w:rFonts w:hint="default"/>
        </w:rPr>
        <w:t>.</w:t>
      </w:r>
      <w:r>
        <w:rPr>
          <w:rFonts w:hint="eastAsia"/>
        </w:rPr>
        <w:t>0</w:t>
      </w:r>
      <w:r>
        <w:rPr>
          <w:rFonts w:hint="default"/>
        </w:rPr>
        <w:t>%</w:t>
      </w:r>
      <w:r>
        <w:rPr>
          <w:rFonts w:hint="default"/>
        </w:rPr>
        <w:t>を占める。特定保健指導対象者のうち特定保健指導を終了した</w:t>
      </w:r>
      <w:r>
        <w:rPr>
          <w:rFonts w:hint="eastAsia"/>
        </w:rPr>
        <w:t>もの</w:t>
      </w:r>
      <w:r>
        <w:rPr>
          <w:rFonts w:hint="default"/>
        </w:rPr>
        <w:t>の割合、すなわち特定保健指導実施率は</w:t>
      </w:r>
      <w:r>
        <w:rPr>
          <w:rFonts w:hint="default"/>
        </w:rPr>
        <w:t>27.</w:t>
      </w:r>
      <w:r>
        <w:rPr>
          <w:rFonts w:hint="eastAsia"/>
        </w:rPr>
        <w:t>0</w:t>
      </w:r>
      <w:r>
        <w:rPr>
          <w:rFonts w:hint="default"/>
        </w:rPr>
        <w:t>%</w:t>
      </w:r>
      <w:r>
        <w:rPr>
          <w:rFonts w:hint="default"/>
        </w:rPr>
        <w:t>で、令和</w:t>
      </w:r>
      <w:r>
        <w:rPr>
          <w:rFonts w:hint="eastAsia"/>
        </w:rPr>
        <w:t>1</w:t>
      </w:r>
      <w:r>
        <w:rPr>
          <w:rFonts w:hint="default"/>
        </w:rPr>
        <w:t>年度の実施率</w:t>
      </w:r>
      <w:r>
        <w:rPr>
          <w:rFonts w:hint="default"/>
        </w:rPr>
        <w:t>1</w:t>
      </w:r>
      <w:r>
        <w:rPr>
          <w:rFonts w:hint="eastAsia"/>
        </w:rPr>
        <w:t>8</w:t>
      </w:r>
      <w:r>
        <w:rPr>
          <w:rFonts w:hint="default"/>
        </w:rPr>
        <w:t>.</w:t>
      </w:r>
      <w:r>
        <w:rPr>
          <w:rFonts w:hint="eastAsia"/>
        </w:rPr>
        <w:t>2</w:t>
      </w:r>
      <w:r>
        <w:rPr>
          <w:rFonts w:hint="default"/>
        </w:rPr>
        <w:t>%</w:t>
      </w:r>
      <w:r>
        <w:rPr>
          <w:rFonts w:hint="default"/>
        </w:rPr>
        <w:t>と比較すると</w:t>
      </w:r>
      <w:r>
        <w:rPr>
          <w:rFonts w:hint="eastAsia"/>
        </w:rPr>
        <w:t>8</w:t>
      </w:r>
      <w:r>
        <w:rPr>
          <w:rFonts w:hint="default"/>
        </w:rPr>
        <w:t>.</w:t>
      </w:r>
      <w:r>
        <w:rPr>
          <w:rFonts w:hint="eastAsia"/>
        </w:rPr>
        <w:t>8</w:t>
      </w:r>
      <w:r>
        <w:rPr>
          <w:rFonts w:hint="default"/>
        </w:rPr>
        <w:t>ポイント</w:t>
      </w:r>
      <w:r>
        <w:rPr>
          <w:rFonts w:hint="eastAsia"/>
        </w:rPr>
        <w:t>上昇</w:t>
      </w:r>
      <w:r>
        <w:rPr>
          <w:rFonts w:hint="default"/>
        </w:rPr>
        <w:t>している。令和</w:t>
      </w:r>
      <w:r>
        <w:rPr>
          <w:rFonts w:hint="default"/>
        </w:rPr>
        <w:t>3</w:t>
      </w:r>
      <w:r>
        <w:rPr>
          <w:rFonts w:hint="default"/>
        </w:rPr>
        <w:t>年度までの実施率でみると国・県より低い。</w:t>
      </w:r>
      <w:bookmarkEnd w:id="71"/>
    </w:p>
    <w:p>
      <w:pPr>
        <w:pStyle w:val="0"/>
        <w:rPr>
          <w:rFonts w:hint="default"/>
        </w:rPr>
      </w:pPr>
    </w:p>
    <w:p>
      <w:pPr>
        <w:pStyle w:val="38"/>
        <w:rPr>
          <w:rFonts w:hint="default"/>
        </w:rPr>
      </w:pPr>
      <w:bookmarkStart w:id="72" w:name="_Ref13893691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72"/>
      <w:r>
        <w:rPr>
          <w:rFonts w:hint="default"/>
        </w:rPr>
        <w:t>：特定保健指導実施率（法定報告値）</w:t>
      </w:r>
    </w:p>
    <w:p>
      <w:pPr>
        <w:pStyle w:val="0"/>
        <w:jc w:val="center"/>
        <w:rPr>
          <w:rFonts w:hint="default"/>
        </w:rPr>
      </w:pPr>
      <w:r>
        <w:rPr>
          <w:rFonts w:hint="default"/>
        </w:rPr>
        <w:drawing>
          <wp:inline distT="0" distB="0" distL="0" distR="0">
            <wp:extent cx="5939790" cy="2519680"/>
            <wp:effectExtent l="0" t="0" r="0" b="0"/>
            <wp:docPr id="1078" name="オブジェクト 0"/>
            <a:graphic xmlns:a="http://schemas.openxmlformats.org/drawingml/2006/main">
              <a:graphicData uri="http://schemas.openxmlformats.org/drawingml/2006/chart">
                <c:chart xmlns:c="http://schemas.openxmlformats.org/drawingml/2006/chart" r:id="rId33"/>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339"/>
        <w:gridCol w:w="1339"/>
        <w:gridCol w:w="1339"/>
        <w:gridCol w:w="1339"/>
        <w:gridCol w:w="1340"/>
        <w:gridCol w:w="1339"/>
        <w:gridCol w:w="1340"/>
      </w:tblGrid>
      <w:tr>
        <w:trPr>
          <w:trHeight w:val="20" w:hRule="atLeast"/>
        </w:trPr>
        <w:tc>
          <w:tcPr>
            <w:tcW w:w="2678" w:type="dxa"/>
            <w:gridSpan w:val="2"/>
            <w:shd w:val="clear" w:color="auto" w:fill="CCD6FF"/>
            <w:tcMar>
              <w:top w:w="28" w:type="dxa"/>
              <w:left w:w="28" w:type="dxa"/>
              <w:bottom w:w="28" w:type="dxa"/>
              <w:right w:w="28" w:type="dxa"/>
            </w:tcMar>
            <w:vAlign w:val="center"/>
          </w:tcPr>
          <w:p>
            <w:pPr>
              <w:pStyle w:val="0"/>
              <w:jc w:val="center"/>
              <w:rPr>
                <w:rFonts w:hint="default"/>
              </w:rPr>
            </w:pPr>
          </w:p>
        </w:tc>
        <w:tc>
          <w:tcPr>
            <w:tcW w:w="1339"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1</w:t>
            </w:r>
            <w:r>
              <w:rPr>
                <w:rFonts w:hint="default"/>
                <w:b w:val="1"/>
              </w:rPr>
              <w:t>年度</w:t>
            </w:r>
          </w:p>
        </w:tc>
        <w:tc>
          <w:tcPr>
            <w:tcW w:w="1339"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2</w:t>
            </w:r>
            <w:r>
              <w:rPr>
                <w:rFonts w:hint="default"/>
                <w:b w:val="1"/>
              </w:rPr>
              <w:t>年度</w:t>
            </w:r>
          </w:p>
        </w:tc>
        <w:tc>
          <w:tcPr>
            <w:tcW w:w="1340" w:type="dxa"/>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1339" w:type="dxa"/>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1340" w:type="dxa"/>
            <w:shd w:val="clear" w:color="auto" w:fill="F2F2F2"/>
            <w:tcMar>
              <w:top w:w="28" w:type="dxa"/>
              <w:left w:w="28" w:type="dxa"/>
              <w:bottom w:w="28" w:type="dxa"/>
              <w:right w:w="28" w:type="dxa"/>
            </w:tcMar>
            <w:vAlign w:val="center"/>
          </w:tcPr>
          <w:p>
            <w:pPr>
              <w:pStyle w:val="0"/>
              <w:jc w:val="center"/>
              <w:rPr>
                <w:rFonts w:hint="default"/>
                <w:b w:val="1"/>
              </w:rPr>
            </w:pPr>
            <w:r>
              <w:rPr>
                <w:rFonts w:hint="default"/>
                <w:b w:val="1"/>
                <w:sz w:val="14"/>
              </w:rPr>
              <w:t>令和</w:t>
            </w:r>
            <w:r>
              <w:rPr>
                <w:rFonts w:hint="default"/>
                <w:b w:val="1"/>
                <w:sz w:val="14"/>
              </w:rPr>
              <w:t>1</w:t>
            </w:r>
            <w:r>
              <w:rPr>
                <w:rFonts w:hint="default"/>
                <w:b w:val="1"/>
                <w:sz w:val="14"/>
              </w:rPr>
              <w:t>年度と令和</w:t>
            </w:r>
            <w:r>
              <w:rPr>
                <w:rFonts w:hint="default"/>
                <w:b w:val="1"/>
                <w:sz w:val="14"/>
              </w:rPr>
              <w:t>4</w:t>
            </w:r>
            <w:r>
              <w:rPr>
                <w:rFonts w:hint="default"/>
                <w:b w:val="1"/>
                <w:sz w:val="14"/>
              </w:rPr>
              <w:t>年度の差</w:t>
            </w:r>
          </w:p>
        </w:tc>
      </w:tr>
      <w:tr>
        <w:trPr>
          <w:trHeight w:val="20" w:hRule="atLeast"/>
        </w:trPr>
        <w:tc>
          <w:tcPr>
            <w:tcW w:w="2678" w:type="dxa"/>
            <w:gridSpan w:val="2"/>
            <w:shd w:val="clear" w:color="auto" w:fill="auto"/>
            <w:tcMar>
              <w:top w:w="28" w:type="dxa"/>
              <w:left w:w="28" w:type="dxa"/>
              <w:bottom w:w="28" w:type="dxa"/>
              <w:right w:w="28" w:type="dxa"/>
            </w:tcMar>
            <w:vAlign w:val="center"/>
          </w:tcPr>
          <w:p>
            <w:pPr>
              <w:pStyle w:val="0"/>
              <w:rPr>
                <w:rFonts w:hint="default"/>
              </w:rPr>
            </w:pPr>
            <w:r>
              <w:rPr>
                <w:rFonts w:hint="eastAsia"/>
              </w:rPr>
              <w:t>特定健診受診者数（人）</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4,899</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2,624</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3,789</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3,599</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-1,300</w:t>
            </w:r>
          </w:p>
        </w:tc>
      </w:tr>
      <w:tr>
        <w:trPr>
          <w:trHeight w:val="20" w:hRule="atLeast"/>
        </w:trPr>
        <w:tc>
          <w:tcPr>
            <w:tcW w:w="2678" w:type="dxa"/>
            <w:gridSpan w:val="2"/>
            <w:shd w:val="clear" w:color="auto" w:fill="auto"/>
            <w:tcMar>
              <w:top w:w="28" w:type="dxa"/>
              <w:left w:w="28" w:type="dxa"/>
              <w:bottom w:w="28" w:type="dxa"/>
              <w:right w:w="28" w:type="dxa"/>
            </w:tcMar>
            <w:vAlign w:val="center"/>
          </w:tcPr>
          <w:p>
            <w:pPr>
              <w:pStyle w:val="0"/>
              <w:rPr>
                <w:rFonts w:hint="default"/>
              </w:rPr>
            </w:pPr>
            <w:r>
              <w:rPr>
                <w:rFonts w:hint="eastAsia"/>
              </w:rPr>
              <w:t>特定保健指導</w:t>
            </w:r>
            <w:r>
              <w:rPr>
                <w:rFonts w:hint="default"/>
              </w:rPr>
              <w:t>対象者</w:t>
            </w:r>
            <w:r>
              <w:rPr>
                <w:rFonts w:hint="eastAsia"/>
              </w:rPr>
              <w:t>数</w:t>
            </w:r>
            <w:r>
              <w:rPr>
                <w:rFonts w:hint="default"/>
              </w:rPr>
              <w:t>（人）</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818</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458</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731</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540</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w:t>
            </w:r>
            <w:r>
              <w:rPr>
                <w:rFonts w:hint="eastAsia"/>
              </w:rPr>
              <w:t>278</w:t>
            </w:r>
          </w:p>
        </w:tc>
      </w:tr>
      <w:tr>
        <w:trPr>
          <w:trHeight w:val="20" w:hRule="atLeast"/>
        </w:trPr>
        <w:tc>
          <w:tcPr>
            <w:tcW w:w="2678" w:type="dxa"/>
            <w:gridSpan w:val="2"/>
            <w:shd w:val="clear" w:color="auto" w:fill="auto"/>
            <w:tcMar>
              <w:top w:w="28" w:type="dxa"/>
              <w:left w:w="28" w:type="dxa"/>
              <w:bottom w:w="28" w:type="dxa"/>
              <w:right w:w="28" w:type="dxa"/>
            </w:tcMar>
            <w:vAlign w:val="center"/>
          </w:tcPr>
          <w:p>
            <w:pPr>
              <w:pStyle w:val="0"/>
              <w:rPr>
                <w:rFonts w:hint="default"/>
              </w:rPr>
            </w:pPr>
            <w:r>
              <w:rPr>
                <w:rFonts w:hint="eastAsia"/>
              </w:rPr>
              <w:t>特定保健指導該当者割合</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16.7%</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17.5%</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19.3%</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15</w:t>
            </w:r>
            <w:r>
              <w:rPr>
                <w:rFonts w:hint="default"/>
              </w:rPr>
              <w:t>.</w:t>
            </w:r>
            <w:r>
              <w:rPr>
                <w:rFonts w:hint="eastAsia"/>
              </w:rPr>
              <w:t>0</w:t>
            </w:r>
            <w:r>
              <w:rPr>
                <w:rFonts w:hint="default"/>
              </w:rPr>
              <w:t>%</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-1.7</w:t>
            </w:r>
          </w:p>
        </w:tc>
      </w:tr>
      <w:tr>
        <w:trPr>
          <w:trHeight w:val="42" w:hRule="atLeast"/>
        </w:trPr>
        <w:tc>
          <w:tcPr>
            <w:tcW w:w="2678" w:type="dxa"/>
            <w:gridSpan w:val="2"/>
            <w:shd w:val="clear" w:color="auto" w:fill="auto"/>
            <w:tcMar>
              <w:top w:w="28" w:type="dxa"/>
              <w:left w:w="28" w:type="dxa"/>
              <w:bottom w:w="28" w:type="dxa"/>
              <w:right w:w="28" w:type="dxa"/>
            </w:tcMar>
            <w:vAlign w:val="center"/>
          </w:tcPr>
          <w:p>
            <w:pPr>
              <w:pStyle w:val="0"/>
              <w:rPr>
                <w:rFonts w:hint="default"/>
              </w:rPr>
            </w:pPr>
            <w:r>
              <w:rPr>
                <w:rFonts w:hint="eastAsia"/>
              </w:rPr>
              <w:t>特定保健指導</w:t>
            </w:r>
            <w:r>
              <w:rPr>
                <w:rFonts w:hint="default"/>
              </w:rPr>
              <w:t>実施者</w:t>
            </w:r>
            <w:r>
              <w:rPr>
                <w:rFonts w:hint="eastAsia"/>
              </w:rPr>
              <w:t>数</w:t>
            </w:r>
            <w:r>
              <w:rPr>
                <w:rFonts w:hint="default"/>
              </w:rPr>
              <w:t>（人）</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149</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78</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149</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146</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w:t>
            </w:r>
            <w:r>
              <w:rPr>
                <w:rFonts w:hint="eastAsia"/>
              </w:rPr>
              <w:t>3</w:t>
            </w:r>
          </w:p>
        </w:tc>
      </w:tr>
      <w:tr>
        <w:trPr>
          <w:trHeight w:val="20" w:hRule="atLeast"/>
        </w:trPr>
        <w:tc>
          <w:tcPr>
            <w:tcW w:w="1339" w:type="dxa"/>
            <w:vMerge w:val="restart"/>
            <w:shd w:val="clear" w:color="auto" w:fill="auto"/>
            <w:tcMar>
              <w:top w:w="28" w:type="dxa"/>
              <w:left w:w="28" w:type="dxa"/>
              <w:bottom w:w="28" w:type="dxa"/>
              <w:right w:w="28" w:type="dxa"/>
            </w:tcMar>
            <w:vAlign w:val="center"/>
          </w:tcPr>
          <w:p>
            <w:pPr>
              <w:pStyle w:val="0"/>
              <w:rPr>
                <w:rFonts w:hint="default"/>
              </w:rPr>
            </w:pPr>
            <w:r>
              <w:rPr>
                <w:rFonts w:hint="default"/>
              </w:rPr>
              <w:t>特定保健指導</w:t>
            </w:r>
          </w:p>
          <w:p>
            <w:pPr>
              <w:pStyle w:val="0"/>
              <w:rPr>
                <w:rFonts w:hint="default"/>
              </w:rPr>
            </w:pPr>
            <w:r>
              <w:rPr>
                <w:rFonts w:hint="default"/>
              </w:rPr>
              <w:t>実施率</w:t>
            </w:r>
          </w:p>
        </w:tc>
        <w:tc>
          <w:tcPr>
            <w:tcW w:w="1339" w:type="dxa"/>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18.2%</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17.0%</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20.4%</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27.0%</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8.8</w:t>
            </w:r>
          </w:p>
        </w:tc>
      </w:tr>
      <w:tr>
        <w:trPr>
          <w:trHeight w:val="20" w:hRule="atLeast"/>
        </w:trPr>
        <w:tc>
          <w:tcPr>
            <w:tcW w:w="1339" w:type="dxa"/>
            <w:vMerge w:val="continue"/>
            <w:tcMar>
              <w:top w:w="28" w:type="dxa"/>
              <w:left w:w="28" w:type="dxa"/>
              <w:bottom w:w="28" w:type="dxa"/>
              <w:right w:w="28" w:type="dxa"/>
            </w:tcMar>
            <w:vAlign w:val="center"/>
          </w:tcPr>
          <w:p>
            <w:pPr>
              <w:pStyle w:val="0"/>
              <w:rPr>
                <w:rFonts w:hint="default"/>
              </w:rPr>
            </w:pPr>
          </w:p>
        </w:tc>
        <w:tc>
          <w:tcPr>
            <w:tcW w:w="1339" w:type="dxa"/>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29.3%</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1339" w:type="dxa"/>
            <w:vMerge w:val="continue"/>
            <w:tcMar>
              <w:top w:w="28" w:type="dxa"/>
              <w:left w:w="28" w:type="dxa"/>
              <w:bottom w:w="28" w:type="dxa"/>
              <w:right w:w="28" w:type="dxa"/>
            </w:tcMar>
            <w:vAlign w:val="center"/>
          </w:tcPr>
          <w:p>
            <w:pPr>
              <w:pStyle w:val="0"/>
              <w:rPr>
                <w:rFonts w:hint="default"/>
              </w:rPr>
            </w:pPr>
          </w:p>
        </w:tc>
        <w:tc>
          <w:tcPr>
            <w:tcW w:w="1339" w:type="dxa"/>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24.8%</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21.8%</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default"/>
              </w:rPr>
              <w:t>22.2%</w:t>
            </w:r>
          </w:p>
        </w:tc>
        <w:tc>
          <w:tcPr>
            <w:tcW w:w="1339" w:type="dxa"/>
            <w:shd w:val="clear" w:color="auto" w:fill="auto"/>
            <w:tcMar>
              <w:top w:w="28" w:type="dxa"/>
              <w:left w:w="28" w:type="dxa"/>
              <w:bottom w:w="28" w:type="dxa"/>
              <w:right w:w="28" w:type="dxa"/>
            </w:tcMar>
            <w:vAlign w:val="center"/>
          </w:tcPr>
          <w:p>
            <w:pPr>
              <w:pStyle w:val="0"/>
              <w:jc w:val="right"/>
              <w:rPr>
                <w:rFonts w:hint="default"/>
              </w:rPr>
            </w:pPr>
            <w:r>
              <w:rPr>
                <w:rFonts w:hint="default"/>
              </w:rPr>
              <w:t>2</w:t>
            </w:r>
            <w:r>
              <w:rPr>
                <w:rFonts w:hint="eastAsia"/>
              </w:rPr>
              <w:t>4</w:t>
            </w:r>
            <w:r>
              <w:rPr>
                <w:rFonts w:hint="default"/>
              </w:rPr>
              <w:t>.</w:t>
            </w:r>
            <w:r>
              <w:rPr>
                <w:rFonts w:hint="eastAsia"/>
              </w:rPr>
              <w:t>3</w:t>
            </w:r>
            <w:r>
              <w:rPr>
                <w:rFonts w:hint="default"/>
              </w:rPr>
              <w:t>%</w:t>
            </w:r>
          </w:p>
        </w:tc>
        <w:tc>
          <w:tcPr>
            <w:tcW w:w="1340" w:type="dxa"/>
            <w:shd w:val="clear" w:color="auto" w:fill="auto"/>
            <w:tcMar>
              <w:top w:w="28" w:type="dxa"/>
              <w:left w:w="28" w:type="dxa"/>
              <w:bottom w:w="28" w:type="dxa"/>
              <w:right w:w="28" w:type="dxa"/>
            </w:tcMar>
            <w:vAlign w:val="center"/>
          </w:tcPr>
          <w:p>
            <w:pPr>
              <w:pStyle w:val="0"/>
              <w:jc w:val="right"/>
              <w:rPr>
                <w:rFonts w:hint="default"/>
              </w:rPr>
            </w:pPr>
            <w:r>
              <w:rPr>
                <w:rFonts w:hint="eastAsia"/>
              </w:rPr>
              <w:t>-0.5</w:t>
            </w:r>
          </w:p>
        </w:tc>
      </w:tr>
    </w:tbl>
    <w:p>
      <w:pPr>
        <w:pStyle w:val="44"/>
        <w:rPr>
          <w:rFonts w:hint="default"/>
        </w:rPr>
      </w:pPr>
      <w:r>
        <w:rPr>
          <w:rFonts w:hint="eastAsia"/>
        </w:rPr>
        <w:t>【出典】厚生労働省</w:t>
      </w:r>
      <w:r>
        <w:rPr>
          <w:rFonts w:hint="eastAsia"/>
        </w:rPr>
        <w:t xml:space="preserve"> 2019</w:t>
      </w:r>
      <w:r>
        <w:rPr>
          <w:rFonts w:hint="eastAsia"/>
        </w:rPr>
        <w:t>年度から</w:t>
      </w:r>
      <w:r>
        <w:rPr>
          <w:rFonts w:hint="default"/>
          <w:shd w:val="clear" w:color="auto" w:fill="FFFFFF"/>
        </w:rPr>
        <w:t>2021</w:t>
      </w:r>
      <w:r>
        <w:rPr>
          <w:rFonts w:hint="eastAsia"/>
          <w:shd w:val="clear" w:color="auto" w:fill="FFFFFF"/>
        </w:rPr>
        <w:t>年度</w:t>
      </w:r>
      <w:r>
        <w:rPr>
          <w:rFonts w:hint="eastAsia"/>
          <w:shd w:val="clear" w:color="auto" w:fill="FFFFFF"/>
        </w:rPr>
        <w:t xml:space="preserve"> </w:t>
      </w:r>
      <w:r>
        <w:rPr>
          <w:rFonts w:hint="eastAsia"/>
          <w:shd w:val="clear" w:color="auto" w:fill="FFFFFF"/>
        </w:rPr>
        <w:t>特定健診・特定保健指導実施状況（保険者別）</w:t>
      </w:r>
    </w:p>
    <w:p>
      <w:pPr>
        <w:pStyle w:val="40"/>
        <w:rPr>
          <w:rFonts w:hint="default"/>
        </w:rPr>
      </w:pPr>
      <w:r>
        <w:rPr>
          <w:rFonts w:hint="eastAsia"/>
        </w:rPr>
        <w:t>公益社団法人</w:t>
      </w:r>
      <w:r>
        <w:rPr>
          <w:rFonts w:hint="eastAsia"/>
        </w:rPr>
        <w:t xml:space="preserve"> </w:t>
      </w:r>
      <w:r>
        <w:rPr>
          <w:rFonts w:hint="eastAsia"/>
        </w:rPr>
        <w:t>国民健康保険中央会</w:t>
      </w:r>
      <w:r>
        <w:rPr>
          <w:rFonts w:hint="eastAsia"/>
        </w:rPr>
        <w:t xml:space="preserve"> </w:t>
      </w:r>
      <w:r>
        <w:rPr>
          <w:rFonts w:hint="eastAsia"/>
        </w:rPr>
        <w:t>市町村国保特定健康診査・特定保健指導実施状況報告書</w:t>
      </w:r>
      <w:r>
        <w:rPr>
          <w:rFonts w:hint="eastAsia"/>
        </w:rPr>
        <w:t xml:space="preserve"> </w:t>
      </w:r>
      <w:r>
        <w:rPr>
          <w:rFonts w:hint="eastAsia"/>
        </w:rPr>
        <w:t>令和</w:t>
      </w:r>
      <w:r>
        <w:rPr>
          <w:rFonts w:hint="eastAsia"/>
        </w:rPr>
        <w:t>1</w:t>
      </w:r>
      <w:r>
        <w:rPr>
          <w:rFonts w:hint="eastAsia"/>
        </w:rPr>
        <w:t>年度から令和</w:t>
      </w:r>
      <w:r>
        <w:rPr>
          <w:rFonts w:hint="eastAsia"/>
        </w:rPr>
        <w:t>3</w:t>
      </w:r>
      <w:r>
        <w:rPr>
          <w:rFonts w:hint="eastAsia"/>
        </w:rPr>
        <w:t>年度</w:t>
      </w:r>
    </w:p>
    <w:p>
      <w:pPr>
        <w:pStyle w:val="42"/>
        <w:jc w:val="right"/>
        <w:rPr>
          <w:rFonts w:hint="default"/>
        </w:rPr>
      </w:pPr>
      <w:bookmarkStart w:id="73" w:name="_Hlk152705272"/>
      <w:r>
        <w:rPr>
          <w:rFonts w:hint="eastAsia"/>
        </w:rPr>
        <w:t>※令和</w:t>
      </w:r>
      <w:r>
        <w:rPr>
          <w:rFonts w:hint="default"/>
        </w:rPr>
        <w:t>4</w:t>
      </w:r>
      <w:r>
        <w:rPr>
          <w:rFonts w:hint="default"/>
        </w:rPr>
        <w:t>年度の国の法定報告値は令和</w:t>
      </w:r>
      <w:r>
        <w:rPr>
          <w:rFonts w:hint="eastAsia"/>
        </w:rPr>
        <w:t>6</w:t>
      </w:r>
      <w:r>
        <w:rPr>
          <w:rFonts w:hint="default"/>
        </w:rPr>
        <w:t>年</w:t>
      </w:r>
      <w:r>
        <w:rPr>
          <w:rFonts w:hint="eastAsia"/>
        </w:rPr>
        <w:t>3</w:t>
      </w:r>
      <w:r>
        <w:rPr>
          <w:rFonts w:hint="default"/>
        </w:rPr>
        <w:t>月時点で未公表のため、表は「</w:t>
      </w:r>
      <w:r>
        <w:rPr>
          <w:rFonts w:hint="default"/>
        </w:rPr>
        <w:t>-</w:t>
      </w:r>
      <w:r>
        <w:rPr>
          <w:rFonts w:hint="default"/>
        </w:rPr>
        <w:t>」と表記している</w:t>
      </w:r>
    </w:p>
    <w:p>
      <w:pPr>
        <w:pStyle w:val="0"/>
        <w:rPr>
          <w:rFonts w:hint="default"/>
          <w:b w:val="1"/>
        </w:rPr>
      </w:pPr>
      <w:bookmarkEnd w:id="73"/>
      <w:r>
        <w:rPr>
          <w:rFonts w:hint="default"/>
        </w:rPr>
        <w:br w:type="page"/>
      </w:r>
    </w:p>
    <w:p>
      <w:pPr>
        <w:pStyle w:val="3"/>
        <w:rPr>
          <w:rFonts w:hint="default"/>
        </w:rPr>
      </w:pPr>
      <w:bookmarkStart w:id="74" w:name="_Toc162548691"/>
      <w:r>
        <w:rPr>
          <w:rFonts w:hint="default"/>
        </w:rPr>
        <w:t>受診勧奨対象者の</w:t>
      </w:r>
      <w:r>
        <w:rPr>
          <w:rFonts w:hint="eastAsia"/>
        </w:rPr>
        <w:t>状況</w:t>
      </w:r>
      <w:bookmarkEnd w:id="74"/>
    </w:p>
    <w:p>
      <w:pPr>
        <w:pStyle w:val="4"/>
        <w:rPr>
          <w:rFonts w:hint="default"/>
        </w:rPr>
      </w:pPr>
      <w:r>
        <w:rPr>
          <w:rFonts w:hint="eastAsia"/>
        </w:rPr>
        <w:t>特定健診受診者における医療機関への受診勧奨対象者の割合</w:t>
      </w:r>
    </w:p>
    <w:p>
      <w:pPr>
        <w:pStyle w:val="39"/>
        <w:ind w:firstLine="200"/>
        <w:rPr>
          <w:rFonts w:hint="default"/>
        </w:rPr>
      </w:pPr>
      <w:r>
        <w:rPr>
          <w:rFonts w:hint="eastAsia"/>
        </w:rPr>
        <w:t>ここでは、特定健診受診者において、医療機関の受診を促す基準として設定されている受診勧奨判定値を超えるもの（受診勧奨対象者）の割合から、八街市の特定健診受診者において、受診勧奨対象者がどの程度存在するのかをみる。</w:t>
      </w:r>
    </w:p>
    <w:p>
      <w:pPr>
        <w:pStyle w:val="39"/>
        <w:ind w:firstLine="200"/>
        <w:rPr>
          <w:rFonts w:hint="default"/>
        </w:rPr>
      </w:pPr>
      <w:r>
        <w:rPr>
          <w:rFonts w:hint="eastAsia"/>
        </w:rPr>
        <w:t>受診勧奨対象者の割合をみると（</w:t>
      </w:r>
      <w:r>
        <w:rPr>
          <w:rFonts w:hint="eastAsia"/>
        </w:rPr>
        <w:fldChar w:fldCharType="begin"/>
      </w:r>
      <w:r>
        <w:rPr>
          <w:rFonts w:hint="eastAsia"/>
        </w:rPr>
        <w:instrText xml:space="preserve">REF _Ref130213262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default"/>
        </w:rPr>
        <w:t>）</w:t>
      </w:r>
      <w:r>
        <w:rPr>
          <w:rFonts w:hint="eastAsia"/>
        </w:rPr>
        <w:t>、</w:t>
      </w:r>
      <w:r>
        <w:rPr>
          <w:rFonts w:hint="default"/>
        </w:rPr>
        <w:t>令和</w:t>
      </w:r>
      <w:r>
        <w:rPr>
          <w:rFonts w:hint="default"/>
        </w:rPr>
        <w:t>4</w:t>
      </w:r>
      <w:r>
        <w:rPr>
          <w:rFonts w:hint="default"/>
        </w:rPr>
        <w:t>年度</w:t>
      </w:r>
      <w:r>
        <w:rPr>
          <w:rFonts w:hint="eastAsia"/>
        </w:rPr>
        <w:t>における</w:t>
      </w:r>
      <w:r>
        <w:rPr>
          <w:rFonts w:hint="default"/>
        </w:rPr>
        <w:t>受診勧奨</w:t>
      </w:r>
      <w:r>
        <w:rPr>
          <w:rFonts w:hint="eastAsia"/>
        </w:rPr>
        <w:t>対象</w:t>
      </w:r>
      <w:r>
        <w:rPr>
          <w:rFonts w:hint="default"/>
        </w:rPr>
        <w:t>者</w:t>
      </w:r>
      <w:r>
        <w:rPr>
          <w:rFonts w:hint="eastAsia"/>
        </w:rPr>
        <w:t>数は</w:t>
      </w:r>
      <w:r>
        <w:rPr>
          <w:rFonts w:hint="default"/>
        </w:rPr>
        <w:t>1,823</w:t>
      </w:r>
      <w:r>
        <w:rPr>
          <w:rFonts w:hint="default"/>
        </w:rPr>
        <w:t>人</w:t>
      </w:r>
      <w:r>
        <w:rPr>
          <w:rFonts w:hint="eastAsia"/>
        </w:rPr>
        <w:t>で、特定健診受診者の</w:t>
      </w:r>
      <w:r>
        <w:rPr>
          <w:rFonts w:hint="default"/>
        </w:rPr>
        <w:t>50.5%</w:t>
      </w:r>
      <w:r>
        <w:rPr>
          <w:rFonts w:hint="eastAsia"/>
        </w:rPr>
        <w:t>を占めている。該当者割合は、</w:t>
      </w:r>
      <w:r>
        <w:rPr>
          <w:rFonts w:hint="default"/>
        </w:rPr>
        <w:t>国・県より低く</w:t>
      </w:r>
      <w:r>
        <w:rPr>
          <w:rFonts w:hint="eastAsia"/>
        </w:rPr>
        <w:t>、</w:t>
      </w:r>
      <w:r>
        <w:rPr>
          <w:rFonts w:hint="default"/>
        </w:rPr>
        <w:t>令和</w:t>
      </w:r>
      <w:r>
        <w:rPr>
          <w:rFonts w:hint="default"/>
        </w:rPr>
        <w:t>1</w:t>
      </w:r>
      <w:r>
        <w:rPr>
          <w:rFonts w:hint="default"/>
        </w:rPr>
        <w:t>年度</w:t>
      </w:r>
      <w:r>
        <w:rPr>
          <w:rFonts w:hint="eastAsia"/>
        </w:rPr>
        <w:t>と比較すると</w:t>
      </w:r>
      <w:r>
        <w:rPr>
          <w:rFonts w:hint="default"/>
        </w:rPr>
        <w:t>2.0</w:t>
      </w:r>
      <w:r>
        <w:rPr>
          <w:rFonts w:hint="default"/>
        </w:rPr>
        <w:t>ポイント減少している</w:t>
      </w:r>
      <w:r>
        <w:rPr>
          <w:rFonts w:hint="eastAsia"/>
        </w:rPr>
        <w:t>。なお、</w:t>
      </w:r>
      <w:r>
        <w:rPr>
          <w:rFonts w:hint="eastAsia"/>
        </w:rPr>
        <w:fldChar w:fldCharType="begin"/>
      </w:r>
      <w:r>
        <w:rPr>
          <w:rFonts w:hint="eastAsia"/>
        </w:rPr>
        <w:instrText xml:space="preserve">REF _Ref130213262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eastAsia"/>
        </w:rPr>
        <w:t>における受診勧奨対象者は一項目でも受診勧奨判定値以上の項目があったものを指している。</w:t>
      </w:r>
    </w:p>
    <w:p>
      <w:pPr>
        <w:pStyle w:val="0"/>
        <w:rPr>
          <w:rFonts w:hint="default"/>
        </w:rPr>
      </w:pPr>
    </w:p>
    <w:p>
      <w:pPr>
        <w:pStyle w:val="38"/>
        <w:rPr>
          <w:rFonts w:hint="default"/>
        </w:rPr>
      </w:pPr>
      <w:bookmarkStart w:id="75" w:name="_Ref13021326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75"/>
      <w:r>
        <w:rPr>
          <w:rFonts w:hint="default"/>
        </w:rPr>
        <w:t>：特定健診受診者</w:t>
      </w:r>
      <w:r>
        <w:rPr>
          <w:rFonts w:hint="eastAsia"/>
        </w:rPr>
        <w:t>における医療機関への</w:t>
      </w:r>
      <w:r>
        <w:rPr>
          <w:rFonts w:hint="default"/>
        </w:rPr>
        <w:t>受診勧奨</w:t>
      </w:r>
      <w:r>
        <w:rPr>
          <w:rFonts w:hint="eastAsia"/>
        </w:rPr>
        <w:t>対象</w:t>
      </w:r>
      <w:r>
        <w:rPr>
          <w:rFonts w:hint="default"/>
        </w:rPr>
        <w:t>者</w:t>
      </w:r>
      <w:r>
        <w:rPr>
          <w:rFonts w:hint="eastAsia"/>
        </w:rPr>
        <w:t>の割合</w:t>
      </w:r>
    </w:p>
    <w:p>
      <w:pPr>
        <w:pStyle w:val="0"/>
        <w:tabs>
          <w:tab w:val="right" w:leader="none" w:pos="10204"/>
        </w:tabs>
        <w:spacing w:before="60" w:beforeLines="0" w:beforeAutospacing="0" w:line="240" w:lineRule="auto"/>
        <w:jc w:val="center"/>
        <w:rPr>
          <w:rFonts w:hint="default"/>
        </w:rPr>
      </w:pPr>
      <w:r>
        <w:rPr>
          <w:rFonts w:hint="default"/>
        </w:rPr>
        <w:drawing>
          <wp:inline distT="0" distB="0" distL="0" distR="0">
            <wp:extent cx="5939790" cy="2519680"/>
            <wp:effectExtent l="0" t="0" r="0" b="0"/>
            <wp:docPr id="1079" name="オブジェクト 0"/>
            <a:graphic xmlns:a="http://schemas.openxmlformats.org/drawingml/2006/main">
              <a:graphicData uri="http://schemas.openxmlformats.org/drawingml/2006/chart">
                <c:chart xmlns:c="http://schemas.openxmlformats.org/drawingml/2006/chart" r:id="rId34"/>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339"/>
        <w:gridCol w:w="1493"/>
        <w:gridCol w:w="1301"/>
        <w:gridCol w:w="1301"/>
        <w:gridCol w:w="1301"/>
        <w:gridCol w:w="1301"/>
        <w:gridCol w:w="1339"/>
      </w:tblGrid>
      <w:tr>
        <w:trPr>
          <w:trHeight w:val="20" w:hRule="atLeast"/>
        </w:trPr>
        <w:tc>
          <w:tcPr>
            <w:tcW w:w="1509" w:type="pct"/>
            <w:gridSpan w:val="2"/>
            <w:shd w:val="clear" w:color="auto" w:fill="CCD6FF"/>
            <w:tcMar>
              <w:top w:w="28" w:type="dxa"/>
              <w:left w:w="28" w:type="dxa"/>
              <w:bottom w:w="28" w:type="dxa"/>
              <w:right w:w="28" w:type="dxa"/>
            </w:tcMar>
            <w:vAlign w:val="center"/>
          </w:tcPr>
          <w:p>
            <w:pPr>
              <w:pStyle w:val="0"/>
              <w:jc w:val="center"/>
              <w:rPr>
                <w:rFonts w:hint="default"/>
              </w:rPr>
            </w:pPr>
          </w:p>
        </w:tc>
        <w:tc>
          <w:tcPr>
            <w:tcW w:w="6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6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6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6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715" w:type="pct"/>
            <w:shd w:val="clear" w:color="auto" w:fill="F2F2F2"/>
            <w:tcMar>
              <w:top w:w="28" w:type="dxa"/>
              <w:left w:w="28" w:type="dxa"/>
              <w:bottom w:w="28" w:type="dxa"/>
              <w:right w:w="28" w:type="dxa"/>
            </w:tcMar>
            <w:vAlign w:val="center"/>
          </w:tcPr>
          <w:p>
            <w:pPr>
              <w:pStyle w:val="0"/>
              <w:jc w:val="center"/>
              <w:rPr>
                <w:rFonts w:hint="default"/>
                <w:b w:val="1"/>
              </w:rPr>
            </w:pPr>
            <w:r>
              <w:rPr>
                <w:rFonts w:hint="default"/>
                <w:b w:val="1"/>
                <w:sz w:val="14"/>
              </w:rPr>
              <w:t>令和</w:t>
            </w:r>
            <w:r>
              <w:rPr>
                <w:rFonts w:hint="default"/>
                <w:b w:val="1"/>
                <w:sz w:val="14"/>
              </w:rPr>
              <w:t>1</w:t>
            </w:r>
            <w:r>
              <w:rPr>
                <w:rFonts w:hint="default"/>
                <w:b w:val="1"/>
                <w:sz w:val="14"/>
              </w:rPr>
              <w:t>年度と令和</w:t>
            </w:r>
            <w:r>
              <w:rPr>
                <w:rFonts w:hint="default"/>
                <w:b w:val="1"/>
                <w:sz w:val="14"/>
              </w:rPr>
              <w:t>4</w:t>
            </w:r>
            <w:r>
              <w:rPr>
                <w:rFonts w:hint="default"/>
                <w:b w:val="1"/>
                <w:sz w:val="14"/>
              </w:rPr>
              <w:t>年度の受診勧奨対象者率の差</w:t>
            </w:r>
          </w:p>
        </w:tc>
      </w:tr>
      <w:tr>
        <w:trPr>
          <w:trHeight w:val="20" w:hRule="atLeast"/>
        </w:trPr>
        <w:tc>
          <w:tcPr>
            <w:tcW w:w="1509" w:type="pct"/>
            <w:gridSpan w:val="2"/>
            <w:shd w:val="clear" w:color="auto" w:fill="auto"/>
            <w:tcMar>
              <w:top w:w="28" w:type="dxa"/>
              <w:left w:w="28" w:type="dxa"/>
              <w:bottom w:w="28" w:type="dxa"/>
              <w:right w:w="28" w:type="dxa"/>
            </w:tcMar>
            <w:vAlign w:val="center"/>
          </w:tcPr>
          <w:p>
            <w:pPr>
              <w:pStyle w:val="0"/>
              <w:rPr>
                <w:rFonts w:hint="default"/>
              </w:rPr>
            </w:pPr>
            <w:r>
              <w:rPr>
                <w:rFonts w:hint="eastAsia"/>
              </w:rPr>
              <w:t>特定</w:t>
            </w:r>
            <w:r>
              <w:rPr>
                <w:rFonts w:hint="default"/>
              </w:rPr>
              <w:t>健診受診者数（人）</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4,906</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2,641</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3,792</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eastAsia"/>
              </w:rPr>
              <w:t>3,611</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1509" w:type="pct"/>
            <w:gridSpan w:val="2"/>
            <w:shd w:val="clear" w:color="auto" w:fill="auto"/>
            <w:tcMar>
              <w:top w:w="28" w:type="dxa"/>
              <w:left w:w="28" w:type="dxa"/>
              <w:bottom w:w="28" w:type="dxa"/>
              <w:right w:w="28" w:type="dxa"/>
            </w:tcMar>
            <w:vAlign w:val="center"/>
          </w:tcPr>
          <w:p>
            <w:pPr>
              <w:pStyle w:val="0"/>
              <w:rPr>
                <w:rFonts w:hint="default"/>
              </w:rPr>
            </w:pPr>
            <w:r>
              <w:rPr>
                <w:rFonts w:hint="eastAsia"/>
              </w:rPr>
              <w:t>医療機関への</w:t>
            </w:r>
            <w:r>
              <w:rPr>
                <w:rFonts w:hint="default"/>
              </w:rPr>
              <w:t>受診勧奨対象者</w:t>
            </w:r>
            <w:r>
              <w:rPr>
                <w:rFonts w:hint="eastAsia"/>
              </w:rPr>
              <w:t>数</w:t>
            </w:r>
            <w:r>
              <w:rPr>
                <w:rFonts w:hint="default"/>
              </w:rPr>
              <w:t>（人）</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2,576</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1,562</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2,128</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eastAsia"/>
              </w:rPr>
              <w:t>1,823</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714"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受診勧奨</w:t>
            </w:r>
          </w:p>
          <w:p>
            <w:pPr>
              <w:pStyle w:val="0"/>
              <w:rPr>
                <w:rFonts w:hint="default"/>
              </w:rPr>
            </w:pPr>
            <w:r>
              <w:rPr>
                <w:rFonts w:hint="default"/>
              </w:rPr>
              <w:t>対象</w:t>
            </w:r>
            <w:r>
              <w:rPr>
                <w:rFonts w:hint="eastAsia"/>
              </w:rPr>
              <w:t>者</w:t>
            </w:r>
            <w:r>
              <w:rPr>
                <w:rFonts w:hint="default"/>
              </w:rPr>
              <w:t>率</w:t>
            </w:r>
          </w:p>
        </w:tc>
        <w:tc>
          <w:tcPr>
            <w:tcW w:w="796" w:type="pct"/>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52.5%</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59.1%</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56.1%</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50.5%</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r>
      <w:tr>
        <w:trPr>
          <w:trHeight w:val="20" w:hRule="atLeast"/>
        </w:trPr>
        <w:tc>
          <w:tcPr>
            <w:tcW w:w="714" w:type="pct"/>
            <w:vMerge w:val="continue"/>
            <w:shd w:val="clear" w:color="auto" w:fill="auto"/>
            <w:tcMar>
              <w:top w:w="28" w:type="dxa"/>
              <w:left w:w="28" w:type="dxa"/>
              <w:bottom w:w="28" w:type="dxa"/>
              <w:right w:w="28" w:type="dxa"/>
            </w:tcMar>
            <w:vAlign w:val="center"/>
          </w:tcPr>
          <w:p>
            <w:pPr>
              <w:pStyle w:val="0"/>
              <w:rPr>
                <w:rFonts w:hint="default"/>
              </w:rPr>
            </w:pPr>
          </w:p>
        </w:tc>
        <w:tc>
          <w:tcPr>
            <w:tcW w:w="796" w:type="pct"/>
            <w:shd w:val="clear" w:color="auto" w:fill="auto"/>
            <w:tcMar>
              <w:top w:w="28" w:type="dxa"/>
              <w:left w:w="28" w:type="dxa"/>
              <w:bottom w:w="28" w:type="dxa"/>
              <w:right w:w="28" w:type="dxa"/>
            </w:tcMar>
            <w:vAlign w:val="center"/>
          </w:tcPr>
          <w:p>
            <w:pPr>
              <w:pStyle w:val="0"/>
              <w:rPr>
                <w:rFonts w:hint="default"/>
              </w:rPr>
            </w:pPr>
            <w:r>
              <w:rPr>
                <w:rFonts w:hint="eastAsia"/>
              </w:rPr>
              <w:t>国</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57.5%</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59.7%</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59.0%</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57.1%</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r>
      <w:tr>
        <w:trPr>
          <w:trHeight w:val="20" w:hRule="atLeast"/>
        </w:trPr>
        <w:tc>
          <w:tcPr>
            <w:tcW w:w="714" w:type="pct"/>
            <w:vMerge w:val="continue"/>
            <w:shd w:val="clear" w:color="auto" w:fill="auto"/>
            <w:tcMar>
              <w:top w:w="28" w:type="dxa"/>
              <w:left w:w="28" w:type="dxa"/>
              <w:bottom w:w="28" w:type="dxa"/>
              <w:right w:w="28" w:type="dxa"/>
            </w:tcMar>
            <w:vAlign w:val="center"/>
          </w:tcPr>
          <w:p>
            <w:pPr>
              <w:pStyle w:val="0"/>
              <w:rPr>
                <w:rFonts w:hint="default"/>
              </w:rPr>
            </w:pPr>
          </w:p>
        </w:tc>
        <w:tc>
          <w:tcPr>
            <w:tcW w:w="796"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57.6%</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60.4%</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59.2%</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57.1%</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r>
      <w:tr>
        <w:trPr>
          <w:trHeight w:val="20" w:hRule="atLeast"/>
        </w:trPr>
        <w:tc>
          <w:tcPr>
            <w:tcW w:w="714" w:type="pct"/>
            <w:vMerge w:val="continue"/>
            <w:shd w:val="clear" w:color="auto" w:fill="auto"/>
            <w:tcMar>
              <w:top w:w="28" w:type="dxa"/>
              <w:left w:w="28" w:type="dxa"/>
              <w:bottom w:w="28" w:type="dxa"/>
              <w:right w:w="28" w:type="dxa"/>
            </w:tcMar>
            <w:vAlign w:val="center"/>
          </w:tcPr>
          <w:p>
            <w:pPr>
              <w:pStyle w:val="0"/>
              <w:rPr>
                <w:rFonts w:hint="default"/>
              </w:rPr>
            </w:pPr>
          </w:p>
        </w:tc>
        <w:tc>
          <w:tcPr>
            <w:tcW w:w="796" w:type="pct"/>
            <w:shd w:val="clear" w:color="auto" w:fill="auto"/>
            <w:tcMar>
              <w:top w:w="28" w:type="dxa"/>
              <w:left w:w="28" w:type="dxa"/>
              <w:bottom w:w="28" w:type="dxa"/>
              <w:right w:w="28" w:type="dxa"/>
            </w:tcMar>
            <w:vAlign w:val="center"/>
          </w:tcPr>
          <w:p>
            <w:pPr>
              <w:pStyle w:val="0"/>
              <w:rPr>
                <w:rFonts w:hint="default"/>
              </w:rPr>
            </w:pPr>
            <w:r>
              <w:rPr>
                <w:rFonts w:hint="eastAsia"/>
              </w:rPr>
              <w:t>同規模</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57.3%</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59.5%</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58.8%</w:t>
            </w:r>
          </w:p>
        </w:tc>
        <w:tc>
          <w:tcPr>
            <w:tcW w:w="694" w:type="pct"/>
            <w:shd w:val="clear" w:color="auto" w:fill="auto"/>
            <w:tcMar>
              <w:top w:w="28" w:type="dxa"/>
              <w:left w:w="28" w:type="dxa"/>
              <w:bottom w:w="28" w:type="dxa"/>
              <w:right w:w="28" w:type="dxa"/>
            </w:tcMar>
            <w:vAlign w:val="center"/>
          </w:tcPr>
          <w:p>
            <w:pPr>
              <w:pStyle w:val="0"/>
              <w:jc w:val="right"/>
              <w:rPr>
                <w:rFonts w:hint="default"/>
              </w:rPr>
            </w:pPr>
            <w:r>
              <w:rPr>
                <w:rFonts w:hint="default"/>
              </w:rPr>
              <w:t>57.0%</w:t>
            </w:r>
          </w:p>
        </w:tc>
        <w:tc>
          <w:tcPr>
            <w:tcW w:w="715"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1</w:t>
      </w:r>
      <w:r>
        <w:rPr>
          <w:rFonts w:hint="default"/>
        </w:rPr>
        <w:t>年度から</w:t>
      </w:r>
      <w:r>
        <w:rPr>
          <w:rFonts w:hint="eastAsia"/>
        </w:rPr>
        <w:t>令和</w:t>
      </w:r>
      <w:r>
        <w:rPr>
          <w:rFonts w:hint="eastAsia"/>
        </w:rPr>
        <w:t>4</w:t>
      </w:r>
      <w:r>
        <w:rPr>
          <w:rFonts w:hint="eastAsia"/>
        </w:rPr>
        <w:t>年度</w:t>
      </w:r>
      <w:r>
        <w:rPr>
          <w:rFonts w:hint="default"/>
        </w:rPr>
        <w:t xml:space="preserve"> </w:t>
      </w:r>
      <w:r>
        <w:rPr>
          <w:rFonts w:hint="default"/>
        </w:rPr>
        <w:t>累計</w:t>
      </w:r>
    </w:p>
    <w:p>
      <w:pPr>
        <w:pStyle w:val="0"/>
        <w:rPr>
          <w:rFonts w:hint="default"/>
        </w:rPr>
      </w:pPr>
    </w:p>
    <w:p>
      <w:pPr>
        <w:pStyle w:val="38"/>
        <w:rPr>
          <w:rFonts w:hint="default"/>
        </w:rPr>
      </w:pPr>
      <w:r>
        <w:rPr>
          <w:rFonts w:hint="default"/>
        </w:rPr>
        <w:t>参考：</w:t>
      </w:r>
      <w:r>
        <w:rPr>
          <w:rFonts w:hint="eastAsia"/>
        </w:rPr>
        <w:t>各健</w:t>
      </w:r>
      <w:r>
        <w:rPr>
          <w:rFonts w:hint="default"/>
        </w:rPr>
        <w:t>診項目</w:t>
      </w:r>
      <w:r>
        <w:rPr>
          <w:rFonts w:hint="eastAsia"/>
        </w:rPr>
        <w:t>における</w:t>
      </w:r>
      <w:r>
        <w:rPr>
          <w:rFonts w:hint="default"/>
        </w:rPr>
        <w:t>受診勧奨判定値</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Look w:firstRow="0" w:lastRow="0" w:firstColumn="0" w:lastColumn="0" w:noHBand="1" w:noVBand="1" w:val="0600"/>
      </w:tblPr>
      <w:tblGrid>
        <w:gridCol w:w="1563"/>
        <w:gridCol w:w="1562"/>
        <w:gridCol w:w="1562"/>
        <w:gridCol w:w="1562"/>
        <w:gridCol w:w="1562"/>
        <w:gridCol w:w="1564"/>
      </w:tblGrid>
      <w:tr>
        <w:trPr>
          <w:trHeight w:val="20" w:hRule="atLeast"/>
        </w:trPr>
        <w:tc>
          <w:tcPr>
            <w:tcW w:w="833"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空腹時血糖</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126mg/d</w:t>
            </w:r>
            <w:r>
              <w:rPr>
                <w:rFonts w:hint="default"/>
                <w:sz w:val="14"/>
              </w:rPr>
              <w:t>L</w:t>
            </w:r>
            <w:r>
              <w:rPr>
                <w:rFonts w:hint="eastAsia"/>
                <w:sz w:val="14"/>
              </w:rPr>
              <w:t>以上</w:t>
            </w:r>
          </w:p>
        </w:tc>
        <w:tc>
          <w:tcPr>
            <w:tcW w:w="833" w:type="pct"/>
            <w:shd w:val="clear" w:color="auto" w:themeFill="background1" w:themeFillTint="FF" w:themeFillShade="F2"/>
            <w:tcMar>
              <w:top w:w="28" w:type="dxa"/>
              <w:left w:w="28" w:type="dxa"/>
              <w:bottom w:w="28" w:type="dxa"/>
              <w:right w:w="28" w:type="dxa"/>
            </w:tcMar>
            <w:vAlign w:val="center"/>
          </w:tcPr>
          <w:p>
            <w:pPr>
              <w:pStyle w:val="0"/>
              <w:widowControl w:val="0"/>
              <w:rPr>
                <w:rFonts w:hint="default"/>
                <w:b w:val="1"/>
                <w:sz w:val="14"/>
              </w:rPr>
            </w:pPr>
            <w:r>
              <w:rPr>
                <w:rFonts w:hint="eastAsia"/>
                <w:b w:val="1"/>
                <w:sz w:val="14"/>
              </w:rPr>
              <w:t>中性脂肪</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300mg/d</w:t>
            </w:r>
            <w:r>
              <w:rPr>
                <w:rFonts w:hint="default"/>
                <w:sz w:val="14"/>
              </w:rPr>
              <w:t>L</w:t>
            </w:r>
            <w:r>
              <w:rPr>
                <w:rFonts w:hint="eastAsia"/>
                <w:sz w:val="14"/>
              </w:rPr>
              <w:t>以上</w:t>
            </w:r>
          </w:p>
        </w:tc>
        <w:tc>
          <w:tcPr>
            <w:tcW w:w="833"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AST</w:t>
            </w:r>
          </w:p>
        </w:tc>
        <w:tc>
          <w:tcPr>
            <w:tcW w:w="834" w:type="pct"/>
            <w:tcMar>
              <w:top w:w="28" w:type="dxa"/>
              <w:left w:w="28" w:type="dxa"/>
              <w:bottom w:w="28" w:type="dxa"/>
              <w:right w:w="28" w:type="dxa"/>
            </w:tcMar>
            <w:vAlign w:val="center"/>
          </w:tcPr>
          <w:p>
            <w:pPr>
              <w:pStyle w:val="0"/>
              <w:widowControl w:val="0"/>
              <w:rPr>
                <w:rFonts w:hint="default"/>
                <w:sz w:val="14"/>
              </w:rPr>
            </w:pPr>
            <w:r>
              <w:rPr>
                <w:rFonts w:hint="eastAsia"/>
                <w:sz w:val="14"/>
              </w:rPr>
              <w:t>51U/L</w:t>
            </w:r>
            <w:r>
              <w:rPr>
                <w:rFonts w:hint="eastAsia"/>
                <w:sz w:val="14"/>
              </w:rPr>
              <w:t>以上</w:t>
            </w:r>
          </w:p>
        </w:tc>
      </w:tr>
      <w:tr>
        <w:trPr>
          <w:trHeight w:val="20" w:hRule="atLeast"/>
        </w:trPr>
        <w:tc>
          <w:tcPr>
            <w:tcW w:w="833"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HbA1c</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6.5%</w:t>
            </w:r>
            <w:r>
              <w:rPr>
                <w:rFonts w:hint="eastAsia"/>
                <w:sz w:val="14"/>
              </w:rPr>
              <w:t>以上</w:t>
            </w:r>
          </w:p>
        </w:tc>
        <w:tc>
          <w:tcPr>
            <w:tcW w:w="833"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HDL</w:t>
            </w:r>
            <w:r>
              <w:rPr>
                <w:rFonts w:hint="eastAsia"/>
                <w:b w:val="1"/>
                <w:sz w:val="14"/>
              </w:rPr>
              <w:t>コレステロール</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34mg/d</w:t>
            </w:r>
            <w:r>
              <w:rPr>
                <w:rFonts w:hint="default"/>
                <w:sz w:val="14"/>
              </w:rPr>
              <w:t>L</w:t>
            </w:r>
            <w:r>
              <w:rPr>
                <w:rFonts w:hint="eastAsia"/>
                <w:sz w:val="14"/>
              </w:rPr>
              <w:t>以下</w:t>
            </w:r>
          </w:p>
        </w:tc>
        <w:tc>
          <w:tcPr>
            <w:tcW w:w="833"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ALT</w:t>
            </w:r>
          </w:p>
        </w:tc>
        <w:tc>
          <w:tcPr>
            <w:tcW w:w="834" w:type="pct"/>
            <w:tcMar>
              <w:top w:w="28" w:type="dxa"/>
              <w:left w:w="28" w:type="dxa"/>
              <w:bottom w:w="28" w:type="dxa"/>
              <w:right w:w="28" w:type="dxa"/>
            </w:tcMar>
            <w:vAlign w:val="center"/>
          </w:tcPr>
          <w:p>
            <w:pPr>
              <w:pStyle w:val="0"/>
              <w:widowControl w:val="0"/>
              <w:rPr>
                <w:rFonts w:hint="default"/>
                <w:sz w:val="14"/>
              </w:rPr>
            </w:pPr>
            <w:r>
              <w:rPr>
                <w:rFonts w:hint="eastAsia"/>
                <w:sz w:val="14"/>
              </w:rPr>
              <w:t>51U/L</w:t>
            </w:r>
            <w:r>
              <w:rPr>
                <w:rFonts w:hint="eastAsia"/>
                <w:sz w:val="14"/>
              </w:rPr>
              <w:t>以上</w:t>
            </w:r>
          </w:p>
        </w:tc>
      </w:tr>
      <w:tr>
        <w:trPr>
          <w:trHeight w:val="20" w:hRule="atLeast"/>
        </w:trPr>
        <w:tc>
          <w:tcPr>
            <w:tcW w:w="833"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随時血糖</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126mg/d</w:t>
            </w:r>
            <w:r>
              <w:rPr>
                <w:rFonts w:hint="default"/>
                <w:sz w:val="14"/>
              </w:rPr>
              <w:t>L</w:t>
            </w:r>
            <w:r>
              <w:rPr>
                <w:rFonts w:hint="eastAsia"/>
                <w:sz w:val="14"/>
              </w:rPr>
              <w:t>以上</w:t>
            </w:r>
          </w:p>
        </w:tc>
        <w:tc>
          <w:tcPr>
            <w:tcW w:w="833" w:type="pct"/>
            <w:shd w:val="clear" w:color="auto" w:themeFill="background1" w:themeFillTint="FF" w:themeFillShade="F2"/>
            <w:tcMar>
              <w:top w:w="28" w:type="dxa"/>
              <w:left w:w="28" w:type="dxa"/>
              <w:bottom w:w="28" w:type="dxa"/>
              <w:right w:w="28" w:type="dxa"/>
            </w:tcMar>
            <w:vAlign w:val="center"/>
          </w:tcPr>
          <w:p>
            <w:pPr>
              <w:pStyle w:val="0"/>
              <w:widowControl w:val="0"/>
              <w:rPr>
                <w:rFonts w:hint="default"/>
                <w:b w:val="1"/>
                <w:sz w:val="14"/>
              </w:rPr>
            </w:pPr>
            <w:r>
              <w:rPr>
                <w:rFonts w:hint="eastAsia"/>
                <w:b w:val="1"/>
                <w:sz w:val="14"/>
              </w:rPr>
              <w:t>LDL</w:t>
            </w:r>
            <w:r>
              <w:rPr>
                <w:rFonts w:hint="eastAsia"/>
                <w:b w:val="1"/>
                <w:sz w:val="14"/>
              </w:rPr>
              <w:t>コレステロール</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140mg/d</w:t>
            </w:r>
            <w:r>
              <w:rPr>
                <w:rFonts w:hint="default"/>
                <w:sz w:val="14"/>
              </w:rPr>
              <w:t>L</w:t>
            </w:r>
            <w:r>
              <w:rPr>
                <w:rFonts w:hint="eastAsia"/>
                <w:sz w:val="14"/>
              </w:rPr>
              <w:t>以上</w:t>
            </w:r>
          </w:p>
        </w:tc>
        <w:tc>
          <w:tcPr>
            <w:tcW w:w="833"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γ</w:t>
            </w:r>
            <w:r>
              <w:rPr>
                <w:rFonts w:hint="eastAsia"/>
                <w:b w:val="1"/>
                <w:sz w:val="14"/>
              </w:rPr>
              <w:t>-GT</w:t>
            </w:r>
            <w:r>
              <w:rPr>
                <w:rFonts w:hint="default"/>
                <w:b w:val="1"/>
                <w:sz w:val="14"/>
              </w:rPr>
              <w:t>P</w:t>
            </w:r>
          </w:p>
        </w:tc>
        <w:tc>
          <w:tcPr>
            <w:tcW w:w="834" w:type="pct"/>
            <w:tcMar>
              <w:top w:w="28" w:type="dxa"/>
              <w:left w:w="28" w:type="dxa"/>
              <w:bottom w:w="28" w:type="dxa"/>
              <w:right w:w="28" w:type="dxa"/>
            </w:tcMar>
            <w:vAlign w:val="center"/>
          </w:tcPr>
          <w:p>
            <w:pPr>
              <w:pStyle w:val="0"/>
              <w:widowControl w:val="0"/>
              <w:rPr>
                <w:rFonts w:hint="default"/>
                <w:sz w:val="14"/>
              </w:rPr>
            </w:pPr>
            <w:r>
              <w:rPr>
                <w:rFonts w:hint="eastAsia"/>
                <w:sz w:val="14"/>
              </w:rPr>
              <w:t>101U/L</w:t>
            </w:r>
            <w:r>
              <w:rPr>
                <w:rFonts w:hint="eastAsia"/>
                <w:sz w:val="14"/>
              </w:rPr>
              <w:t>以上</w:t>
            </w:r>
          </w:p>
        </w:tc>
      </w:tr>
      <w:tr>
        <w:trPr>
          <w:trHeight w:val="20" w:hRule="atLeast"/>
        </w:trPr>
        <w:tc>
          <w:tcPr>
            <w:tcW w:w="833"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収縮期血圧</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140mmHg</w:t>
            </w:r>
            <w:r>
              <w:rPr>
                <w:rFonts w:hint="eastAsia"/>
                <w:sz w:val="14"/>
              </w:rPr>
              <w:t>以上</w:t>
            </w:r>
          </w:p>
        </w:tc>
        <w:tc>
          <w:tcPr>
            <w:tcW w:w="833" w:type="pct"/>
            <w:shd w:val="clear" w:color="auto" w:themeFill="background1" w:themeFillTint="FF" w:themeFillShade="F2"/>
            <w:tcMar>
              <w:top w:w="28" w:type="dxa"/>
              <w:left w:w="28" w:type="dxa"/>
              <w:bottom w:w="28" w:type="dxa"/>
              <w:right w:w="28" w:type="dxa"/>
            </w:tcMar>
            <w:vAlign w:val="center"/>
          </w:tcPr>
          <w:p>
            <w:pPr>
              <w:pStyle w:val="0"/>
              <w:widowControl w:val="0"/>
              <w:rPr>
                <w:rFonts w:hint="default"/>
                <w:b w:val="1"/>
                <w:sz w:val="14"/>
              </w:rPr>
            </w:pPr>
            <w:r>
              <w:rPr>
                <w:rFonts w:hint="eastAsia"/>
                <w:b w:val="1"/>
                <w:sz w:val="14"/>
              </w:rPr>
              <w:t>Non-HDL</w:t>
            </w:r>
            <w:r>
              <w:rPr>
                <w:rFonts w:hint="eastAsia"/>
                <w:b w:val="1"/>
                <w:sz w:val="14"/>
              </w:rPr>
              <w:t>コレステロール</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170mg/d</w:t>
            </w:r>
            <w:r>
              <w:rPr>
                <w:rFonts w:hint="default"/>
                <w:sz w:val="14"/>
              </w:rPr>
              <w:t>L</w:t>
            </w:r>
            <w:r>
              <w:rPr>
                <w:rFonts w:hint="eastAsia"/>
                <w:sz w:val="14"/>
              </w:rPr>
              <w:t>以上</w:t>
            </w:r>
          </w:p>
        </w:tc>
        <w:tc>
          <w:tcPr>
            <w:tcW w:w="833"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eGFR</w:t>
            </w:r>
          </w:p>
        </w:tc>
        <w:tc>
          <w:tcPr>
            <w:tcW w:w="834" w:type="pct"/>
            <w:tcMar>
              <w:top w:w="28" w:type="dxa"/>
              <w:left w:w="28" w:type="dxa"/>
              <w:bottom w:w="28" w:type="dxa"/>
              <w:right w:w="28" w:type="dxa"/>
            </w:tcMar>
            <w:vAlign w:val="center"/>
          </w:tcPr>
          <w:p>
            <w:pPr>
              <w:pStyle w:val="0"/>
              <w:widowControl w:val="0"/>
              <w:rPr>
                <w:rFonts w:hint="default"/>
                <w:sz w:val="14"/>
              </w:rPr>
            </w:pPr>
            <w:r>
              <w:rPr>
                <w:rFonts w:hint="eastAsia"/>
                <w:sz w:val="14"/>
              </w:rPr>
              <w:t>45ml/</w:t>
            </w:r>
            <w:r>
              <w:rPr>
                <w:rFonts w:hint="eastAsia"/>
                <w:sz w:val="14"/>
              </w:rPr>
              <w:t>分</w:t>
            </w:r>
            <w:r>
              <w:rPr>
                <w:rFonts w:hint="eastAsia"/>
                <w:sz w:val="14"/>
              </w:rPr>
              <w:t>/1.73</w:t>
            </w:r>
            <w:r>
              <w:rPr>
                <w:rFonts w:hint="eastAsia"/>
                <w:sz w:val="14"/>
              </w:rPr>
              <w:t>㎡未満</w:t>
            </w:r>
          </w:p>
        </w:tc>
      </w:tr>
      <w:tr>
        <w:trPr>
          <w:trHeight w:val="42" w:hRule="atLeast"/>
        </w:trPr>
        <w:tc>
          <w:tcPr>
            <w:tcW w:w="833"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拡張期</w:t>
            </w:r>
            <w:r>
              <w:rPr>
                <w:rFonts w:hint="default"/>
                <w:b w:val="1"/>
                <w:sz w:val="14"/>
              </w:rPr>
              <w:t>血圧</w:t>
            </w:r>
          </w:p>
        </w:tc>
        <w:tc>
          <w:tcPr>
            <w:tcW w:w="833" w:type="pct"/>
            <w:tcMar>
              <w:top w:w="28" w:type="dxa"/>
              <w:left w:w="28" w:type="dxa"/>
              <w:bottom w:w="28" w:type="dxa"/>
              <w:right w:w="28" w:type="dxa"/>
            </w:tcMar>
            <w:vAlign w:val="center"/>
          </w:tcPr>
          <w:p>
            <w:pPr>
              <w:pStyle w:val="0"/>
              <w:widowControl w:val="0"/>
              <w:rPr>
                <w:rFonts w:hint="default"/>
                <w:sz w:val="14"/>
              </w:rPr>
            </w:pPr>
            <w:r>
              <w:rPr>
                <w:rFonts w:hint="eastAsia"/>
                <w:sz w:val="14"/>
              </w:rPr>
              <w:t>90mmHg</w:t>
            </w:r>
            <w:r>
              <w:rPr>
                <w:rFonts w:hint="eastAsia"/>
                <w:sz w:val="14"/>
              </w:rPr>
              <w:t>以上</w:t>
            </w:r>
          </w:p>
        </w:tc>
        <w:tc>
          <w:tcPr>
            <w:tcW w:w="833" w:type="pct"/>
            <w:shd w:val="clear" w:color="auto" w:themeFill="background1" w:themeFillTint="FF" w:themeFillShade="F2"/>
            <w:tcMar>
              <w:top w:w="28" w:type="dxa"/>
              <w:left w:w="28" w:type="dxa"/>
              <w:bottom w:w="28" w:type="dxa"/>
              <w:right w:w="28" w:type="dxa"/>
            </w:tcMar>
            <w:vAlign w:val="center"/>
          </w:tcPr>
          <w:p>
            <w:pPr>
              <w:pStyle w:val="0"/>
              <w:widowControl w:val="0"/>
              <w:rPr>
                <w:rFonts w:hint="default"/>
                <w:b w:val="1"/>
                <w:sz w:val="14"/>
              </w:rPr>
            </w:pPr>
            <w:r>
              <w:rPr>
                <w:rFonts w:hint="eastAsia"/>
                <w:b w:val="1"/>
                <w:sz w:val="14"/>
              </w:rPr>
              <w:t>ヘモグロビン</w:t>
            </w:r>
          </w:p>
        </w:tc>
        <w:tc>
          <w:tcPr>
            <w:tcW w:w="2500" w:type="pct"/>
            <w:gridSpan w:val="3"/>
            <w:tcMar>
              <w:top w:w="28" w:type="dxa"/>
              <w:left w:w="28" w:type="dxa"/>
              <w:bottom w:w="28" w:type="dxa"/>
              <w:right w:w="28" w:type="dxa"/>
            </w:tcMar>
            <w:vAlign w:val="center"/>
          </w:tcPr>
          <w:p>
            <w:pPr>
              <w:pStyle w:val="0"/>
              <w:widowControl w:val="0"/>
              <w:rPr>
                <w:rFonts w:hint="default"/>
                <w:sz w:val="14"/>
              </w:rPr>
            </w:pPr>
            <w:r>
              <w:rPr>
                <w:rFonts w:hint="eastAsia"/>
                <w:sz w:val="14"/>
              </w:rPr>
              <w:t>男性</w:t>
            </w:r>
            <w:r>
              <w:rPr>
                <w:rFonts w:hint="eastAsia"/>
                <w:sz w:val="14"/>
              </w:rPr>
              <w:t>12.1g/d</w:t>
            </w:r>
            <w:r>
              <w:rPr>
                <w:rFonts w:hint="default"/>
                <w:sz w:val="14"/>
              </w:rPr>
              <w:t>L</w:t>
            </w:r>
            <w:r>
              <w:rPr>
                <w:rFonts w:hint="eastAsia"/>
                <w:sz w:val="14"/>
              </w:rPr>
              <w:t>未満、女性</w:t>
            </w:r>
            <w:r>
              <w:rPr>
                <w:rFonts w:hint="eastAsia"/>
                <w:sz w:val="14"/>
              </w:rPr>
              <w:t>11.1g/d</w:t>
            </w:r>
            <w:r>
              <w:rPr>
                <w:rFonts w:hint="default"/>
                <w:sz w:val="14"/>
              </w:rPr>
              <w:t>L</w:t>
            </w:r>
            <w:r>
              <w:rPr>
                <w:rFonts w:hint="eastAsia"/>
                <w:sz w:val="14"/>
              </w:rPr>
              <w:t>未満</w:t>
            </w:r>
          </w:p>
        </w:tc>
      </w:tr>
    </w:tbl>
    <w:p>
      <w:pPr>
        <w:pStyle w:val="42"/>
        <w:rPr>
          <w:rFonts w:hint="default"/>
        </w:rPr>
      </w:pPr>
      <w:r>
        <w:rPr>
          <w:rFonts w:hint="default"/>
        </w:rPr>
        <w:t>※</w:t>
      </w:r>
      <w:r>
        <w:rPr>
          <w:rFonts w:hint="eastAsia"/>
        </w:rPr>
        <w:t>厚生労働省「標準的な健診・保健指導プログラム」に準拠</w:t>
      </w:r>
    </w:p>
    <w:p>
      <w:pPr>
        <w:pStyle w:val="0"/>
        <w:rPr>
          <w:rFonts w:hint="default"/>
        </w:rPr>
      </w:pPr>
      <w:r>
        <w:rPr>
          <w:rFonts w:hint="default"/>
        </w:rPr>
        <w:br w:type="page"/>
      </w:r>
    </w:p>
    <w:p>
      <w:pPr>
        <w:pStyle w:val="4"/>
        <w:rPr>
          <w:rFonts w:hint="default"/>
        </w:rPr>
      </w:pPr>
      <w:r>
        <w:rPr>
          <w:rFonts w:hint="eastAsia"/>
        </w:rPr>
        <w:t>特定健診受診者における受診勧奨対象者の経年推移【県の共通指標】</w:t>
      </w:r>
    </w:p>
    <w:p>
      <w:pPr>
        <w:pStyle w:val="39"/>
        <w:ind w:firstLine="200"/>
        <w:rPr>
          <w:rFonts w:hint="default"/>
        </w:rPr>
      </w:pPr>
      <w:r>
        <w:rPr>
          <w:rFonts w:hint="eastAsia"/>
        </w:rPr>
        <w:t>血糖・血圧・脂質の受診勧奨対象者の経年推移を検査値ごとにみる（</w:t>
      </w:r>
      <w:r>
        <w:rPr>
          <w:rFonts w:hint="eastAsia"/>
        </w:rPr>
        <w:fldChar w:fldCharType="begin"/>
      </w:r>
      <w:r>
        <w:rPr>
          <w:rFonts w:hint="eastAsia"/>
        </w:rPr>
        <w:instrText xml:space="preserve">REF _Ref143257893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2</w:t>
      </w:r>
      <w:r>
        <w:rPr>
          <w:rFonts w:hint="eastAsia"/>
        </w:rPr>
        <w:fldChar w:fldCharType="end"/>
      </w:r>
      <w:r>
        <w:rPr>
          <w:rFonts w:hint="eastAsia"/>
        </w:rPr>
        <w:t>）。</w:t>
      </w:r>
    </w:p>
    <w:p>
      <w:pPr>
        <w:pStyle w:val="39"/>
        <w:ind w:firstLine="200"/>
        <w:rPr>
          <w:rFonts w:hint="default"/>
        </w:rPr>
      </w:pPr>
      <w:r>
        <w:rPr>
          <w:rFonts w:hint="eastAsia"/>
        </w:rPr>
        <w:t>令和</w:t>
      </w:r>
      <w:r>
        <w:rPr>
          <w:rFonts w:hint="eastAsia"/>
        </w:rPr>
        <w:t>4</w:t>
      </w:r>
      <w:r>
        <w:rPr>
          <w:rFonts w:hint="eastAsia"/>
        </w:rPr>
        <w:t>年度において、血糖では</w:t>
      </w:r>
      <w:r>
        <w:rPr>
          <w:rFonts w:hint="eastAsia"/>
        </w:rPr>
        <w:t>H</w:t>
      </w:r>
      <w:r>
        <w:rPr>
          <w:rFonts w:hint="default"/>
        </w:rPr>
        <w:t>bA1c</w:t>
      </w:r>
      <w:r>
        <w:rPr>
          <w:rFonts w:hint="eastAsia"/>
        </w:rPr>
        <w:t>6.5%</w:t>
      </w:r>
      <w:r>
        <w:rPr>
          <w:rFonts w:hint="eastAsia"/>
        </w:rPr>
        <w:t>以上のものは</w:t>
      </w:r>
      <w:r>
        <w:rPr>
          <w:rFonts w:hint="eastAsia"/>
        </w:rPr>
        <w:t>312</w:t>
      </w:r>
      <w:r>
        <w:rPr>
          <w:rFonts w:hint="eastAsia"/>
        </w:rPr>
        <w:t>人で特定健診受診者の</w:t>
      </w:r>
      <w:r>
        <w:rPr>
          <w:rFonts w:hint="eastAsia"/>
        </w:rPr>
        <w:t>8.6%</w:t>
      </w:r>
      <w:r>
        <w:rPr>
          <w:rFonts w:hint="eastAsia"/>
        </w:rPr>
        <w:t>を占めており、</w:t>
      </w:r>
      <w:r>
        <w:rPr>
          <w:rFonts w:hint="default"/>
        </w:rPr>
        <w:t>令和</w:t>
      </w:r>
      <w:r>
        <w:rPr>
          <w:rFonts w:hint="default"/>
        </w:rPr>
        <w:t>1</w:t>
      </w:r>
      <w:r>
        <w:rPr>
          <w:rFonts w:hint="default"/>
        </w:rPr>
        <w:t>年度</w:t>
      </w:r>
      <w:r>
        <w:rPr>
          <w:rFonts w:hint="eastAsia"/>
        </w:rPr>
        <w:t>と比較すると割合は</w:t>
      </w:r>
      <w:r>
        <w:rPr>
          <w:rFonts w:hint="default"/>
        </w:rPr>
        <w:t>減少している</w:t>
      </w:r>
      <w:r>
        <w:rPr>
          <w:rFonts w:hint="eastAsia"/>
        </w:rPr>
        <w:t>。</w:t>
      </w:r>
    </w:p>
    <w:p>
      <w:pPr>
        <w:pStyle w:val="39"/>
        <w:ind w:firstLine="200"/>
        <w:rPr>
          <w:rFonts w:hint="default"/>
        </w:rPr>
      </w:pPr>
      <w:r>
        <w:rPr>
          <w:rFonts w:hint="eastAsia"/>
        </w:rPr>
        <w:t>血圧では、Ⅰ度高血圧以上のものは</w:t>
      </w:r>
      <w:r>
        <w:rPr>
          <w:rFonts w:hint="eastAsia"/>
        </w:rPr>
        <w:t>510</w:t>
      </w:r>
      <w:r>
        <w:rPr>
          <w:rFonts w:hint="eastAsia"/>
        </w:rPr>
        <w:t>人で特定健診受診者の</w:t>
      </w:r>
      <w:r>
        <w:rPr>
          <w:rFonts w:hint="eastAsia"/>
        </w:rPr>
        <w:t>14.1%</w:t>
      </w:r>
      <w:r>
        <w:rPr>
          <w:rFonts w:hint="eastAsia"/>
        </w:rPr>
        <w:t>を占めており、</w:t>
      </w:r>
      <w:r>
        <w:rPr>
          <w:rFonts w:hint="default"/>
        </w:rPr>
        <w:t>令和</w:t>
      </w:r>
      <w:r>
        <w:rPr>
          <w:rFonts w:hint="default"/>
        </w:rPr>
        <w:t>1</w:t>
      </w:r>
      <w:r>
        <w:rPr>
          <w:rFonts w:hint="default"/>
        </w:rPr>
        <w:t>年度</w:t>
      </w:r>
      <w:r>
        <w:rPr>
          <w:rFonts w:hint="eastAsia"/>
        </w:rPr>
        <w:t>と比較すると割合は</w:t>
      </w:r>
      <w:r>
        <w:rPr>
          <w:rFonts w:hint="default"/>
        </w:rPr>
        <w:t>増加している</w:t>
      </w:r>
      <w:r>
        <w:rPr>
          <w:rFonts w:hint="eastAsia"/>
        </w:rPr>
        <w:t>。</w:t>
      </w:r>
    </w:p>
    <w:p>
      <w:pPr>
        <w:pStyle w:val="39"/>
        <w:ind w:firstLine="200"/>
        <w:rPr>
          <w:rFonts w:hint="default"/>
        </w:rPr>
      </w:pPr>
      <w:r>
        <w:rPr>
          <w:rFonts w:hint="eastAsia"/>
        </w:rPr>
        <w:t>脂質では</w:t>
      </w:r>
      <w:r>
        <w:rPr>
          <w:rFonts w:hint="default"/>
        </w:rPr>
        <w:t>LDL-C</w:t>
      </w:r>
      <w:r>
        <w:rPr>
          <w:rFonts w:hint="eastAsia"/>
        </w:rPr>
        <w:t>14</w:t>
      </w:r>
      <w:r>
        <w:rPr>
          <w:rFonts w:hint="default"/>
        </w:rPr>
        <w:t>0mg/d</w:t>
      </w:r>
      <w:r>
        <w:rPr>
          <w:rFonts w:hint="eastAsia"/>
        </w:rPr>
        <w:t>L</w:t>
      </w:r>
      <w:r>
        <w:rPr>
          <w:rFonts w:hint="eastAsia"/>
        </w:rPr>
        <w:t>以上のものは</w:t>
      </w:r>
      <w:r>
        <w:rPr>
          <w:rFonts w:hint="eastAsia"/>
        </w:rPr>
        <w:t>1,016</w:t>
      </w:r>
      <w:r>
        <w:rPr>
          <w:rFonts w:hint="eastAsia"/>
        </w:rPr>
        <w:t>人で特定健診受診者の</w:t>
      </w:r>
      <w:r>
        <w:rPr>
          <w:rFonts w:hint="eastAsia"/>
        </w:rPr>
        <w:t>28.1%</w:t>
      </w:r>
      <w:r>
        <w:rPr>
          <w:rFonts w:hint="eastAsia"/>
        </w:rPr>
        <w:t>を占めており、</w:t>
      </w:r>
      <w:r>
        <w:rPr>
          <w:rFonts w:hint="default"/>
        </w:rPr>
        <w:t>令和</w:t>
      </w:r>
      <w:r>
        <w:rPr>
          <w:rFonts w:hint="default"/>
        </w:rPr>
        <w:t>1</w:t>
      </w:r>
      <w:r>
        <w:rPr>
          <w:rFonts w:hint="default"/>
        </w:rPr>
        <w:t>年度</w:t>
      </w:r>
      <w:r>
        <w:rPr>
          <w:rFonts w:hint="eastAsia"/>
        </w:rPr>
        <w:t>と比較すると割合は</w:t>
      </w:r>
      <w:r>
        <w:rPr>
          <w:rFonts w:hint="default"/>
        </w:rPr>
        <w:t>減少している</w:t>
      </w:r>
      <w:r>
        <w:rPr>
          <w:rFonts w:hint="eastAsia"/>
        </w:rPr>
        <w:t>。</w:t>
      </w:r>
    </w:p>
    <w:p>
      <w:pPr>
        <w:pStyle w:val="39"/>
        <w:ind w:firstLine="200"/>
        <w:rPr>
          <w:rFonts w:hint="default"/>
        </w:rPr>
      </w:pPr>
      <w:r>
        <w:rPr>
          <w:rFonts w:hint="eastAsia"/>
        </w:rPr>
        <w:t>また、県の共通指標である</w:t>
      </w:r>
      <w:r>
        <w:rPr>
          <w:rFonts w:hint="default"/>
        </w:rPr>
        <w:t>HbA1c6.5%</w:t>
      </w:r>
      <w:r>
        <w:rPr>
          <w:rFonts w:hint="default"/>
        </w:rPr>
        <w:t>以上の者の割合の経年推移</w:t>
      </w:r>
      <w:r>
        <w:rPr>
          <w:rFonts w:hint="eastAsia"/>
        </w:rPr>
        <w:t>(</w:t>
      </w:r>
      <w:r>
        <w:rPr>
          <w:rFonts w:hint="eastAsia"/>
        </w:rPr>
        <w:fldChar w:fldCharType="begin"/>
      </w:r>
      <w:r>
        <w:rPr>
          <w:rFonts w:hint="eastAsia"/>
        </w:rPr>
        <w:instrText xml:space="preserve">REF _Ref130884563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3</w:t>
      </w:r>
      <w:r>
        <w:rPr>
          <w:rFonts w:hint="eastAsia"/>
        </w:rPr>
        <w:fldChar w:fldCharType="end"/>
      </w:r>
      <w:r>
        <w:rPr>
          <w:rFonts w:hint="eastAsia"/>
        </w:rPr>
        <w:t>)</w:t>
      </w:r>
      <w:r>
        <w:rPr>
          <w:rFonts w:hint="default"/>
        </w:rPr>
        <w:t>をみると、その割合は令和</w:t>
      </w:r>
      <w:r>
        <w:rPr>
          <w:rFonts w:hint="eastAsia"/>
        </w:rPr>
        <w:t>1</w:t>
      </w:r>
      <w:r>
        <w:rPr>
          <w:rFonts w:hint="default"/>
        </w:rPr>
        <w:t>年度以降減少している。</w:t>
      </w:r>
    </w:p>
    <w:p>
      <w:pPr>
        <w:pStyle w:val="0"/>
        <w:rPr>
          <w:rFonts w:hint="default"/>
        </w:rPr>
      </w:pPr>
    </w:p>
    <w:p>
      <w:pPr>
        <w:pStyle w:val="38"/>
        <w:rPr>
          <w:rFonts w:hint="default"/>
        </w:rPr>
      </w:pPr>
      <w:bookmarkStart w:id="76" w:name="_Ref14325789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76"/>
      <w:r>
        <w:rPr>
          <w:rFonts w:hint="default"/>
        </w:rPr>
        <w:t>：</w:t>
      </w:r>
      <w:r>
        <w:rPr>
          <w:rFonts w:hint="eastAsia"/>
        </w:rPr>
        <w:t>特定健診受診者における受診勧奨対象者（血糖・血圧・脂質）の経年推移</w:t>
      </w:r>
      <w:r>
        <w:rPr>
          <w:rFonts w:hint="default"/>
        </w:rPr>
        <w:t xml:space="preserve"> </w:t>
      </w:r>
    </w:p>
    <w:tbl>
      <w:tblPr>
        <w:tblStyle w:val="172"/>
        <w:tblW w:w="5000" w:type="pct"/>
        <w:tblInd w:w="0" w:type="dxa"/>
        <w:tblLayout w:type="fixed"/>
        <w:tblLook w:firstRow="1" w:lastRow="0" w:firstColumn="1" w:lastColumn="0" w:noHBand="0" w:noVBand="1" w:val="04A0"/>
      </w:tblPr>
      <w:tblGrid>
        <w:gridCol w:w="850"/>
        <w:gridCol w:w="2210"/>
        <w:gridCol w:w="789"/>
        <w:gridCol w:w="791"/>
        <w:gridCol w:w="789"/>
        <w:gridCol w:w="791"/>
        <w:gridCol w:w="789"/>
        <w:gridCol w:w="791"/>
        <w:gridCol w:w="789"/>
        <w:gridCol w:w="786"/>
      </w:tblGrid>
      <w:tr>
        <w:trPr/>
        <w:tc>
          <w:tcPr>
            <w:tcW w:w="1631" w:type="pct"/>
            <w:gridSpan w:val="2"/>
            <w:vMerge w:val="restart"/>
            <w:shd w:val="clear" w:color="auto" w:fill="CCD6FF"/>
            <w:tcMar>
              <w:top w:w="28" w:type="dxa"/>
              <w:left w:w="28" w:type="dxa"/>
              <w:bottom w:w="28" w:type="dxa"/>
              <w:right w:w="28" w:type="dxa"/>
            </w:tcMar>
            <w:vAlign w:val="center"/>
          </w:tcPr>
          <w:p>
            <w:pPr>
              <w:pStyle w:val="0"/>
              <w:rPr>
                <w:rFonts w:hint="default"/>
              </w:rPr>
            </w:pPr>
          </w:p>
        </w:tc>
        <w:tc>
          <w:tcPr>
            <w:tcW w:w="84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1</w:t>
            </w:r>
            <w:r>
              <w:rPr>
                <w:rFonts w:hint="eastAsia"/>
                <w:b w:val="1"/>
              </w:rPr>
              <w:t>年度</w:t>
            </w:r>
          </w:p>
        </w:tc>
        <w:tc>
          <w:tcPr>
            <w:tcW w:w="84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2</w:t>
            </w:r>
            <w:r>
              <w:rPr>
                <w:rFonts w:hint="eastAsia"/>
                <w:b w:val="1"/>
              </w:rPr>
              <w:t>年度</w:t>
            </w:r>
          </w:p>
        </w:tc>
        <w:tc>
          <w:tcPr>
            <w:tcW w:w="84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3</w:t>
            </w:r>
            <w:r>
              <w:rPr>
                <w:rFonts w:hint="eastAsia"/>
                <w:b w:val="1"/>
              </w:rPr>
              <w:t>年度</w:t>
            </w:r>
          </w:p>
        </w:tc>
        <w:tc>
          <w:tcPr>
            <w:tcW w:w="841"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4</w:t>
            </w:r>
            <w:r>
              <w:rPr>
                <w:rFonts w:hint="eastAsia"/>
                <w:b w:val="1"/>
              </w:rPr>
              <w:t>年度</w:t>
            </w:r>
          </w:p>
        </w:tc>
      </w:tr>
      <w:tr>
        <w:trPr/>
        <w:tc>
          <w:tcPr>
            <w:tcW w:w="1631" w:type="pct"/>
            <w:gridSpan w:val="2"/>
            <w:vMerge w:val="continue"/>
            <w:tcMar>
              <w:top w:w="28" w:type="dxa"/>
              <w:left w:w="28" w:type="dxa"/>
              <w:bottom w:w="28" w:type="dxa"/>
              <w:right w:w="28" w:type="dxa"/>
            </w:tcMar>
            <w:vAlign w:val="center"/>
          </w:tcPr>
          <w:p>
            <w:pPr>
              <w:pStyle w:val="0"/>
              <w:rPr>
                <w:rFonts w:hint="default"/>
              </w:rPr>
            </w:pPr>
          </w:p>
        </w:tc>
        <w:tc>
          <w:tcPr>
            <w:tcW w:w="42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r>
      <w:tr>
        <w:trPr/>
        <w:tc>
          <w:tcPr>
            <w:tcW w:w="1631" w:type="pct"/>
            <w:gridSpan w:val="2"/>
            <w:tcMar>
              <w:top w:w="28" w:type="dxa"/>
              <w:left w:w="28" w:type="dxa"/>
              <w:bottom w:w="28" w:type="dxa"/>
              <w:right w:w="28" w:type="dxa"/>
            </w:tcMar>
            <w:vAlign w:val="center"/>
          </w:tcPr>
          <w:p>
            <w:pPr>
              <w:pStyle w:val="0"/>
              <w:rPr>
                <w:rFonts w:hint="default"/>
              </w:rPr>
            </w:pPr>
            <w:r>
              <w:rPr>
                <w:rFonts w:hint="eastAsia"/>
              </w:rPr>
              <w:t>特定健診受診者数</w:t>
            </w:r>
          </w:p>
        </w:tc>
        <w:tc>
          <w:tcPr>
            <w:tcW w:w="421" w:type="pct"/>
            <w:tcMar>
              <w:top w:w="28" w:type="dxa"/>
              <w:left w:w="28" w:type="dxa"/>
              <w:bottom w:w="28" w:type="dxa"/>
              <w:right w:w="28" w:type="dxa"/>
            </w:tcMar>
            <w:vAlign w:val="center"/>
          </w:tcPr>
          <w:p>
            <w:pPr>
              <w:pStyle w:val="0"/>
              <w:jc w:val="right"/>
              <w:rPr>
                <w:rFonts w:hint="default"/>
              </w:rPr>
            </w:pPr>
            <w:r>
              <w:rPr>
                <w:rFonts w:hint="default"/>
              </w:rPr>
              <w:t>4,906</w:t>
            </w:r>
          </w:p>
        </w:tc>
        <w:tc>
          <w:tcPr>
            <w:tcW w:w="422" w:type="pct"/>
            <w:tcMar>
              <w:top w:w="28" w:type="dxa"/>
              <w:left w:w="28" w:type="dxa"/>
              <w:bottom w:w="28" w:type="dxa"/>
              <w:right w:w="28" w:type="dxa"/>
            </w:tcMar>
            <w:vAlign w:val="center"/>
          </w:tcPr>
          <w:p>
            <w:pPr>
              <w:pStyle w:val="0"/>
              <w:jc w:val="right"/>
              <w:rPr>
                <w:rFonts w:hint="default"/>
              </w:rPr>
            </w:pPr>
            <w:r>
              <w:rPr>
                <w:rFonts w:hint="default"/>
              </w:rPr>
              <w:t>-</w:t>
            </w:r>
          </w:p>
        </w:tc>
        <w:tc>
          <w:tcPr>
            <w:tcW w:w="421" w:type="pct"/>
            <w:tcMar>
              <w:top w:w="28" w:type="dxa"/>
              <w:left w:w="28" w:type="dxa"/>
              <w:bottom w:w="28" w:type="dxa"/>
              <w:right w:w="28" w:type="dxa"/>
            </w:tcMar>
            <w:vAlign w:val="center"/>
          </w:tcPr>
          <w:p>
            <w:pPr>
              <w:pStyle w:val="0"/>
              <w:jc w:val="right"/>
              <w:rPr>
                <w:rFonts w:hint="default"/>
              </w:rPr>
            </w:pPr>
            <w:r>
              <w:rPr>
                <w:rFonts w:hint="default"/>
              </w:rPr>
              <w:t>2,641</w:t>
            </w:r>
          </w:p>
        </w:tc>
        <w:tc>
          <w:tcPr>
            <w:tcW w:w="422" w:type="pct"/>
            <w:tcMar>
              <w:top w:w="28" w:type="dxa"/>
              <w:left w:w="28" w:type="dxa"/>
              <w:bottom w:w="28" w:type="dxa"/>
              <w:right w:w="28" w:type="dxa"/>
            </w:tcMar>
            <w:vAlign w:val="center"/>
          </w:tcPr>
          <w:p>
            <w:pPr>
              <w:pStyle w:val="0"/>
              <w:jc w:val="right"/>
              <w:rPr>
                <w:rFonts w:hint="default"/>
              </w:rPr>
            </w:pPr>
            <w:r>
              <w:rPr>
                <w:rFonts w:hint="default"/>
              </w:rPr>
              <w:t>-</w:t>
            </w:r>
          </w:p>
        </w:tc>
        <w:tc>
          <w:tcPr>
            <w:tcW w:w="421" w:type="pct"/>
            <w:tcMar>
              <w:top w:w="28" w:type="dxa"/>
              <w:left w:w="28" w:type="dxa"/>
              <w:bottom w:w="28" w:type="dxa"/>
              <w:right w:w="28" w:type="dxa"/>
            </w:tcMar>
            <w:vAlign w:val="center"/>
          </w:tcPr>
          <w:p>
            <w:pPr>
              <w:pStyle w:val="0"/>
              <w:jc w:val="right"/>
              <w:rPr>
                <w:rFonts w:hint="default"/>
              </w:rPr>
            </w:pPr>
            <w:r>
              <w:rPr>
                <w:rFonts w:hint="default"/>
              </w:rPr>
              <w:t>3,792</w:t>
            </w:r>
          </w:p>
        </w:tc>
        <w:tc>
          <w:tcPr>
            <w:tcW w:w="422" w:type="pct"/>
            <w:tcMar>
              <w:top w:w="28" w:type="dxa"/>
              <w:left w:w="28" w:type="dxa"/>
              <w:bottom w:w="28" w:type="dxa"/>
              <w:right w:w="28" w:type="dxa"/>
            </w:tcMar>
            <w:vAlign w:val="center"/>
          </w:tcPr>
          <w:p>
            <w:pPr>
              <w:pStyle w:val="0"/>
              <w:jc w:val="right"/>
              <w:rPr>
                <w:rFonts w:hint="default"/>
              </w:rPr>
            </w:pPr>
            <w:r>
              <w:rPr>
                <w:rFonts w:hint="default"/>
              </w:rPr>
              <w:t>-</w:t>
            </w:r>
          </w:p>
        </w:tc>
        <w:tc>
          <w:tcPr>
            <w:tcW w:w="421" w:type="pct"/>
            <w:tcMar>
              <w:top w:w="28" w:type="dxa"/>
              <w:left w:w="28" w:type="dxa"/>
              <w:bottom w:w="28" w:type="dxa"/>
              <w:right w:w="28" w:type="dxa"/>
            </w:tcMar>
            <w:vAlign w:val="center"/>
          </w:tcPr>
          <w:p>
            <w:pPr>
              <w:pStyle w:val="0"/>
              <w:jc w:val="right"/>
              <w:rPr>
                <w:rFonts w:hint="default"/>
              </w:rPr>
            </w:pPr>
            <w:r>
              <w:rPr>
                <w:rFonts w:hint="default"/>
              </w:rPr>
              <w:t>3,611</w:t>
            </w:r>
          </w:p>
        </w:tc>
        <w:tc>
          <w:tcPr>
            <w:tcW w:w="420" w:type="pct"/>
            <w:tcMar>
              <w:top w:w="28" w:type="dxa"/>
              <w:left w:w="28" w:type="dxa"/>
              <w:bottom w:w="28" w:type="dxa"/>
              <w:right w:w="28" w:type="dxa"/>
            </w:tcMar>
            <w:vAlign w:val="center"/>
          </w:tcPr>
          <w:p>
            <w:pPr>
              <w:pStyle w:val="0"/>
              <w:jc w:val="right"/>
              <w:rPr>
                <w:rFonts w:hint="default"/>
              </w:rPr>
            </w:pPr>
            <w:r>
              <w:rPr>
                <w:rFonts w:hint="default"/>
              </w:rPr>
              <w:t>-</w:t>
            </w:r>
          </w:p>
        </w:tc>
      </w:tr>
      <w:tr>
        <w:trPr/>
        <w:tc>
          <w:tcPr>
            <w:tcW w:w="453" w:type="pct"/>
            <w:vMerge w:val="restart"/>
            <w:tcMar>
              <w:top w:w="28" w:type="dxa"/>
              <w:left w:w="28" w:type="dxa"/>
              <w:bottom w:w="28" w:type="dxa"/>
              <w:right w:w="28" w:type="dxa"/>
            </w:tcMar>
            <w:vAlign w:val="center"/>
          </w:tcPr>
          <w:p>
            <w:pPr>
              <w:pStyle w:val="0"/>
              <w:rPr>
                <w:rFonts w:hint="default"/>
              </w:rPr>
            </w:pPr>
            <w:r>
              <w:rPr>
                <w:rFonts w:hint="eastAsia"/>
              </w:rPr>
              <w:t>血糖</w:t>
            </w:r>
          </w:p>
          <w:p>
            <w:pPr>
              <w:pStyle w:val="0"/>
              <w:rPr>
                <w:rFonts w:hint="default"/>
              </w:rPr>
            </w:pPr>
            <w:r>
              <w:rPr>
                <w:rFonts w:hint="eastAsia"/>
              </w:rPr>
              <w:t>（</w:t>
            </w:r>
            <w:r>
              <w:rPr>
                <w:rFonts w:hint="eastAsia"/>
              </w:rPr>
              <w:t>HbA1c</w:t>
            </w:r>
            <w:r>
              <w:rPr>
                <w:rFonts w:hint="eastAsia"/>
              </w:rPr>
              <w:t>）</w:t>
            </w:r>
          </w:p>
        </w:tc>
        <w:tc>
          <w:tcPr>
            <w:tcW w:w="1178" w:type="pct"/>
            <w:tcMar>
              <w:top w:w="28" w:type="dxa"/>
              <w:left w:w="28" w:type="dxa"/>
              <w:bottom w:w="28" w:type="dxa"/>
              <w:right w:w="28" w:type="dxa"/>
            </w:tcMar>
            <w:vAlign w:val="center"/>
          </w:tcPr>
          <w:p>
            <w:pPr>
              <w:pStyle w:val="0"/>
              <w:rPr>
                <w:rFonts w:hint="default"/>
              </w:rPr>
            </w:pPr>
            <w:r>
              <w:rPr>
                <w:rFonts w:hint="eastAsia"/>
              </w:rPr>
              <w:t>6.5%</w:t>
            </w:r>
            <w:r>
              <w:rPr>
                <w:rFonts w:hint="eastAsia"/>
              </w:rPr>
              <w:t>以上</w:t>
            </w:r>
            <w:r>
              <w:rPr>
                <w:rFonts w:hint="eastAsia"/>
              </w:rPr>
              <w:t>7.0%</w:t>
            </w:r>
            <w:r>
              <w:rPr>
                <w:rFonts w:hint="eastAsia"/>
              </w:rPr>
              <w:t>未満</w:t>
            </w:r>
          </w:p>
        </w:tc>
        <w:tc>
          <w:tcPr>
            <w:tcW w:w="421" w:type="pct"/>
            <w:tcMar>
              <w:top w:w="28" w:type="dxa"/>
              <w:left w:w="28" w:type="dxa"/>
              <w:bottom w:w="28" w:type="dxa"/>
              <w:right w:w="28" w:type="dxa"/>
            </w:tcMar>
            <w:vAlign w:val="center"/>
          </w:tcPr>
          <w:p>
            <w:pPr>
              <w:pStyle w:val="0"/>
              <w:jc w:val="right"/>
              <w:rPr>
                <w:rFonts w:hint="default"/>
              </w:rPr>
            </w:pPr>
            <w:r>
              <w:rPr>
                <w:rFonts w:hint="default"/>
              </w:rPr>
              <w:t>256</w:t>
            </w:r>
          </w:p>
        </w:tc>
        <w:tc>
          <w:tcPr>
            <w:tcW w:w="422" w:type="pct"/>
            <w:tcMar>
              <w:top w:w="28" w:type="dxa"/>
              <w:left w:w="28" w:type="dxa"/>
              <w:bottom w:w="28" w:type="dxa"/>
              <w:right w:w="28" w:type="dxa"/>
            </w:tcMar>
            <w:vAlign w:val="center"/>
          </w:tcPr>
          <w:p>
            <w:pPr>
              <w:pStyle w:val="0"/>
              <w:jc w:val="right"/>
              <w:rPr>
                <w:rFonts w:hint="default"/>
              </w:rPr>
            </w:pPr>
            <w:r>
              <w:rPr>
                <w:rFonts w:hint="default"/>
              </w:rPr>
              <w:t>5.2%</w:t>
            </w:r>
          </w:p>
        </w:tc>
        <w:tc>
          <w:tcPr>
            <w:tcW w:w="421" w:type="pct"/>
            <w:tcMar>
              <w:top w:w="28" w:type="dxa"/>
              <w:left w:w="28" w:type="dxa"/>
              <w:bottom w:w="28" w:type="dxa"/>
              <w:right w:w="28" w:type="dxa"/>
            </w:tcMar>
            <w:vAlign w:val="center"/>
          </w:tcPr>
          <w:p>
            <w:pPr>
              <w:pStyle w:val="0"/>
              <w:jc w:val="right"/>
              <w:rPr>
                <w:rFonts w:hint="default"/>
              </w:rPr>
            </w:pPr>
            <w:r>
              <w:rPr>
                <w:rFonts w:hint="default"/>
              </w:rPr>
              <w:t>120</w:t>
            </w:r>
          </w:p>
        </w:tc>
        <w:tc>
          <w:tcPr>
            <w:tcW w:w="422" w:type="pct"/>
            <w:tcMar>
              <w:top w:w="28" w:type="dxa"/>
              <w:left w:w="28" w:type="dxa"/>
              <w:bottom w:w="28" w:type="dxa"/>
              <w:right w:w="28" w:type="dxa"/>
            </w:tcMar>
            <w:vAlign w:val="center"/>
          </w:tcPr>
          <w:p>
            <w:pPr>
              <w:pStyle w:val="0"/>
              <w:jc w:val="right"/>
              <w:rPr>
                <w:rFonts w:hint="default"/>
              </w:rPr>
            </w:pPr>
            <w:r>
              <w:rPr>
                <w:rFonts w:hint="default"/>
              </w:rPr>
              <w:t>4.5%</w:t>
            </w:r>
          </w:p>
        </w:tc>
        <w:tc>
          <w:tcPr>
            <w:tcW w:w="421" w:type="pct"/>
            <w:tcMar>
              <w:top w:w="28" w:type="dxa"/>
              <w:left w:w="28" w:type="dxa"/>
              <w:bottom w:w="28" w:type="dxa"/>
              <w:right w:w="28" w:type="dxa"/>
            </w:tcMar>
            <w:vAlign w:val="center"/>
          </w:tcPr>
          <w:p>
            <w:pPr>
              <w:pStyle w:val="0"/>
              <w:jc w:val="right"/>
              <w:rPr>
                <w:rFonts w:hint="default"/>
              </w:rPr>
            </w:pPr>
            <w:r>
              <w:rPr>
                <w:rFonts w:hint="default"/>
              </w:rPr>
              <w:t>173</w:t>
            </w:r>
          </w:p>
        </w:tc>
        <w:tc>
          <w:tcPr>
            <w:tcW w:w="422" w:type="pct"/>
            <w:tcMar>
              <w:top w:w="28" w:type="dxa"/>
              <w:left w:w="28" w:type="dxa"/>
              <w:bottom w:w="28" w:type="dxa"/>
              <w:right w:w="28" w:type="dxa"/>
            </w:tcMar>
            <w:vAlign w:val="center"/>
          </w:tcPr>
          <w:p>
            <w:pPr>
              <w:pStyle w:val="0"/>
              <w:jc w:val="right"/>
              <w:rPr>
                <w:rFonts w:hint="default"/>
              </w:rPr>
            </w:pPr>
            <w:r>
              <w:rPr>
                <w:rFonts w:hint="default"/>
              </w:rPr>
              <w:t>4.6%</w:t>
            </w:r>
          </w:p>
        </w:tc>
        <w:tc>
          <w:tcPr>
            <w:tcW w:w="421" w:type="pct"/>
            <w:tcMar>
              <w:top w:w="28" w:type="dxa"/>
              <w:left w:w="28" w:type="dxa"/>
              <w:bottom w:w="28" w:type="dxa"/>
              <w:right w:w="28" w:type="dxa"/>
            </w:tcMar>
            <w:vAlign w:val="center"/>
          </w:tcPr>
          <w:p>
            <w:pPr>
              <w:pStyle w:val="0"/>
              <w:jc w:val="right"/>
              <w:rPr>
                <w:rFonts w:hint="default"/>
              </w:rPr>
            </w:pPr>
            <w:r>
              <w:rPr>
                <w:rFonts w:hint="default"/>
              </w:rPr>
              <w:t>170</w:t>
            </w:r>
          </w:p>
        </w:tc>
        <w:tc>
          <w:tcPr>
            <w:tcW w:w="420" w:type="pct"/>
            <w:tcMar>
              <w:top w:w="28" w:type="dxa"/>
              <w:left w:w="28" w:type="dxa"/>
              <w:bottom w:w="28" w:type="dxa"/>
              <w:right w:w="28" w:type="dxa"/>
            </w:tcMar>
            <w:vAlign w:val="center"/>
          </w:tcPr>
          <w:p>
            <w:pPr>
              <w:pStyle w:val="0"/>
              <w:jc w:val="right"/>
              <w:rPr>
                <w:rFonts w:hint="default"/>
              </w:rPr>
            </w:pPr>
            <w:r>
              <w:rPr>
                <w:rFonts w:hint="default"/>
              </w:rPr>
              <w:t>4.7%</w:t>
            </w:r>
          </w:p>
        </w:tc>
      </w:tr>
      <w:tr>
        <w:trPr/>
        <w:tc>
          <w:tcPr>
            <w:tcW w:w="453" w:type="pct"/>
            <w:vMerge w:val="continue"/>
            <w:tcMar>
              <w:top w:w="28" w:type="dxa"/>
              <w:left w:w="28" w:type="dxa"/>
              <w:bottom w:w="28" w:type="dxa"/>
              <w:right w:w="28" w:type="dxa"/>
            </w:tcMar>
            <w:vAlign w:val="center"/>
          </w:tcPr>
          <w:p>
            <w:pPr>
              <w:pStyle w:val="0"/>
              <w:rPr>
                <w:rFonts w:hint="default"/>
              </w:rPr>
            </w:pPr>
          </w:p>
        </w:tc>
        <w:tc>
          <w:tcPr>
            <w:tcW w:w="1178" w:type="pct"/>
            <w:tcMar>
              <w:top w:w="28" w:type="dxa"/>
              <w:left w:w="28" w:type="dxa"/>
              <w:bottom w:w="28" w:type="dxa"/>
              <w:right w:w="28" w:type="dxa"/>
            </w:tcMar>
            <w:vAlign w:val="center"/>
          </w:tcPr>
          <w:p>
            <w:pPr>
              <w:pStyle w:val="0"/>
              <w:rPr>
                <w:rFonts w:hint="default"/>
              </w:rPr>
            </w:pPr>
            <w:r>
              <w:rPr>
                <w:rFonts w:hint="eastAsia"/>
              </w:rPr>
              <w:t>7.0%</w:t>
            </w:r>
            <w:r>
              <w:rPr>
                <w:rFonts w:hint="eastAsia"/>
              </w:rPr>
              <w:t>以上</w:t>
            </w:r>
            <w:r>
              <w:rPr>
                <w:rFonts w:hint="eastAsia"/>
              </w:rPr>
              <w:t>8.0%</w:t>
            </w:r>
            <w:r>
              <w:rPr>
                <w:rFonts w:hint="eastAsia"/>
              </w:rPr>
              <w:t>未満</w:t>
            </w:r>
          </w:p>
        </w:tc>
        <w:tc>
          <w:tcPr>
            <w:tcW w:w="421" w:type="pct"/>
            <w:tcMar>
              <w:top w:w="28" w:type="dxa"/>
              <w:left w:w="28" w:type="dxa"/>
              <w:bottom w:w="28" w:type="dxa"/>
              <w:right w:w="28" w:type="dxa"/>
            </w:tcMar>
            <w:vAlign w:val="center"/>
          </w:tcPr>
          <w:p>
            <w:pPr>
              <w:pStyle w:val="0"/>
              <w:jc w:val="right"/>
              <w:rPr>
                <w:rFonts w:hint="default"/>
              </w:rPr>
            </w:pPr>
            <w:r>
              <w:rPr>
                <w:rFonts w:hint="default"/>
              </w:rPr>
              <w:t>167</w:t>
            </w:r>
          </w:p>
        </w:tc>
        <w:tc>
          <w:tcPr>
            <w:tcW w:w="422" w:type="pct"/>
            <w:tcMar>
              <w:top w:w="28" w:type="dxa"/>
              <w:left w:w="28" w:type="dxa"/>
              <w:bottom w:w="28" w:type="dxa"/>
              <w:right w:w="28" w:type="dxa"/>
            </w:tcMar>
            <w:vAlign w:val="center"/>
          </w:tcPr>
          <w:p>
            <w:pPr>
              <w:pStyle w:val="0"/>
              <w:jc w:val="right"/>
              <w:rPr>
                <w:rFonts w:hint="default"/>
              </w:rPr>
            </w:pPr>
            <w:r>
              <w:rPr>
                <w:rFonts w:hint="default"/>
              </w:rPr>
              <w:t>3.4%</w:t>
            </w:r>
          </w:p>
        </w:tc>
        <w:tc>
          <w:tcPr>
            <w:tcW w:w="421" w:type="pct"/>
            <w:tcMar>
              <w:top w:w="28" w:type="dxa"/>
              <w:left w:w="28" w:type="dxa"/>
              <w:bottom w:w="28" w:type="dxa"/>
              <w:right w:w="28" w:type="dxa"/>
            </w:tcMar>
            <w:vAlign w:val="center"/>
          </w:tcPr>
          <w:p>
            <w:pPr>
              <w:pStyle w:val="0"/>
              <w:jc w:val="right"/>
              <w:rPr>
                <w:rFonts w:hint="default"/>
              </w:rPr>
            </w:pPr>
            <w:r>
              <w:rPr>
                <w:rFonts w:hint="default"/>
              </w:rPr>
              <w:t>117</w:t>
            </w:r>
          </w:p>
        </w:tc>
        <w:tc>
          <w:tcPr>
            <w:tcW w:w="422" w:type="pct"/>
            <w:tcMar>
              <w:top w:w="28" w:type="dxa"/>
              <w:left w:w="28" w:type="dxa"/>
              <w:bottom w:w="28" w:type="dxa"/>
              <w:right w:w="28" w:type="dxa"/>
            </w:tcMar>
            <w:vAlign w:val="center"/>
          </w:tcPr>
          <w:p>
            <w:pPr>
              <w:pStyle w:val="0"/>
              <w:jc w:val="right"/>
              <w:rPr>
                <w:rFonts w:hint="default"/>
              </w:rPr>
            </w:pPr>
            <w:r>
              <w:rPr>
                <w:rFonts w:hint="default"/>
              </w:rPr>
              <w:t>4.4%</w:t>
            </w:r>
          </w:p>
        </w:tc>
        <w:tc>
          <w:tcPr>
            <w:tcW w:w="421" w:type="pct"/>
            <w:tcMar>
              <w:top w:w="28" w:type="dxa"/>
              <w:left w:w="28" w:type="dxa"/>
              <w:bottom w:w="28" w:type="dxa"/>
              <w:right w:w="28" w:type="dxa"/>
            </w:tcMar>
            <w:vAlign w:val="center"/>
          </w:tcPr>
          <w:p>
            <w:pPr>
              <w:pStyle w:val="0"/>
              <w:jc w:val="right"/>
              <w:rPr>
                <w:rFonts w:hint="default"/>
              </w:rPr>
            </w:pPr>
            <w:r>
              <w:rPr>
                <w:rFonts w:hint="default"/>
              </w:rPr>
              <w:t>120</w:t>
            </w:r>
          </w:p>
        </w:tc>
        <w:tc>
          <w:tcPr>
            <w:tcW w:w="422" w:type="pct"/>
            <w:tcMar>
              <w:top w:w="28" w:type="dxa"/>
              <w:left w:w="28" w:type="dxa"/>
              <w:bottom w:w="28" w:type="dxa"/>
              <w:right w:w="28" w:type="dxa"/>
            </w:tcMar>
            <w:vAlign w:val="center"/>
          </w:tcPr>
          <w:p>
            <w:pPr>
              <w:pStyle w:val="0"/>
              <w:jc w:val="right"/>
              <w:rPr>
                <w:rFonts w:hint="default"/>
              </w:rPr>
            </w:pPr>
            <w:r>
              <w:rPr>
                <w:rFonts w:hint="default"/>
              </w:rPr>
              <w:t>3.2%</w:t>
            </w:r>
          </w:p>
        </w:tc>
        <w:tc>
          <w:tcPr>
            <w:tcW w:w="421" w:type="pct"/>
            <w:tcMar>
              <w:top w:w="28" w:type="dxa"/>
              <w:left w:w="28" w:type="dxa"/>
              <w:bottom w:w="28" w:type="dxa"/>
              <w:right w:w="28" w:type="dxa"/>
            </w:tcMar>
            <w:vAlign w:val="center"/>
          </w:tcPr>
          <w:p>
            <w:pPr>
              <w:pStyle w:val="0"/>
              <w:jc w:val="right"/>
              <w:rPr>
                <w:rFonts w:hint="default"/>
              </w:rPr>
            </w:pPr>
            <w:r>
              <w:rPr>
                <w:rFonts w:hint="default"/>
              </w:rPr>
              <w:t>101</w:t>
            </w:r>
          </w:p>
        </w:tc>
        <w:tc>
          <w:tcPr>
            <w:tcW w:w="420" w:type="pct"/>
            <w:tcMar>
              <w:top w:w="28" w:type="dxa"/>
              <w:left w:w="28" w:type="dxa"/>
              <w:bottom w:w="28" w:type="dxa"/>
              <w:right w:w="28" w:type="dxa"/>
            </w:tcMar>
            <w:vAlign w:val="center"/>
          </w:tcPr>
          <w:p>
            <w:pPr>
              <w:pStyle w:val="0"/>
              <w:jc w:val="right"/>
              <w:rPr>
                <w:rFonts w:hint="default"/>
              </w:rPr>
            </w:pPr>
            <w:r>
              <w:rPr>
                <w:rFonts w:hint="default"/>
              </w:rPr>
              <w:t>2.8%</w:t>
            </w:r>
          </w:p>
        </w:tc>
      </w:tr>
      <w:tr>
        <w:trPr/>
        <w:tc>
          <w:tcPr>
            <w:tcW w:w="453" w:type="pct"/>
            <w:vMerge w:val="continue"/>
            <w:tcMar>
              <w:top w:w="28" w:type="dxa"/>
              <w:left w:w="28" w:type="dxa"/>
              <w:bottom w:w="28" w:type="dxa"/>
              <w:right w:w="28" w:type="dxa"/>
            </w:tcMar>
            <w:vAlign w:val="center"/>
          </w:tcPr>
          <w:p>
            <w:pPr>
              <w:pStyle w:val="0"/>
              <w:rPr>
                <w:rFonts w:hint="default"/>
              </w:rPr>
            </w:pPr>
          </w:p>
        </w:tc>
        <w:tc>
          <w:tcPr>
            <w:tcW w:w="1178" w:type="pct"/>
            <w:tcMar>
              <w:top w:w="28" w:type="dxa"/>
              <w:left w:w="28" w:type="dxa"/>
              <w:bottom w:w="28" w:type="dxa"/>
              <w:right w:w="28" w:type="dxa"/>
            </w:tcMar>
            <w:vAlign w:val="center"/>
          </w:tcPr>
          <w:p>
            <w:pPr>
              <w:pStyle w:val="0"/>
              <w:rPr>
                <w:rFonts w:hint="default"/>
              </w:rPr>
            </w:pPr>
            <w:r>
              <w:rPr>
                <w:rFonts w:hint="eastAsia"/>
              </w:rPr>
              <w:t>8.0%</w:t>
            </w:r>
            <w:r>
              <w:rPr>
                <w:rFonts w:hint="eastAsia"/>
              </w:rPr>
              <w:t>以上</w:t>
            </w:r>
          </w:p>
        </w:tc>
        <w:tc>
          <w:tcPr>
            <w:tcW w:w="421" w:type="pct"/>
            <w:tcMar>
              <w:top w:w="28" w:type="dxa"/>
              <w:left w:w="28" w:type="dxa"/>
              <w:bottom w:w="28" w:type="dxa"/>
              <w:right w:w="28" w:type="dxa"/>
            </w:tcMar>
            <w:vAlign w:val="center"/>
          </w:tcPr>
          <w:p>
            <w:pPr>
              <w:pStyle w:val="0"/>
              <w:jc w:val="right"/>
              <w:rPr>
                <w:rFonts w:hint="default"/>
              </w:rPr>
            </w:pPr>
            <w:r>
              <w:rPr>
                <w:rFonts w:hint="default"/>
              </w:rPr>
              <w:t>72</w:t>
            </w:r>
          </w:p>
        </w:tc>
        <w:tc>
          <w:tcPr>
            <w:tcW w:w="422" w:type="pct"/>
            <w:tcMar>
              <w:top w:w="28" w:type="dxa"/>
              <w:left w:w="28" w:type="dxa"/>
              <w:bottom w:w="28" w:type="dxa"/>
              <w:right w:w="28" w:type="dxa"/>
            </w:tcMar>
            <w:vAlign w:val="center"/>
          </w:tcPr>
          <w:p>
            <w:pPr>
              <w:pStyle w:val="0"/>
              <w:jc w:val="right"/>
              <w:rPr>
                <w:rFonts w:hint="default"/>
              </w:rPr>
            </w:pPr>
            <w:r>
              <w:rPr>
                <w:rFonts w:hint="default"/>
              </w:rPr>
              <w:t>1.5%</w:t>
            </w:r>
          </w:p>
        </w:tc>
        <w:tc>
          <w:tcPr>
            <w:tcW w:w="421" w:type="pct"/>
            <w:tcMar>
              <w:top w:w="28" w:type="dxa"/>
              <w:left w:w="28" w:type="dxa"/>
              <w:bottom w:w="28" w:type="dxa"/>
              <w:right w:w="28" w:type="dxa"/>
            </w:tcMar>
            <w:vAlign w:val="center"/>
          </w:tcPr>
          <w:p>
            <w:pPr>
              <w:pStyle w:val="0"/>
              <w:jc w:val="right"/>
              <w:rPr>
                <w:rFonts w:hint="default"/>
              </w:rPr>
            </w:pPr>
            <w:r>
              <w:rPr>
                <w:rFonts w:hint="default"/>
              </w:rPr>
              <w:t>48</w:t>
            </w:r>
          </w:p>
        </w:tc>
        <w:tc>
          <w:tcPr>
            <w:tcW w:w="422" w:type="pct"/>
            <w:tcMar>
              <w:top w:w="28" w:type="dxa"/>
              <w:left w:w="28" w:type="dxa"/>
              <w:bottom w:w="28" w:type="dxa"/>
              <w:right w:w="28" w:type="dxa"/>
            </w:tcMar>
            <w:vAlign w:val="center"/>
          </w:tcPr>
          <w:p>
            <w:pPr>
              <w:pStyle w:val="0"/>
              <w:jc w:val="right"/>
              <w:rPr>
                <w:rFonts w:hint="default"/>
              </w:rPr>
            </w:pPr>
            <w:r>
              <w:rPr>
                <w:rFonts w:hint="default"/>
              </w:rPr>
              <w:t>1.8%</w:t>
            </w:r>
          </w:p>
        </w:tc>
        <w:tc>
          <w:tcPr>
            <w:tcW w:w="421" w:type="pct"/>
            <w:tcMar>
              <w:top w:w="28" w:type="dxa"/>
              <w:left w:w="28" w:type="dxa"/>
              <w:bottom w:w="28" w:type="dxa"/>
              <w:right w:w="28" w:type="dxa"/>
            </w:tcMar>
            <w:vAlign w:val="center"/>
          </w:tcPr>
          <w:p>
            <w:pPr>
              <w:pStyle w:val="0"/>
              <w:jc w:val="right"/>
              <w:rPr>
                <w:rFonts w:hint="default"/>
              </w:rPr>
            </w:pPr>
            <w:r>
              <w:rPr>
                <w:rFonts w:hint="default"/>
              </w:rPr>
              <w:t>63</w:t>
            </w:r>
          </w:p>
        </w:tc>
        <w:tc>
          <w:tcPr>
            <w:tcW w:w="422" w:type="pct"/>
            <w:tcMar>
              <w:top w:w="28" w:type="dxa"/>
              <w:left w:w="28" w:type="dxa"/>
              <w:bottom w:w="28" w:type="dxa"/>
              <w:right w:w="28" w:type="dxa"/>
            </w:tcMar>
            <w:vAlign w:val="center"/>
          </w:tcPr>
          <w:p>
            <w:pPr>
              <w:pStyle w:val="0"/>
              <w:jc w:val="right"/>
              <w:rPr>
                <w:rFonts w:hint="default"/>
              </w:rPr>
            </w:pPr>
            <w:r>
              <w:rPr>
                <w:rFonts w:hint="default"/>
              </w:rPr>
              <w:t>1.7%</w:t>
            </w:r>
          </w:p>
        </w:tc>
        <w:tc>
          <w:tcPr>
            <w:tcW w:w="421" w:type="pct"/>
            <w:tcMar>
              <w:top w:w="28" w:type="dxa"/>
              <w:left w:w="28" w:type="dxa"/>
              <w:bottom w:w="28" w:type="dxa"/>
              <w:right w:w="28" w:type="dxa"/>
            </w:tcMar>
            <w:vAlign w:val="center"/>
          </w:tcPr>
          <w:p>
            <w:pPr>
              <w:pStyle w:val="0"/>
              <w:jc w:val="right"/>
              <w:rPr>
                <w:rFonts w:hint="default"/>
              </w:rPr>
            </w:pPr>
            <w:r>
              <w:rPr>
                <w:rFonts w:hint="default"/>
              </w:rPr>
              <w:t>41</w:t>
            </w:r>
          </w:p>
        </w:tc>
        <w:tc>
          <w:tcPr>
            <w:tcW w:w="420" w:type="pct"/>
            <w:tcMar>
              <w:top w:w="28" w:type="dxa"/>
              <w:left w:w="28" w:type="dxa"/>
              <w:bottom w:w="28" w:type="dxa"/>
              <w:right w:w="28" w:type="dxa"/>
            </w:tcMar>
            <w:vAlign w:val="center"/>
          </w:tcPr>
          <w:p>
            <w:pPr>
              <w:pStyle w:val="0"/>
              <w:jc w:val="right"/>
              <w:rPr>
                <w:rFonts w:hint="default"/>
              </w:rPr>
            </w:pPr>
            <w:r>
              <w:rPr>
                <w:rFonts w:hint="default"/>
              </w:rPr>
              <w:t>1.1%</w:t>
            </w:r>
          </w:p>
        </w:tc>
      </w:tr>
      <w:tr>
        <w:trPr>
          <w:trHeight w:val="126" w:hRule="atLeast"/>
        </w:trPr>
        <w:tc>
          <w:tcPr>
            <w:tcW w:w="453" w:type="pct"/>
            <w:vMerge w:val="continue"/>
            <w:tcMar>
              <w:top w:w="28" w:type="dxa"/>
              <w:left w:w="28" w:type="dxa"/>
              <w:bottom w:w="28" w:type="dxa"/>
              <w:right w:w="28" w:type="dxa"/>
            </w:tcMar>
            <w:vAlign w:val="center"/>
          </w:tcPr>
          <w:p>
            <w:pPr>
              <w:pStyle w:val="0"/>
              <w:rPr>
                <w:rFonts w:hint="default"/>
              </w:rPr>
            </w:pPr>
          </w:p>
        </w:tc>
        <w:tc>
          <w:tcPr>
            <w:tcW w:w="1178" w:type="pct"/>
            <w:tcMar>
              <w:top w:w="28" w:type="dxa"/>
              <w:left w:w="28" w:type="dxa"/>
              <w:bottom w:w="28" w:type="dxa"/>
              <w:right w:w="28" w:type="dxa"/>
            </w:tcMar>
            <w:vAlign w:val="center"/>
          </w:tcPr>
          <w:p>
            <w:pPr>
              <w:pStyle w:val="0"/>
              <w:rPr>
                <w:rFonts w:hint="default"/>
              </w:rPr>
            </w:pPr>
            <w:r>
              <w:rPr>
                <w:rFonts w:hint="eastAsia"/>
              </w:rPr>
              <w:t>合計</w:t>
            </w:r>
          </w:p>
        </w:tc>
        <w:tc>
          <w:tcPr>
            <w:tcW w:w="421" w:type="pct"/>
            <w:tcMar>
              <w:top w:w="28" w:type="dxa"/>
              <w:left w:w="28" w:type="dxa"/>
              <w:bottom w:w="28" w:type="dxa"/>
              <w:right w:w="28" w:type="dxa"/>
            </w:tcMar>
            <w:vAlign w:val="center"/>
          </w:tcPr>
          <w:p>
            <w:pPr>
              <w:pStyle w:val="0"/>
              <w:jc w:val="right"/>
              <w:rPr>
                <w:rFonts w:hint="default"/>
              </w:rPr>
            </w:pPr>
            <w:r>
              <w:rPr>
                <w:rFonts w:hint="default"/>
              </w:rPr>
              <w:t>495</w:t>
            </w:r>
          </w:p>
        </w:tc>
        <w:tc>
          <w:tcPr>
            <w:tcW w:w="422" w:type="pct"/>
            <w:tcMar>
              <w:top w:w="28" w:type="dxa"/>
              <w:left w:w="28" w:type="dxa"/>
              <w:bottom w:w="28" w:type="dxa"/>
              <w:right w:w="28" w:type="dxa"/>
            </w:tcMar>
            <w:vAlign w:val="center"/>
          </w:tcPr>
          <w:p>
            <w:pPr>
              <w:pStyle w:val="0"/>
              <w:jc w:val="right"/>
              <w:rPr>
                <w:rFonts w:hint="default"/>
              </w:rPr>
            </w:pPr>
            <w:r>
              <w:rPr>
                <w:rFonts w:hint="default"/>
              </w:rPr>
              <w:t>10.1%</w:t>
            </w:r>
          </w:p>
        </w:tc>
        <w:tc>
          <w:tcPr>
            <w:tcW w:w="421" w:type="pct"/>
            <w:tcMar>
              <w:top w:w="28" w:type="dxa"/>
              <w:left w:w="28" w:type="dxa"/>
              <w:bottom w:w="28" w:type="dxa"/>
              <w:right w:w="28" w:type="dxa"/>
            </w:tcMar>
            <w:vAlign w:val="center"/>
          </w:tcPr>
          <w:p>
            <w:pPr>
              <w:pStyle w:val="0"/>
              <w:jc w:val="right"/>
              <w:rPr>
                <w:rFonts w:hint="default"/>
              </w:rPr>
            </w:pPr>
            <w:r>
              <w:rPr>
                <w:rFonts w:hint="default"/>
              </w:rPr>
              <w:t>285</w:t>
            </w:r>
          </w:p>
        </w:tc>
        <w:tc>
          <w:tcPr>
            <w:tcW w:w="422" w:type="pct"/>
            <w:tcMar>
              <w:top w:w="28" w:type="dxa"/>
              <w:left w:w="28" w:type="dxa"/>
              <w:bottom w:w="28" w:type="dxa"/>
              <w:right w:w="28" w:type="dxa"/>
            </w:tcMar>
            <w:vAlign w:val="center"/>
          </w:tcPr>
          <w:p>
            <w:pPr>
              <w:pStyle w:val="0"/>
              <w:jc w:val="right"/>
              <w:rPr>
                <w:rFonts w:hint="default"/>
              </w:rPr>
            </w:pPr>
            <w:r>
              <w:rPr>
                <w:rFonts w:hint="default"/>
              </w:rPr>
              <w:t>10.8%</w:t>
            </w:r>
          </w:p>
        </w:tc>
        <w:tc>
          <w:tcPr>
            <w:tcW w:w="421" w:type="pct"/>
            <w:tcMar>
              <w:top w:w="28" w:type="dxa"/>
              <w:left w:w="28" w:type="dxa"/>
              <w:bottom w:w="28" w:type="dxa"/>
              <w:right w:w="28" w:type="dxa"/>
            </w:tcMar>
            <w:vAlign w:val="center"/>
          </w:tcPr>
          <w:p>
            <w:pPr>
              <w:pStyle w:val="0"/>
              <w:jc w:val="right"/>
              <w:rPr>
                <w:rFonts w:hint="default"/>
              </w:rPr>
            </w:pPr>
            <w:r>
              <w:rPr>
                <w:rFonts w:hint="default"/>
              </w:rPr>
              <w:t>356</w:t>
            </w:r>
          </w:p>
        </w:tc>
        <w:tc>
          <w:tcPr>
            <w:tcW w:w="422" w:type="pct"/>
            <w:tcMar>
              <w:top w:w="28" w:type="dxa"/>
              <w:left w:w="28" w:type="dxa"/>
              <w:bottom w:w="28" w:type="dxa"/>
              <w:right w:w="28" w:type="dxa"/>
            </w:tcMar>
            <w:vAlign w:val="center"/>
          </w:tcPr>
          <w:p>
            <w:pPr>
              <w:pStyle w:val="0"/>
              <w:jc w:val="right"/>
              <w:rPr>
                <w:rFonts w:hint="default"/>
              </w:rPr>
            </w:pPr>
            <w:r>
              <w:rPr>
                <w:rFonts w:hint="default"/>
              </w:rPr>
              <w:t>9.4%</w:t>
            </w:r>
          </w:p>
        </w:tc>
        <w:tc>
          <w:tcPr>
            <w:tcW w:w="421" w:type="pct"/>
            <w:tcMar>
              <w:top w:w="28" w:type="dxa"/>
              <w:left w:w="28" w:type="dxa"/>
              <w:bottom w:w="28" w:type="dxa"/>
              <w:right w:w="28" w:type="dxa"/>
            </w:tcMar>
            <w:vAlign w:val="center"/>
          </w:tcPr>
          <w:p>
            <w:pPr>
              <w:pStyle w:val="0"/>
              <w:jc w:val="right"/>
              <w:rPr>
                <w:rFonts w:hint="default"/>
              </w:rPr>
            </w:pPr>
            <w:r>
              <w:rPr>
                <w:rFonts w:hint="default"/>
              </w:rPr>
              <w:t>312</w:t>
            </w:r>
          </w:p>
        </w:tc>
        <w:tc>
          <w:tcPr>
            <w:tcW w:w="420" w:type="pct"/>
            <w:tcMar>
              <w:top w:w="28" w:type="dxa"/>
              <w:left w:w="28" w:type="dxa"/>
              <w:bottom w:w="28" w:type="dxa"/>
              <w:right w:w="28" w:type="dxa"/>
            </w:tcMar>
            <w:vAlign w:val="center"/>
          </w:tcPr>
          <w:p>
            <w:pPr>
              <w:pStyle w:val="0"/>
              <w:jc w:val="right"/>
              <w:rPr>
                <w:rFonts w:hint="default"/>
              </w:rPr>
            </w:pPr>
            <w:r>
              <w:rPr>
                <w:rFonts w:hint="default"/>
              </w:rPr>
              <w:t>8.6%</w:t>
            </w:r>
          </w:p>
        </w:tc>
      </w:tr>
    </w:tbl>
    <w:p>
      <w:pPr>
        <w:pStyle w:val="0"/>
        <w:rPr>
          <w:rFonts w:hint="default"/>
          <w:sz w:val="18"/>
        </w:rPr>
      </w:pPr>
    </w:p>
    <w:tbl>
      <w:tblPr>
        <w:tblStyle w:val="172"/>
        <w:tblW w:w="5000" w:type="pct"/>
        <w:tblInd w:w="0" w:type="dxa"/>
        <w:tblLayout w:type="fixed"/>
        <w:tblLook w:firstRow="1" w:lastRow="0" w:firstColumn="1" w:lastColumn="0" w:noHBand="0" w:noVBand="1" w:val="04A0"/>
      </w:tblPr>
      <w:tblGrid>
        <w:gridCol w:w="850"/>
        <w:gridCol w:w="2181"/>
        <w:gridCol w:w="793"/>
        <w:gridCol w:w="795"/>
        <w:gridCol w:w="793"/>
        <w:gridCol w:w="791"/>
        <w:gridCol w:w="793"/>
        <w:gridCol w:w="795"/>
        <w:gridCol w:w="793"/>
        <w:gridCol w:w="791"/>
      </w:tblGrid>
      <w:tr>
        <w:trPr/>
        <w:tc>
          <w:tcPr>
            <w:tcW w:w="1615" w:type="pct"/>
            <w:gridSpan w:val="2"/>
            <w:vMerge w:val="restart"/>
            <w:shd w:val="clear" w:color="auto" w:fill="CCD6FF"/>
            <w:tcMar>
              <w:top w:w="28" w:type="dxa"/>
              <w:left w:w="28" w:type="dxa"/>
              <w:bottom w:w="28" w:type="dxa"/>
              <w:right w:w="28" w:type="dxa"/>
            </w:tcMar>
            <w:vAlign w:val="center"/>
          </w:tcPr>
          <w:p>
            <w:pPr>
              <w:pStyle w:val="0"/>
              <w:jc w:val="center"/>
              <w:rPr>
                <w:rFonts w:hint="default"/>
                <w:b w:val="1"/>
              </w:rPr>
            </w:pPr>
          </w:p>
        </w:tc>
        <w:tc>
          <w:tcPr>
            <w:tcW w:w="847"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1</w:t>
            </w:r>
            <w:r>
              <w:rPr>
                <w:rFonts w:hint="eastAsia"/>
                <w:b w:val="1"/>
              </w:rPr>
              <w:t>年度</w:t>
            </w:r>
          </w:p>
        </w:tc>
        <w:tc>
          <w:tcPr>
            <w:tcW w:w="845"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2</w:t>
            </w:r>
            <w:r>
              <w:rPr>
                <w:rFonts w:hint="eastAsia"/>
                <w:b w:val="1"/>
              </w:rPr>
              <w:t>年度</w:t>
            </w:r>
          </w:p>
        </w:tc>
        <w:tc>
          <w:tcPr>
            <w:tcW w:w="847"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3</w:t>
            </w:r>
            <w:r>
              <w:rPr>
                <w:rFonts w:hint="eastAsia"/>
                <w:b w:val="1"/>
              </w:rPr>
              <w:t>年度</w:t>
            </w:r>
          </w:p>
        </w:tc>
        <w:tc>
          <w:tcPr>
            <w:tcW w:w="846"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4</w:t>
            </w:r>
            <w:r>
              <w:rPr>
                <w:rFonts w:hint="eastAsia"/>
                <w:b w:val="1"/>
              </w:rPr>
              <w:t>年度</w:t>
            </w:r>
          </w:p>
        </w:tc>
      </w:tr>
      <w:tr>
        <w:trPr/>
        <w:tc>
          <w:tcPr>
            <w:tcW w:w="1615" w:type="pct"/>
            <w:gridSpan w:val="2"/>
            <w:vMerge w:val="continue"/>
            <w:tcMar>
              <w:top w:w="28" w:type="dxa"/>
              <w:left w:w="28" w:type="dxa"/>
              <w:bottom w:w="28" w:type="dxa"/>
              <w:right w:w="28" w:type="dxa"/>
            </w:tcMar>
            <w:vAlign w:val="center"/>
          </w:tcPr>
          <w:p>
            <w:pPr>
              <w:pStyle w:val="0"/>
              <w:jc w:val="center"/>
              <w:rPr>
                <w:rFonts w:hint="default"/>
                <w:b w:val="1"/>
              </w:rPr>
            </w:pP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r>
      <w:tr>
        <w:trPr/>
        <w:tc>
          <w:tcPr>
            <w:tcW w:w="1615" w:type="pct"/>
            <w:gridSpan w:val="2"/>
            <w:tcMar>
              <w:top w:w="28" w:type="dxa"/>
              <w:left w:w="28" w:type="dxa"/>
              <w:bottom w:w="28" w:type="dxa"/>
              <w:right w:w="28" w:type="dxa"/>
            </w:tcMar>
            <w:vAlign w:val="center"/>
          </w:tcPr>
          <w:p>
            <w:pPr>
              <w:pStyle w:val="0"/>
              <w:rPr>
                <w:rFonts w:hint="default"/>
              </w:rPr>
            </w:pPr>
            <w:r>
              <w:rPr>
                <w:rFonts w:hint="eastAsia"/>
              </w:rPr>
              <w:t>特定健診受診者数</w:t>
            </w:r>
          </w:p>
        </w:tc>
        <w:tc>
          <w:tcPr>
            <w:tcW w:w="423" w:type="pct"/>
            <w:tcMar>
              <w:top w:w="28" w:type="dxa"/>
              <w:left w:w="28" w:type="dxa"/>
              <w:bottom w:w="28" w:type="dxa"/>
              <w:right w:w="28" w:type="dxa"/>
            </w:tcMar>
            <w:vAlign w:val="center"/>
          </w:tcPr>
          <w:p>
            <w:pPr>
              <w:pStyle w:val="0"/>
              <w:jc w:val="right"/>
              <w:rPr>
                <w:rFonts w:hint="default"/>
              </w:rPr>
            </w:pPr>
            <w:r>
              <w:rPr>
                <w:rFonts w:hint="default"/>
              </w:rPr>
              <w:t>4,906</w:t>
            </w:r>
          </w:p>
        </w:tc>
        <w:tc>
          <w:tcPr>
            <w:tcW w:w="424" w:type="pct"/>
            <w:tcMar>
              <w:top w:w="28" w:type="dxa"/>
              <w:left w:w="28" w:type="dxa"/>
              <w:bottom w:w="28" w:type="dxa"/>
              <w:right w:w="28" w:type="dxa"/>
            </w:tcMar>
            <w:vAlign w:val="center"/>
          </w:tcPr>
          <w:p>
            <w:pPr>
              <w:pStyle w:val="0"/>
              <w:jc w:val="right"/>
              <w:rPr>
                <w:rFonts w:hint="default"/>
              </w:rPr>
            </w:pPr>
            <w:r>
              <w:rPr>
                <w:rFonts w:hint="default"/>
              </w:rPr>
              <w:t>-</w:t>
            </w:r>
          </w:p>
        </w:tc>
        <w:tc>
          <w:tcPr>
            <w:tcW w:w="423" w:type="pct"/>
            <w:tcMar>
              <w:top w:w="28" w:type="dxa"/>
              <w:left w:w="28" w:type="dxa"/>
              <w:bottom w:w="28" w:type="dxa"/>
              <w:right w:w="28" w:type="dxa"/>
            </w:tcMar>
            <w:vAlign w:val="center"/>
          </w:tcPr>
          <w:p>
            <w:pPr>
              <w:pStyle w:val="0"/>
              <w:jc w:val="right"/>
              <w:rPr>
                <w:rFonts w:hint="default"/>
              </w:rPr>
            </w:pPr>
            <w:r>
              <w:rPr>
                <w:rFonts w:hint="default"/>
              </w:rPr>
              <w:t>2,641</w:t>
            </w:r>
          </w:p>
        </w:tc>
        <w:tc>
          <w:tcPr>
            <w:tcW w:w="422" w:type="pct"/>
            <w:tcMar>
              <w:top w:w="28" w:type="dxa"/>
              <w:left w:w="28" w:type="dxa"/>
              <w:bottom w:w="28" w:type="dxa"/>
              <w:right w:w="28" w:type="dxa"/>
            </w:tcMar>
            <w:vAlign w:val="center"/>
          </w:tcPr>
          <w:p>
            <w:pPr>
              <w:pStyle w:val="0"/>
              <w:jc w:val="right"/>
              <w:rPr>
                <w:rFonts w:hint="default"/>
              </w:rPr>
            </w:pPr>
            <w:r>
              <w:rPr>
                <w:rFonts w:hint="default"/>
              </w:rPr>
              <w:t>-</w:t>
            </w:r>
          </w:p>
        </w:tc>
        <w:tc>
          <w:tcPr>
            <w:tcW w:w="423" w:type="pct"/>
            <w:tcMar>
              <w:top w:w="28" w:type="dxa"/>
              <w:left w:w="28" w:type="dxa"/>
              <w:bottom w:w="28" w:type="dxa"/>
              <w:right w:w="28" w:type="dxa"/>
            </w:tcMar>
            <w:vAlign w:val="center"/>
          </w:tcPr>
          <w:p>
            <w:pPr>
              <w:pStyle w:val="0"/>
              <w:jc w:val="right"/>
              <w:rPr>
                <w:rFonts w:hint="default"/>
              </w:rPr>
            </w:pPr>
            <w:r>
              <w:rPr>
                <w:rFonts w:hint="default"/>
              </w:rPr>
              <w:t>3,792</w:t>
            </w:r>
          </w:p>
        </w:tc>
        <w:tc>
          <w:tcPr>
            <w:tcW w:w="424" w:type="pct"/>
            <w:tcMar>
              <w:top w:w="28" w:type="dxa"/>
              <w:left w:w="28" w:type="dxa"/>
              <w:bottom w:w="28" w:type="dxa"/>
              <w:right w:w="28" w:type="dxa"/>
            </w:tcMar>
            <w:vAlign w:val="center"/>
          </w:tcPr>
          <w:p>
            <w:pPr>
              <w:pStyle w:val="0"/>
              <w:jc w:val="right"/>
              <w:rPr>
                <w:rFonts w:hint="default"/>
              </w:rPr>
            </w:pPr>
            <w:r>
              <w:rPr>
                <w:rFonts w:hint="default"/>
              </w:rPr>
              <w:t>-</w:t>
            </w:r>
          </w:p>
        </w:tc>
        <w:tc>
          <w:tcPr>
            <w:tcW w:w="423" w:type="pct"/>
            <w:tcMar>
              <w:top w:w="28" w:type="dxa"/>
              <w:left w:w="28" w:type="dxa"/>
              <w:bottom w:w="28" w:type="dxa"/>
              <w:right w:w="28" w:type="dxa"/>
            </w:tcMar>
            <w:vAlign w:val="center"/>
          </w:tcPr>
          <w:p>
            <w:pPr>
              <w:pStyle w:val="0"/>
              <w:jc w:val="right"/>
              <w:rPr>
                <w:rFonts w:hint="default"/>
              </w:rPr>
            </w:pPr>
            <w:r>
              <w:rPr>
                <w:rFonts w:hint="default"/>
              </w:rPr>
              <w:t>3,611</w:t>
            </w:r>
          </w:p>
        </w:tc>
        <w:tc>
          <w:tcPr>
            <w:tcW w:w="423" w:type="pct"/>
            <w:tcMar>
              <w:top w:w="28" w:type="dxa"/>
              <w:left w:w="28" w:type="dxa"/>
              <w:bottom w:w="28" w:type="dxa"/>
              <w:right w:w="28" w:type="dxa"/>
            </w:tcMar>
            <w:vAlign w:val="center"/>
          </w:tcPr>
          <w:p>
            <w:pPr>
              <w:pStyle w:val="0"/>
              <w:jc w:val="right"/>
              <w:rPr>
                <w:rFonts w:hint="default"/>
              </w:rPr>
            </w:pPr>
            <w:r>
              <w:rPr>
                <w:rFonts w:hint="default"/>
              </w:rPr>
              <w:t>-</w:t>
            </w:r>
          </w:p>
        </w:tc>
      </w:tr>
      <w:tr>
        <w:trPr/>
        <w:tc>
          <w:tcPr>
            <w:tcW w:w="453" w:type="pct"/>
            <w:vMerge w:val="restart"/>
            <w:tcMar>
              <w:top w:w="28" w:type="dxa"/>
              <w:left w:w="28" w:type="dxa"/>
              <w:bottom w:w="28" w:type="dxa"/>
              <w:right w:w="28" w:type="dxa"/>
            </w:tcMar>
            <w:vAlign w:val="center"/>
          </w:tcPr>
          <w:p>
            <w:pPr>
              <w:pStyle w:val="0"/>
              <w:rPr>
                <w:rFonts w:hint="default"/>
              </w:rPr>
            </w:pPr>
            <w:r>
              <w:rPr>
                <w:rFonts w:hint="eastAsia"/>
              </w:rPr>
              <w:t>血圧</w:t>
            </w:r>
          </w:p>
        </w:tc>
        <w:tc>
          <w:tcPr>
            <w:tcW w:w="1163" w:type="pct"/>
            <w:tcMar>
              <w:top w:w="28" w:type="dxa"/>
              <w:left w:w="28" w:type="dxa"/>
              <w:bottom w:w="28" w:type="dxa"/>
              <w:right w:w="28" w:type="dxa"/>
            </w:tcMar>
            <w:vAlign w:val="center"/>
          </w:tcPr>
          <w:p>
            <w:pPr>
              <w:pStyle w:val="0"/>
              <w:rPr>
                <w:rFonts w:hint="default"/>
              </w:rPr>
            </w:pPr>
            <w:r>
              <w:rPr>
                <w:rFonts w:hint="eastAsia"/>
              </w:rPr>
              <w:t>Ⅰ度高血圧</w:t>
            </w:r>
          </w:p>
        </w:tc>
        <w:tc>
          <w:tcPr>
            <w:tcW w:w="423" w:type="pct"/>
            <w:tcMar>
              <w:top w:w="28" w:type="dxa"/>
              <w:left w:w="28" w:type="dxa"/>
              <w:bottom w:w="28" w:type="dxa"/>
              <w:right w:w="28" w:type="dxa"/>
            </w:tcMar>
            <w:vAlign w:val="center"/>
          </w:tcPr>
          <w:p>
            <w:pPr>
              <w:pStyle w:val="0"/>
              <w:jc w:val="right"/>
              <w:rPr>
                <w:rFonts w:hint="default"/>
              </w:rPr>
            </w:pPr>
            <w:r>
              <w:rPr>
                <w:rFonts w:hint="default"/>
              </w:rPr>
              <w:t>439</w:t>
            </w:r>
          </w:p>
        </w:tc>
        <w:tc>
          <w:tcPr>
            <w:tcW w:w="424" w:type="pct"/>
            <w:tcMar>
              <w:top w:w="28" w:type="dxa"/>
              <w:left w:w="28" w:type="dxa"/>
              <w:bottom w:w="28" w:type="dxa"/>
              <w:right w:w="28" w:type="dxa"/>
            </w:tcMar>
            <w:vAlign w:val="center"/>
          </w:tcPr>
          <w:p>
            <w:pPr>
              <w:pStyle w:val="0"/>
              <w:jc w:val="right"/>
              <w:rPr>
                <w:rFonts w:hint="default"/>
              </w:rPr>
            </w:pPr>
            <w:r>
              <w:rPr>
                <w:rFonts w:hint="default"/>
              </w:rPr>
              <w:t>8.9%</w:t>
            </w:r>
          </w:p>
        </w:tc>
        <w:tc>
          <w:tcPr>
            <w:tcW w:w="423" w:type="pct"/>
            <w:tcMar>
              <w:top w:w="28" w:type="dxa"/>
              <w:left w:w="28" w:type="dxa"/>
              <w:bottom w:w="28" w:type="dxa"/>
              <w:right w:w="28" w:type="dxa"/>
            </w:tcMar>
            <w:vAlign w:val="center"/>
          </w:tcPr>
          <w:p>
            <w:pPr>
              <w:pStyle w:val="0"/>
              <w:jc w:val="right"/>
              <w:rPr>
                <w:rFonts w:hint="default"/>
              </w:rPr>
            </w:pPr>
            <w:r>
              <w:rPr>
                <w:rFonts w:hint="default"/>
              </w:rPr>
              <w:t>317</w:t>
            </w:r>
          </w:p>
        </w:tc>
        <w:tc>
          <w:tcPr>
            <w:tcW w:w="422" w:type="pct"/>
            <w:tcMar>
              <w:top w:w="28" w:type="dxa"/>
              <w:left w:w="28" w:type="dxa"/>
              <w:bottom w:w="28" w:type="dxa"/>
              <w:right w:w="28" w:type="dxa"/>
            </w:tcMar>
            <w:vAlign w:val="center"/>
          </w:tcPr>
          <w:p>
            <w:pPr>
              <w:pStyle w:val="0"/>
              <w:jc w:val="right"/>
              <w:rPr>
                <w:rFonts w:hint="default"/>
              </w:rPr>
            </w:pPr>
            <w:r>
              <w:rPr>
                <w:rFonts w:hint="default"/>
              </w:rPr>
              <w:t>12.0%</w:t>
            </w:r>
          </w:p>
        </w:tc>
        <w:tc>
          <w:tcPr>
            <w:tcW w:w="423" w:type="pct"/>
            <w:tcMar>
              <w:top w:w="28" w:type="dxa"/>
              <w:left w:w="28" w:type="dxa"/>
              <w:bottom w:w="28" w:type="dxa"/>
              <w:right w:w="28" w:type="dxa"/>
            </w:tcMar>
            <w:vAlign w:val="center"/>
          </w:tcPr>
          <w:p>
            <w:pPr>
              <w:pStyle w:val="0"/>
              <w:jc w:val="right"/>
              <w:rPr>
                <w:rFonts w:hint="default"/>
              </w:rPr>
            </w:pPr>
            <w:r>
              <w:rPr>
                <w:rFonts w:hint="default"/>
              </w:rPr>
              <w:t>459</w:t>
            </w:r>
          </w:p>
        </w:tc>
        <w:tc>
          <w:tcPr>
            <w:tcW w:w="424" w:type="pct"/>
            <w:tcMar>
              <w:top w:w="28" w:type="dxa"/>
              <w:left w:w="28" w:type="dxa"/>
              <w:bottom w:w="28" w:type="dxa"/>
              <w:right w:w="28" w:type="dxa"/>
            </w:tcMar>
            <w:vAlign w:val="center"/>
          </w:tcPr>
          <w:p>
            <w:pPr>
              <w:pStyle w:val="0"/>
              <w:jc w:val="right"/>
              <w:rPr>
                <w:rFonts w:hint="default"/>
              </w:rPr>
            </w:pPr>
            <w:r>
              <w:rPr>
                <w:rFonts w:hint="default"/>
              </w:rPr>
              <w:t>12.1%</w:t>
            </w:r>
          </w:p>
        </w:tc>
        <w:tc>
          <w:tcPr>
            <w:tcW w:w="423" w:type="pct"/>
            <w:tcMar>
              <w:top w:w="28" w:type="dxa"/>
              <w:left w:w="28" w:type="dxa"/>
              <w:bottom w:w="28" w:type="dxa"/>
              <w:right w:w="28" w:type="dxa"/>
            </w:tcMar>
            <w:vAlign w:val="center"/>
          </w:tcPr>
          <w:p>
            <w:pPr>
              <w:pStyle w:val="0"/>
              <w:jc w:val="right"/>
              <w:rPr>
                <w:rFonts w:hint="default"/>
              </w:rPr>
            </w:pPr>
            <w:r>
              <w:rPr>
                <w:rFonts w:hint="default"/>
              </w:rPr>
              <w:t>426</w:t>
            </w:r>
          </w:p>
        </w:tc>
        <w:tc>
          <w:tcPr>
            <w:tcW w:w="423" w:type="pct"/>
            <w:tcMar>
              <w:top w:w="28" w:type="dxa"/>
              <w:left w:w="28" w:type="dxa"/>
              <w:bottom w:w="28" w:type="dxa"/>
              <w:right w:w="28" w:type="dxa"/>
            </w:tcMar>
            <w:vAlign w:val="center"/>
          </w:tcPr>
          <w:p>
            <w:pPr>
              <w:pStyle w:val="0"/>
              <w:jc w:val="right"/>
              <w:rPr>
                <w:rFonts w:hint="default"/>
              </w:rPr>
            </w:pPr>
            <w:r>
              <w:rPr>
                <w:rFonts w:hint="default"/>
              </w:rPr>
              <w:t>11.8%</w:t>
            </w:r>
          </w:p>
        </w:tc>
      </w:tr>
      <w:tr>
        <w:trPr/>
        <w:tc>
          <w:tcPr>
            <w:tcW w:w="453" w:type="pct"/>
            <w:vMerge w:val="continue"/>
            <w:tcMar>
              <w:top w:w="28" w:type="dxa"/>
              <w:left w:w="28" w:type="dxa"/>
              <w:bottom w:w="28" w:type="dxa"/>
              <w:right w:w="28" w:type="dxa"/>
            </w:tcMar>
            <w:vAlign w:val="center"/>
          </w:tcPr>
          <w:p>
            <w:pPr>
              <w:pStyle w:val="0"/>
              <w:rPr>
                <w:rFonts w:hint="default"/>
              </w:rPr>
            </w:pPr>
          </w:p>
        </w:tc>
        <w:tc>
          <w:tcPr>
            <w:tcW w:w="1163" w:type="pct"/>
            <w:tcMar>
              <w:top w:w="28" w:type="dxa"/>
              <w:left w:w="28" w:type="dxa"/>
              <w:bottom w:w="28" w:type="dxa"/>
              <w:right w:w="28" w:type="dxa"/>
            </w:tcMar>
            <w:vAlign w:val="center"/>
          </w:tcPr>
          <w:p>
            <w:pPr>
              <w:pStyle w:val="0"/>
              <w:rPr>
                <w:rFonts w:hint="default"/>
              </w:rPr>
            </w:pPr>
            <w:r>
              <w:rPr>
                <w:rFonts w:hint="eastAsia"/>
              </w:rPr>
              <w:t>Ⅱ度高血圧</w:t>
            </w:r>
          </w:p>
        </w:tc>
        <w:tc>
          <w:tcPr>
            <w:tcW w:w="423" w:type="pct"/>
            <w:tcMar>
              <w:top w:w="28" w:type="dxa"/>
              <w:left w:w="28" w:type="dxa"/>
              <w:bottom w:w="28" w:type="dxa"/>
              <w:right w:w="28" w:type="dxa"/>
            </w:tcMar>
            <w:vAlign w:val="center"/>
          </w:tcPr>
          <w:p>
            <w:pPr>
              <w:pStyle w:val="0"/>
              <w:jc w:val="right"/>
              <w:rPr>
                <w:rFonts w:hint="default"/>
              </w:rPr>
            </w:pPr>
            <w:r>
              <w:rPr>
                <w:rFonts w:hint="eastAsia"/>
              </w:rPr>
              <w:t>61</w:t>
            </w:r>
          </w:p>
        </w:tc>
        <w:tc>
          <w:tcPr>
            <w:tcW w:w="424" w:type="pct"/>
            <w:tcMar>
              <w:top w:w="28" w:type="dxa"/>
              <w:left w:w="28" w:type="dxa"/>
              <w:bottom w:w="28" w:type="dxa"/>
              <w:right w:w="28" w:type="dxa"/>
            </w:tcMar>
            <w:vAlign w:val="center"/>
          </w:tcPr>
          <w:p>
            <w:pPr>
              <w:pStyle w:val="0"/>
              <w:jc w:val="right"/>
              <w:rPr>
                <w:rFonts w:hint="default"/>
              </w:rPr>
            </w:pPr>
            <w:r>
              <w:rPr>
                <w:rFonts w:hint="default"/>
              </w:rPr>
              <w:t>1.2%</w:t>
            </w:r>
          </w:p>
        </w:tc>
        <w:tc>
          <w:tcPr>
            <w:tcW w:w="423" w:type="pct"/>
            <w:tcMar>
              <w:top w:w="28" w:type="dxa"/>
              <w:left w:w="28" w:type="dxa"/>
              <w:bottom w:w="28" w:type="dxa"/>
              <w:right w:w="28" w:type="dxa"/>
            </w:tcMar>
            <w:vAlign w:val="center"/>
          </w:tcPr>
          <w:p>
            <w:pPr>
              <w:pStyle w:val="0"/>
              <w:jc w:val="right"/>
              <w:rPr>
                <w:rFonts w:hint="default"/>
              </w:rPr>
            </w:pPr>
            <w:r>
              <w:rPr>
                <w:rFonts w:hint="default"/>
              </w:rPr>
              <w:t>58</w:t>
            </w:r>
          </w:p>
        </w:tc>
        <w:tc>
          <w:tcPr>
            <w:tcW w:w="422" w:type="pct"/>
            <w:tcMar>
              <w:top w:w="28" w:type="dxa"/>
              <w:left w:w="28" w:type="dxa"/>
              <w:bottom w:w="28" w:type="dxa"/>
              <w:right w:w="28" w:type="dxa"/>
            </w:tcMar>
            <w:vAlign w:val="center"/>
          </w:tcPr>
          <w:p>
            <w:pPr>
              <w:pStyle w:val="0"/>
              <w:jc w:val="right"/>
              <w:rPr>
                <w:rFonts w:hint="default"/>
              </w:rPr>
            </w:pPr>
            <w:r>
              <w:rPr>
                <w:rFonts w:hint="default"/>
              </w:rPr>
              <w:t>2.2%</w:t>
            </w:r>
          </w:p>
        </w:tc>
        <w:tc>
          <w:tcPr>
            <w:tcW w:w="423" w:type="pct"/>
            <w:tcMar>
              <w:top w:w="28" w:type="dxa"/>
              <w:left w:w="28" w:type="dxa"/>
              <w:bottom w:w="28" w:type="dxa"/>
              <w:right w:w="28" w:type="dxa"/>
            </w:tcMar>
            <w:vAlign w:val="center"/>
          </w:tcPr>
          <w:p>
            <w:pPr>
              <w:pStyle w:val="0"/>
              <w:jc w:val="right"/>
              <w:rPr>
                <w:rFonts w:hint="default"/>
              </w:rPr>
            </w:pPr>
            <w:r>
              <w:rPr>
                <w:rFonts w:hint="default"/>
              </w:rPr>
              <w:t>101</w:t>
            </w:r>
          </w:p>
        </w:tc>
        <w:tc>
          <w:tcPr>
            <w:tcW w:w="424" w:type="pct"/>
            <w:tcMar>
              <w:top w:w="28" w:type="dxa"/>
              <w:left w:w="28" w:type="dxa"/>
              <w:bottom w:w="28" w:type="dxa"/>
              <w:right w:w="28" w:type="dxa"/>
            </w:tcMar>
            <w:vAlign w:val="center"/>
          </w:tcPr>
          <w:p>
            <w:pPr>
              <w:pStyle w:val="0"/>
              <w:jc w:val="right"/>
              <w:rPr>
                <w:rFonts w:hint="default"/>
              </w:rPr>
            </w:pPr>
            <w:r>
              <w:rPr>
                <w:rFonts w:hint="default"/>
              </w:rPr>
              <w:t>2.7%</w:t>
            </w:r>
          </w:p>
        </w:tc>
        <w:tc>
          <w:tcPr>
            <w:tcW w:w="423" w:type="pct"/>
            <w:tcMar>
              <w:top w:w="28" w:type="dxa"/>
              <w:left w:w="28" w:type="dxa"/>
              <w:bottom w:w="28" w:type="dxa"/>
              <w:right w:w="28" w:type="dxa"/>
            </w:tcMar>
            <w:vAlign w:val="center"/>
          </w:tcPr>
          <w:p>
            <w:pPr>
              <w:pStyle w:val="0"/>
              <w:jc w:val="right"/>
              <w:rPr>
                <w:rFonts w:hint="default"/>
              </w:rPr>
            </w:pPr>
            <w:r>
              <w:rPr>
                <w:rFonts w:hint="default"/>
              </w:rPr>
              <w:t>62</w:t>
            </w:r>
          </w:p>
        </w:tc>
        <w:tc>
          <w:tcPr>
            <w:tcW w:w="423" w:type="pct"/>
            <w:tcMar>
              <w:top w:w="28" w:type="dxa"/>
              <w:left w:w="28" w:type="dxa"/>
              <w:bottom w:w="28" w:type="dxa"/>
              <w:right w:w="28" w:type="dxa"/>
            </w:tcMar>
            <w:vAlign w:val="center"/>
          </w:tcPr>
          <w:p>
            <w:pPr>
              <w:pStyle w:val="0"/>
              <w:jc w:val="right"/>
              <w:rPr>
                <w:rFonts w:hint="default"/>
              </w:rPr>
            </w:pPr>
            <w:r>
              <w:rPr>
                <w:rFonts w:hint="default"/>
              </w:rPr>
              <w:t>1.7%</w:t>
            </w:r>
          </w:p>
        </w:tc>
      </w:tr>
      <w:tr>
        <w:trPr/>
        <w:tc>
          <w:tcPr>
            <w:tcW w:w="453" w:type="pct"/>
            <w:vMerge w:val="continue"/>
            <w:tcMar>
              <w:top w:w="28" w:type="dxa"/>
              <w:left w:w="28" w:type="dxa"/>
              <w:bottom w:w="28" w:type="dxa"/>
              <w:right w:w="28" w:type="dxa"/>
            </w:tcMar>
            <w:vAlign w:val="center"/>
          </w:tcPr>
          <w:p>
            <w:pPr>
              <w:pStyle w:val="0"/>
              <w:rPr>
                <w:rFonts w:hint="default"/>
              </w:rPr>
            </w:pPr>
          </w:p>
        </w:tc>
        <w:tc>
          <w:tcPr>
            <w:tcW w:w="1163" w:type="pct"/>
            <w:tcMar>
              <w:top w:w="28" w:type="dxa"/>
              <w:left w:w="28" w:type="dxa"/>
              <w:bottom w:w="28" w:type="dxa"/>
              <w:right w:w="28" w:type="dxa"/>
            </w:tcMar>
            <w:vAlign w:val="center"/>
          </w:tcPr>
          <w:p>
            <w:pPr>
              <w:pStyle w:val="0"/>
              <w:rPr>
                <w:rFonts w:hint="default"/>
              </w:rPr>
            </w:pPr>
            <w:r>
              <w:rPr>
                <w:rFonts w:hint="eastAsia"/>
              </w:rPr>
              <w:t>Ⅲ度高血圧</w:t>
            </w:r>
          </w:p>
        </w:tc>
        <w:tc>
          <w:tcPr>
            <w:tcW w:w="423" w:type="pct"/>
            <w:tcMar>
              <w:top w:w="28" w:type="dxa"/>
              <w:left w:w="28" w:type="dxa"/>
              <w:bottom w:w="28" w:type="dxa"/>
              <w:right w:w="28" w:type="dxa"/>
            </w:tcMar>
            <w:vAlign w:val="center"/>
          </w:tcPr>
          <w:p>
            <w:pPr>
              <w:pStyle w:val="0"/>
              <w:jc w:val="right"/>
              <w:rPr>
                <w:rFonts w:hint="default"/>
              </w:rPr>
            </w:pPr>
            <w:r>
              <w:rPr>
                <w:rFonts w:hint="default"/>
              </w:rPr>
              <w:t>23</w:t>
            </w:r>
          </w:p>
        </w:tc>
        <w:tc>
          <w:tcPr>
            <w:tcW w:w="424" w:type="pct"/>
            <w:tcMar>
              <w:top w:w="28" w:type="dxa"/>
              <w:left w:w="28" w:type="dxa"/>
              <w:bottom w:w="28" w:type="dxa"/>
              <w:right w:w="28" w:type="dxa"/>
            </w:tcMar>
            <w:vAlign w:val="center"/>
          </w:tcPr>
          <w:p>
            <w:pPr>
              <w:pStyle w:val="0"/>
              <w:jc w:val="right"/>
              <w:rPr>
                <w:rFonts w:hint="default"/>
              </w:rPr>
            </w:pPr>
            <w:r>
              <w:rPr>
                <w:rFonts w:hint="default"/>
              </w:rPr>
              <w:t>0.5%</w:t>
            </w:r>
          </w:p>
        </w:tc>
        <w:tc>
          <w:tcPr>
            <w:tcW w:w="423" w:type="pct"/>
            <w:tcMar>
              <w:top w:w="28" w:type="dxa"/>
              <w:left w:w="28" w:type="dxa"/>
              <w:bottom w:w="28" w:type="dxa"/>
              <w:right w:w="28" w:type="dxa"/>
            </w:tcMar>
            <w:vAlign w:val="center"/>
          </w:tcPr>
          <w:p>
            <w:pPr>
              <w:pStyle w:val="0"/>
              <w:jc w:val="right"/>
              <w:rPr>
                <w:rFonts w:hint="default"/>
              </w:rPr>
            </w:pPr>
            <w:r>
              <w:rPr>
                <w:rFonts w:hint="default"/>
              </w:rPr>
              <w:t>7</w:t>
            </w:r>
          </w:p>
        </w:tc>
        <w:tc>
          <w:tcPr>
            <w:tcW w:w="422" w:type="pct"/>
            <w:tcMar>
              <w:top w:w="28" w:type="dxa"/>
              <w:left w:w="28" w:type="dxa"/>
              <w:bottom w:w="28" w:type="dxa"/>
              <w:right w:w="28" w:type="dxa"/>
            </w:tcMar>
            <w:vAlign w:val="center"/>
          </w:tcPr>
          <w:p>
            <w:pPr>
              <w:pStyle w:val="0"/>
              <w:jc w:val="right"/>
              <w:rPr>
                <w:rFonts w:hint="default"/>
              </w:rPr>
            </w:pPr>
            <w:r>
              <w:rPr>
                <w:rFonts w:hint="default"/>
              </w:rPr>
              <w:t>0.3%</w:t>
            </w:r>
          </w:p>
        </w:tc>
        <w:tc>
          <w:tcPr>
            <w:tcW w:w="423" w:type="pct"/>
            <w:tcMar>
              <w:top w:w="28" w:type="dxa"/>
              <w:left w:w="28" w:type="dxa"/>
              <w:bottom w:w="28" w:type="dxa"/>
              <w:right w:w="28" w:type="dxa"/>
            </w:tcMar>
            <w:vAlign w:val="center"/>
          </w:tcPr>
          <w:p>
            <w:pPr>
              <w:pStyle w:val="0"/>
              <w:jc w:val="right"/>
              <w:rPr>
                <w:rFonts w:hint="default"/>
              </w:rPr>
            </w:pPr>
            <w:r>
              <w:rPr>
                <w:rFonts w:hint="default"/>
              </w:rPr>
              <w:t>29</w:t>
            </w:r>
          </w:p>
        </w:tc>
        <w:tc>
          <w:tcPr>
            <w:tcW w:w="424" w:type="pct"/>
            <w:tcMar>
              <w:top w:w="28" w:type="dxa"/>
              <w:left w:w="28" w:type="dxa"/>
              <w:bottom w:w="28" w:type="dxa"/>
              <w:right w:w="28" w:type="dxa"/>
            </w:tcMar>
            <w:vAlign w:val="center"/>
          </w:tcPr>
          <w:p>
            <w:pPr>
              <w:pStyle w:val="0"/>
              <w:jc w:val="right"/>
              <w:rPr>
                <w:rFonts w:hint="default"/>
              </w:rPr>
            </w:pPr>
            <w:r>
              <w:rPr>
                <w:rFonts w:hint="default"/>
              </w:rPr>
              <w:t>0.8%</w:t>
            </w:r>
          </w:p>
        </w:tc>
        <w:tc>
          <w:tcPr>
            <w:tcW w:w="423" w:type="pct"/>
            <w:tcMar>
              <w:top w:w="28" w:type="dxa"/>
              <w:left w:w="28" w:type="dxa"/>
              <w:bottom w:w="28" w:type="dxa"/>
              <w:right w:w="28" w:type="dxa"/>
            </w:tcMar>
            <w:vAlign w:val="center"/>
          </w:tcPr>
          <w:p>
            <w:pPr>
              <w:pStyle w:val="0"/>
              <w:jc w:val="right"/>
              <w:rPr>
                <w:rFonts w:hint="default"/>
              </w:rPr>
            </w:pPr>
            <w:r>
              <w:rPr>
                <w:rFonts w:hint="default"/>
              </w:rPr>
              <w:t>22</w:t>
            </w:r>
          </w:p>
        </w:tc>
        <w:tc>
          <w:tcPr>
            <w:tcW w:w="423" w:type="pct"/>
            <w:tcMar>
              <w:top w:w="28" w:type="dxa"/>
              <w:left w:w="28" w:type="dxa"/>
              <w:bottom w:w="28" w:type="dxa"/>
              <w:right w:w="28" w:type="dxa"/>
            </w:tcMar>
            <w:vAlign w:val="center"/>
          </w:tcPr>
          <w:p>
            <w:pPr>
              <w:pStyle w:val="0"/>
              <w:jc w:val="right"/>
              <w:rPr>
                <w:rFonts w:hint="default"/>
              </w:rPr>
            </w:pPr>
            <w:r>
              <w:rPr>
                <w:rFonts w:hint="default"/>
              </w:rPr>
              <w:t>0.6%</w:t>
            </w:r>
          </w:p>
        </w:tc>
      </w:tr>
      <w:tr>
        <w:trPr/>
        <w:tc>
          <w:tcPr>
            <w:tcW w:w="453" w:type="pct"/>
            <w:vMerge w:val="continue"/>
            <w:tcMar>
              <w:top w:w="28" w:type="dxa"/>
              <w:left w:w="28" w:type="dxa"/>
              <w:bottom w:w="28" w:type="dxa"/>
              <w:right w:w="28" w:type="dxa"/>
            </w:tcMar>
            <w:vAlign w:val="center"/>
          </w:tcPr>
          <w:p>
            <w:pPr>
              <w:pStyle w:val="0"/>
              <w:rPr>
                <w:rFonts w:hint="default"/>
              </w:rPr>
            </w:pPr>
          </w:p>
        </w:tc>
        <w:tc>
          <w:tcPr>
            <w:tcW w:w="1163" w:type="pct"/>
            <w:tcMar>
              <w:top w:w="28" w:type="dxa"/>
              <w:left w:w="28" w:type="dxa"/>
              <w:bottom w:w="28" w:type="dxa"/>
              <w:right w:w="28" w:type="dxa"/>
            </w:tcMar>
            <w:vAlign w:val="center"/>
          </w:tcPr>
          <w:p>
            <w:pPr>
              <w:pStyle w:val="0"/>
              <w:rPr>
                <w:rFonts w:hint="default"/>
              </w:rPr>
            </w:pPr>
            <w:r>
              <w:rPr>
                <w:rFonts w:hint="eastAsia"/>
              </w:rPr>
              <w:t>合計</w:t>
            </w:r>
          </w:p>
        </w:tc>
        <w:tc>
          <w:tcPr>
            <w:tcW w:w="423" w:type="pct"/>
            <w:tcMar>
              <w:top w:w="28" w:type="dxa"/>
              <w:left w:w="28" w:type="dxa"/>
              <w:bottom w:w="28" w:type="dxa"/>
              <w:right w:w="28" w:type="dxa"/>
            </w:tcMar>
            <w:vAlign w:val="center"/>
          </w:tcPr>
          <w:p>
            <w:pPr>
              <w:pStyle w:val="0"/>
              <w:jc w:val="right"/>
              <w:rPr>
                <w:rFonts w:hint="default"/>
              </w:rPr>
            </w:pPr>
            <w:r>
              <w:rPr>
                <w:rFonts w:hint="default"/>
              </w:rPr>
              <w:t>523</w:t>
            </w:r>
          </w:p>
        </w:tc>
        <w:tc>
          <w:tcPr>
            <w:tcW w:w="424" w:type="pct"/>
            <w:tcMar>
              <w:top w:w="28" w:type="dxa"/>
              <w:left w:w="28" w:type="dxa"/>
              <w:bottom w:w="28" w:type="dxa"/>
              <w:right w:w="28" w:type="dxa"/>
            </w:tcMar>
            <w:vAlign w:val="center"/>
          </w:tcPr>
          <w:p>
            <w:pPr>
              <w:pStyle w:val="0"/>
              <w:jc w:val="right"/>
              <w:rPr>
                <w:rFonts w:hint="default"/>
              </w:rPr>
            </w:pPr>
            <w:r>
              <w:rPr>
                <w:rFonts w:hint="default"/>
              </w:rPr>
              <w:t>10.7%</w:t>
            </w:r>
          </w:p>
        </w:tc>
        <w:tc>
          <w:tcPr>
            <w:tcW w:w="423" w:type="pct"/>
            <w:tcMar>
              <w:top w:w="28" w:type="dxa"/>
              <w:left w:w="28" w:type="dxa"/>
              <w:bottom w:w="28" w:type="dxa"/>
              <w:right w:w="28" w:type="dxa"/>
            </w:tcMar>
            <w:vAlign w:val="center"/>
          </w:tcPr>
          <w:p>
            <w:pPr>
              <w:pStyle w:val="0"/>
              <w:jc w:val="right"/>
              <w:rPr>
                <w:rFonts w:hint="default"/>
              </w:rPr>
            </w:pPr>
            <w:r>
              <w:rPr>
                <w:rFonts w:hint="default"/>
              </w:rPr>
              <w:t>382</w:t>
            </w:r>
          </w:p>
        </w:tc>
        <w:tc>
          <w:tcPr>
            <w:tcW w:w="422" w:type="pct"/>
            <w:tcMar>
              <w:top w:w="28" w:type="dxa"/>
              <w:left w:w="28" w:type="dxa"/>
              <w:bottom w:w="28" w:type="dxa"/>
              <w:right w:w="28" w:type="dxa"/>
            </w:tcMar>
            <w:vAlign w:val="center"/>
          </w:tcPr>
          <w:p>
            <w:pPr>
              <w:pStyle w:val="0"/>
              <w:jc w:val="right"/>
              <w:rPr>
                <w:rFonts w:hint="default"/>
              </w:rPr>
            </w:pPr>
            <w:r>
              <w:rPr>
                <w:rFonts w:hint="default"/>
              </w:rPr>
              <w:t>14.5%</w:t>
            </w:r>
          </w:p>
        </w:tc>
        <w:tc>
          <w:tcPr>
            <w:tcW w:w="423" w:type="pct"/>
            <w:tcMar>
              <w:top w:w="28" w:type="dxa"/>
              <w:left w:w="28" w:type="dxa"/>
              <w:bottom w:w="28" w:type="dxa"/>
              <w:right w:w="28" w:type="dxa"/>
            </w:tcMar>
            <w:vAlign w:val="center"/>
          </w:tcPr>
          <w:p>
            <w:pPr>
              <w:pStyle w:val="0"/>
              <w:jc w:val="right"/>
              <w:rPr>
                <w:rFonts w:hint="default"/>
              </w:rPr>
            </w:pPr>
            <w:r>
              <w:rPr>
                <w:rFonts w:hint="default"/>
              </w:rPr>
              <w:t>589</w:t>
            </w:r>
          </w:p>
        </w:tc>
        <w:tc>
          <w:tcPr>
            <w:tcW w:w="424" w:type="pct"/>
            <w:tcMar>
              <w:top w:w="28" w:type="dxa"/>
              <w:left w:w="28" w:type="dxa"/>
              <w:bottom w:w="28" w:type="dxa"/>
              <w:right w:w="28" w:type="dxa"/>
            </w:tcMar>
            <w:vAlign w:val="center"/>
          </w:tcPr>
          <w:p>
            <w:pPr>
              <w:pStyle w:val="0"/>
              <w:jc w:val="right"/>
              <w:rPr>
                <w:rFonts w:hint="default"/>
              </w:rPr>
            </w:pPr>
            <w:r>
              <w:rPr>
                <w:rFonts w:hint="default"/>
              </w:rPr>
              <w:t>15.5%</w:t>
            </w:r>
          </w:p>
        </w:tc>
        <w:tc>
          <w:tcPr>
            <w:tcW w:w="423" w:type="pct"/>
            <w:tcMar>
              <w:top w:w="28" w:type="dxa"/>
              <w:left w:w="28" w:type="dxa"/>
              <w:bottom w:w="28" w:type="dxa"/>
              <w:right w:w="28" w:type="dxa"/>
            </w:tcMar>
            <w:vAlign w:val="center"/>
          </w:tcPr>
          <w:p>
            <w:pPr>
              <w:pStyle w:val="0"/>
              <w:jc w:val="right"/>
              <w:rPr>
                <w:rFonts w:hint="default"/>
              </w:rPr>
            </w:pPr>
            <w:r>
              <w:rPr>
                <w:rFonts w:hint="default"/>
              </w:rPr>
              <w:t>510</w:t>
            </w:r>
          </w:p>
        </w:tc>
        <w:tc>
          <w:tcPr>
            <w:tcW w:w="423" w:type="pct"/>
            <w:tcMar>
              <w:top w:w="28" w:type="dxa"/>
              <w:left w:w="28" w:type="dxa"/>
              <w:bottom w:w="28" w:type="dxa"/>
              <w:right w:w="28" w:type="dxa"/>
            </w:tcMar>
            <w:vAlign w:val="center"/>
          </w:tcPr>
          <w:p>
            <w:pPr>
              <w:pStyle w:val="0"/>
              <w:jc w:val="right"/>
              <w:rPr>
                <w:rFonts w:hint="default"/>
              </w:rPr>
            </w:pPr>
            <w:r>
              <w:rPr>
                <w:rFonts w:hint="default"/>
              </w:rPr>
              <w:t>14.1%</w:t>
            </w:r>
          </w:p>
        </w:tc>
      </w:tr>
    </w:tbl>
    <w:p>
      <w:pPr>
        <w:pStyle w:val="0"/>
        <w:rPr>
          <w:rFonts w:hint="default"/>
          <w:sz w:val="18"/>
        </w:rPr>
      </w:pPr>
    </w:p>
    <w:tbl>
      <w:tblPr>
        <w:tblStyle w:val="172"/>
        <w:tblW w:w="5000" w:type="pct"/>
        <w:tblInd w:w="0" w:type="dxa"/>
        <w:tblLayout w:type="fixed"/>
        <w:tblLook w:firstRow="1" w:lastRow="0" w:firstColumn="1" w:lastColumn="0" w:noHBand="0" w:noVBand="1" w:val="04A0"/>
      </w:tblPr>
      <w:tblGrid>
        <w:gridCol w:w="847"/>
        <w:gridCol w:w="2194"/>
        <w:gridCol w:w="791"/>
        <w:gridCol w:w="793"/>
        <w:gridCol w:w="791"/>
        <w:gridCol w:w="793"/>
        <w:gridCol w:w="791"/>
        <w:gridCol w:w="793"/>
        <w:gridCol w:w="791"/>
        <w:gridCol w:w="791"/>
      </w:tblGrid>
      <w:tr>
        <w:trPr/>
        <w:tc>
          <w:tcPr>
            <w:tcW w:w="1621" w:type="pct"/>
            <w:gridSpan w:val="2"/>
            <w:vMerge w:val="restart"/>
            <w:shd w:val="clear" w:color="auto" w:fill="CCD6FF"/>
            <w:tcMar>
              <w:top w:w="28" w:type="dxa"/>
              <w:left w:w="28" w:type="dxa"/>
              <w:bottom w:w="28" w:type="dxa"/>
              <w:right w:w="28" w:type="dxa"/>
            </w:tcMar>
            <w:vAlign w:val="center"/>
          </w:tcPr>
          <w:p>
            <w:pPr>
              <w:pStyle w:val="0"/>
              <w:jc w:val="center"/>
              <w:rPr>
                <w:rFonts w:hint="default"/>
                <w:b w:val="1"/>
              </w:rPr>
            </w:pPr>
          </w:p>
        </w:tc>
        <w:tc>
          <w:tcPr>
            <w:tcW w:w="845"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1</w:t>
            </w:r>
            <w:r>
              <w:rPr>
                <w:rFonts w:hint="eastAsia"/>
                <w:b w:val="1"/>
              </w:rPr>
              <w:t>年度</w:t>
            </w:r>
          </w:p>
        </w:tc>
        <w:tc>
          <w:tcPr>
            <w:tcW w:w="845"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2</w:t>
            </w:r>
            <w:r>
              <w:rPr>
                <w:rFonts w:hint="eastAsia"/>
                <w:b w:val="1"/>
              </w:rPr>
              <w:t>年度</w:t>
            </w:r>
          </w:p>
        </w:tc>
        <w:tc>
          <w:tcPr>
            <w:tcW w:w="845"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3</w:t>
            </w:r>
            <w:r>
              <w:rPr>
                <w:rFonts w:hint="eastAsia"/>
                <w:b w:val="1"/>
              </w:rPr>
              <w:t>年度</w:t>
            </w:r>
          </w:p>
        </w:tc>
        <w:tc>
          <w:tcPr>
            <w:tcW w:w="844"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4</w:t>
            </w:r>
            <w:r>
              <w:rPr>
                <w:rFonts w:hint="eastAsia"/>
                <w:b w:val="1"/>
              </w:rPr>
              <w:t>年度</w:t>
            </w:r>
          </w:p>
        </w:tc>
      </w:tr>
      <w:tr>
        <w:trPr/>
        <w:tc>
          <w:tcPr>
            <w:tcW w:w="1621" w:type="pct"/>
            <w:gridSpan w:val="2"/>
            <w:vMerge w:val="continue"/>
            <w:tcMar>
              <w:top w:w="28" w:type="dxa"/>
              <w:left w:w="28" w:type="dxa"/>
              <w:bottom w:w="28" w:type="dxa"/>
              <w:right w:w="28" w:type="dxa"/>
            </w:tcMar>
            <w:vAlign w:val="center"/>
          </w:tcPr>
          <w:p>
            <w:pPr>
              <w:pStyle w:val="0"/>
              <w:jc w:val="center"/>
              <w:rPr>
                <w:rFonts w:hint="default"/>
                <w:b w:val="1"/>
              </w:rPr>
            </w:pP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割合</w:t>
            </w:r>
          </w:p>
        </w:tc>
      </w:tr>
      <w:tr>
        <w:trPr/>
        <w:tc>
          <w:tcPr>
            <w:tcW w:w="1621" w:type="pct"/>
            <w:gridSpan w:val="2"/>
            <w:tcMar>
              <w:top w:w="28" w:type="dxa"/>
              <w:left w:w="28" w:type="dxa"/>
              <w:bottom w:w="28" w:type="dxa"/>
              <w:right w:w="28" w:type="dxa"/>
            </w:tcMar>
            <w:vAlign w:val="center"/>
          </w:tcPr>
          <w:p>
            <w:pPr>
              <w:pStyle w:val="0"/>
              <w:rPr>
                <w:rFonts w:hint="default"/>
              </w:rPr>
            </w:pPr>
            <w:r>
              <w:rPr>
                <w:rFonts w:hint="eastAsia"/>
              </w:rPr>
              <w:t>特定健診受診者数</w:t>
            </w:r>
          </w:p>
        </w:tc>
        <w:tc>
          <w:tcPr>
            <w:tcW w:w="422" w:type="pct"/>
            <w:tcMar>
              <w:top w:w="28" w:type="dxa"/>
              <w:left w:w="28" w:type="dxa"/>
              <w:bottom w:w="28" w:type="dxa"/>
              <w:right w:w="28" w:type="dxa"/>
            </w:tcMar>
            <w:vAlign w:val="center"/>
          </w:tcPr>
          <w:p>
            <w:pPr>
              <w:pStyle w:val="0"/>
              <w:jc w:val="right"/>
              <w:rPr>
                <w:rFonts w:hint="default"/>
              </w:rPr>
            </w:pPr>
            <w:r>
              <w:rPr>
                <w:rFonts w:hint="default"/>
              </w:rPr>
              <w:t>4,906</w:t>
            </w:r>
          </w:p>
        </w:tc>
        <w:tc>
          <w:tcPr>
            <w:tcW w:w="423" w:type="pct"/>
            <w:tcMar>
              <w:top w:w="28" w:type="dxa"/>
              <w:left w:w="28" w:type="dxa"/>
              <w:bottom w:w="28" w:type="dxa"/>
              <w:right w:w="28" w:type="dxa"/>
            </w:tcMar>
            <w:vAlign w:val="center"/>
          </w:tcPr>
          <w:p>
            <w:pPr>
              <w:pStyle w:val="0"/>
              <w:jc w:val="right"/>
              <w:rPr>
                <w:rFonts w:hint="default"/>
              </w:rPr>
            </w:pPr>
            <w:r>
              <w:rPr>
                <w:rFonts w:hint="default"/>
              </w:rPr>
              <w:t>-</w:t>
            </w:r>
          </w:p>
        </w:tc>
        <w:tc>
          <w:tcPr>
            <w:tcW w:w="422" w:type="pct"/>
            <w:tcMar>
              <w:top w:w="28" w:type="dxa"/>
              <w:left w:w="28" w:type="dxa"/>
              <w:bottom w:w="28" w:type="dxa"/>
              <w:right w:w="28" w:type="dxa"/>
            </w:tcMar>
            <w:vAlign w:val="center"/>
          </w:tcPr>
          <w:p>
            <w:pPr>
              <w:pStyle w:val="0"/>
              <w:jc w:val="right"/>
              <w:rPr>
                <w:rFonts w:hint="default"/>
              </w:rPr>
            </w:pPr>
            <w:r>
              <w:rPr>
                <w:rFonts w:hint="default"/>
              </w:rPr>
              <w:t>2,641</w:t>
            </w:r>
          </w:p>
        </w:tc>
        <w:tc>
          <w:tcPr>
            <w:tcW w:w="423" w:type="pct"/>
            <w:tcMar>
              <w:top w:w="28" w:type="dxa"/>
              <w:left w:w="28" w:type="dxa"/>
              <w:bottom w:w="28" w:type="dxa"/>
              <w:right w:w="28" w:type="dxa"/>
            </w:tcMar>
            <w:vAlign w:val="center"/>
          </w:tcPr>
          <w:p>
            <w:pPr>
              <w:pStyle w:val="0"/>
              <w:jc w:val="right"/>
              <w:rPr>
                <w:rFonts w:hint="default"/>
              </w:rPr>
            </w:pPr>
            <w:r>
              <w:rPr>
                <w:rFonts w:hint="default"/>
              </w:rPr>
              <w:t>-</w:t>
            </w:r>
          </w:p>
        </w:tc>
        <w:tc>
          <w:tcPr>
            <w:tcW w:w="422" w:type="pct"/>
            <w:tcMar>
              <w:top w:w="28" w:type="dxa"/>
              <w:left w:w="28" w:type="dxa"/>
              <w:bottom w:w="28" w:type="dxa"/>
              <w:right w:w="28" w:type="dxa"/>
            </w:tcMar>
            <w:vAlign w:val="center"/>
          </w:tcPr>
          <w:p>
            <w:pPr>
              <w:pStyle w:val="0"/>
              <w:jc w:val="right"/>
              <w:rPr>
                <w:rFonts w:hint="default"/>
              </w:rPr>
            </w:pPr>
            <w:r>
              <w:rPr>
                <w:rFonts w:hint="default"/>
              </w:rPr>
              <w:t>3,792</w:t>
            </w:r>
          </w:p>
        </w:tc>
        <w:tc>
          <w:tcPr>
            <w:tcW w:w="423" w:type="pct"/>
            <w:tcMar>
              <w:top w:w="28" w:type="dxa"/>
              <w:left w:w="28" w:type="dxa"/>
              <w:bottom w:w="28" w:type="dxa"/>
              <w:right w:w="28" w:type="dxa"/>
            </w:tcMar>
            <w:vAlign w:val="center"/>
          </w:tcPr>
          <w:p>
            <w:pPr>
              <w:pStyle w:val="0"/>
              <w:jc w:val="right"/>
              <w:rPr>
                <w:rFonts w:hint="default"/>
              </w:rPr>
            </w:pPr>
            <w:r>
              <w:rPr>
                <w:rFonts w:hint="default"/>
              </w:rPr>
              <w:t>-</w:t>
            </w:r>
          </w:p>
        </w:tc>
        <w:tc>
          <w:tcPr>
            <w:tcW w:w="422" w:type="pct"/>
            <w:tcMar>
              <w:top w:w="28" w:type="dxa"/>
              <w:left w:w="28" w:type="dxa"/>
              <w:bottom w:w="28" w:type="dxa"/>
              <w:right w:w="28" w:type="dxa"/>
            </w:tcMar>
            <w:vAlign w:val="center"/>
          </w:tcPr>
          <w:p>
            <w:pPr>
              <w:pStyle w:val="0"/>
              <w:jc w:val="right"/>
              <w:rPr>
                <w:rFonts w:hint="default"/>
              </w:rPr>
            </w:pPr>
            <w:r>
              <w:rPr>
                <w:rFonts w:hint="default"/>
              </w:rPr>
              <w:t>3,611</w:t>
            </w:r>
          </w:p>
        </w:tc>
        <w:tc>
          <w:tcPr>
            <w:tcW w:w="422" w:type="pct"/>
            <w:tcMar>
              <w:top w:w="28" w:type="dxa"/>
              <w:left w:w="28" w:type="dxa"/>
              <w:bottom w:w="28" w:type="dxa"/>
              <w:right w:w="28" w:type="dxa"/>
            </w:tcMar>
            <w:vAlign w:val="center"/>
          </w:tcPr>
          <w:p>
            <w:pPr>
              <w:pStyle w:val="0"/>
              <w:jc w:val="right"/>
              <w:rPr>
                <w:rFonts w:hint="default"/>
              </w:rPr>
            </w:pPr>
            <w:r>
              <w:rPr>
                <w:rFonts w:hint="default"/>
              </w:rPr>
              <w:t>-</w:t>
            </w:r>
          </w:p>
        </w:tc>
      </w:tr>
      <w:tr>
        <w:trPr/>
        <w:tc>
          <w:tcPr>
            <w:tcW w:w="451" w:type="pct"/>
            <w:vMerge w:val="restart"/>
            <w:tcMar>
              <w:top w:w="28" w:type="dxa"/>
              <w:left w:w="28" w:type="dxa"/>
              <w:bottom w:w="28" w:type="dxa"/>
              <w:right w:w="28" w:type="dxa"/>
            </w:tcMar>
            <w:vAlign w:val="center"/>
          </w:tcPr>
          <w:p>
            <w:pPr>
              <w:pStyle w:val="0"/>
              <w:rPr>
                <w:rFonts w:hint="default"/>
              </w:rPr>
            </w:pPr>
            <w:r>
              <w:rPr>
                <w:rFonts w:hint="eastAsia"/>
              </w:rPr>
              <w:t>脂質</w:t>
            </w:r>
          </w:p>
          <w:p>
            <w:pPr>
              <w:pStyle w:val="0"/>
              <w:rPr>
                <w:rFonts w:hint="default"/>
              </w:rPr>
            </w:pPr>
            <w:r>
              <w:rPr>
                <w:rFonts w:hint="eastAsia"/>
              </w:rPr>
              <w:t>（</w:t>
            </w:r>
            <w:r>
              <w:rPr>
                <w:rFonts w:hint="default"/>
              </w:rPr>
              <w:t>LDL-C</w:t>
            </w:r>
            <w:r>
              <w:rPr>
                <w:rFonts w:hint="default"/>
              </w:rPr>
              <w:t>）</w:t>
            </w:r>
          </w:p>
        </w:tc>
        <w:tc>
          <w:tcPr>
            <w:tcW w:w="1170" w:type="pct"/>
            <w:tcMar>
              <w:top w:w="28" w:type="dxa"/>
              <w:left w:w="28" w:type="dxa"/>
              <w:bottom w:w="28" w:type="dxa"/>
              <w:right w:w="28" w:type="dxa"/>
            </w:tcMar>
            <w:vAlign w:val="center"/>
          </w:tcPr>
          <w:p>
            <w:pPr>
              <w:pStyle w:val="0"/>
              <w:rPr>
                <w:rFonts w:hint="default"/>
              </w:rPr>
            </w:pPr>
            <w:r>
              <w:rPr>
                <w:rFonts w:hint="eastAsia"/>
              </w:rPr>
              <w:t>140mg/dL</w:t>
            </w:r>
            <w:r>
              <w:rPr>
                <w:rFonts w:hint="eastAsia"/>
              </w:rPr>
              <w:t>以上</w:t>
            </w:r>
            <w:r>
              <w:rPr>
                <w:rFonts w:hint="eastAsia"/>
              </w:rPr>
              <w:t>160mg/dL</w:t>
            </w:r>
            <w:r>
              <w:rPr>
                <w:rFonts w:hint="eastAsia"/>
              </w:rPr>
              <w:t>未満</w:t>
            </w:r>
          </w:p>
        </w:tc>
        <w:tc>
          <w:tcPr>
            <w:tcW w:w="422" w:type="pct"/>
            <w:tcMar>
              <w:top w:w="28" w:type="dxa"/>
              <w:left w:w="28" w:type="dxa"/>
              <w:bottom w:w="28" w:type="dxa"/>
              <w:right w:w="28" w:type="dxa"/>
            </w:tcMar>
            <w:vAlign w:val="center"/>
          </w:tcPr>
          <w:p>
            <w:pPr>
              <w:pStyle w:val="0"/>
              <w:jc w:val="right"/>
              <w:rPr>
                <w:rFonts w:hint="default"/>
              </w:rPr>
            </w:pPr>
            <w:r>
              <w:rPr>
                <w:rFonts w:hint="default"/>
              </w:rPr>
              <w:t>833</w:t>
            </w:r>
          </w:p>
        </w:tc>
        <w:tc>
          <w:tcPr>
            <w:tcW w:w="423" w:type="pct"/>
            <w:tcMar>
              <w:top w:w="28" w:type="dxa"/>
              <w:left w:w="28" w:type="dxa"/>
              <w:bottom w:w="28" w:type="dxa"/>
              <w:right w:w="28" w:type="dxa"/>
            </w:tcMar>
            <w:vAlign w:val="center"/>
          </w:tcPr>
          <w:p>
            <w:pPr>
              <w:pStyle w:val="0"/>
              <w:jc w:val="right"/>
              <w:rPr>
                <w:rFonts w:hint="default"/>
              </w:rPr>
            </w:pPr>
            <w:r>
              <w:rPr>
                <w:rFonts w:hint="default"/>
              </w:rPr>
              <w:t>17.0%</w:t>
            </w:r>
          </w:p>
        </w:tc>
        <w:tc>
          <w:tcPr>
            <w:tcW w:w="422" w:type="pct"/>
            <w:tcMar>
              <w:top w:w="28" w:type="dxa"/>
              <w:left w:w="28" w:type="dxa"/>
              <w:bottom w:w="28" w:type="dxa"/>
              <w:right w:w="28" w:type="dxa"/>
            </w:tcMar>
            <w:vAlign w:val="center"/>
          </w:tcPr>
          <w:p>
            <w:pPr>
              <w:pStyle w:val="0"/>
              <w:jc w:val="right"/>
              <w:rPr>
                <w:rFonts w:hint="default"/>
              </w:rPr>
            </w:pPr>
            <w:r>
              <w:rPr>
                <w:rFonts w:hint="default"/>
              </w:rPr>
              <w:t>500</w:t>
            </w:r>
          </w:p>
        </w:tc>
        <w:tc>
          <w:tcPr>
            <w:tcW w:w="423" w:type="pct"/>
            <w:tcMar>
              <w:top w:w="28" w:type="dxa"/>
              <w:left w:w="28" w:type="dxa"/>
              <w:bottom w:w="28" w:type="dxa"/>
              <w:right w:w="28" w:type="dxa"/>
            </w:tcMar>
            <w:vAlign w:val="center"/>
          </w:tcPr>
          <w:p>
            <w:pPr>
              <w:pStyle w:val="0"/>
              <w:jc w:val="right"/>
              <w:rPr>
                <w:rFonts w:hint="default"/>
              </w:rPr>
            </w:pPr>
            <w:r>
              <w:rPr>
                <w:rFonts w:hint="default"/>
              </w:rPr>
              <w:t>18.9%</w:t>
            </w:r>
          </w:p>
        </w:tc>
        <w:tc>
          <w:tcPr>
            <w:tcW w:w="422" w:type="pct"/>
            <w:tcMar>
              <w:top w:w="28" w:type="dxa"/>
              <w:left w:w="28" w:type="dxa"/>
              <w:bottom w:w="28" w:type="dxa"/>
              <w:right w:w="28" w:type="dxa"/>
            </w:tcMar>
            <w:vAlign w:val="center"/>
          </w:tcPr>
          <w:p>
            <w:pPr>
              <w:pStyle w:val="0"/>
              <w:jc w:val="right"/>
              <w:rPr>
                <w:rFonts w:hint="default"/>
              </w:rPr>
            </w:pPr>
            <w:r>
              <w:rPr>
                <w:rFonts w:hint="default"/>
              </w:rPr>
              <w:t>660</w:t>
            </w:r>
          </w:p>
        </w:tc>
        <w:tc>
          <w:tcPr>
            <w:tcW w:w="423" w:type="pct"/>
            <w:tcMar>
              <w:top w:w="28" w:type="dxa"/>
              <w:left w:w="28" w:type="dxa"/>
              <w:bottom w:w="28" w:type="dxa"/>
              <w:right w:w="28" w:type="dxa"/>
            </w:tcMar>
            <w:vAlign w:val="center"/>
          </w:tcPr>
          <w:p>
            <w:pPr>
              <w:pStyle w:val="0"/>
              <w:jc w:val="right"/>
              <w:rPr>
                <w:rFonts w:hint="default"/>
              </w:rPr>
            </w:pPr>
            <w:r>
              <w:rPr>
                <w:rFonts w:hint="default"/>
              </w:rPr>
              <w:t>17.4%</w:t>
            </w:r>
          </w:p>
        </w:tc>
        <w:tc>
          <w:tcPr>
            <w:tcW w:w="422" w:type="pct"/>
            <w:tcMar>
              <w:top w:w="28" w:type="dxa"/>
              <w:left w:w="28" w:type="dxa"/>
              <w:bottom w:w="28" w:type="dxa"/>
              <w:right w:w="28" w:type="dxa"/>
            </w:tcMar>
            <w:vAlign w:val="center"/>
          </w:tcPr>
          <w:p>
            <w:pPr>
              <w:pStyle w:val="0"/>
              <w:jc w:val="right"/>
              <w:rPr>
                <w:rFonts w:hint="default"/>
              </w:rPr>
            </w:pPr>
            <w:r>
              <w:rPr>
                <w:rFonts w:hint="default"/>
              </w:rPr>
              <w:t>601</w:t>
            </w:r>
          </w:p>
        </w:tc>
        <w:tc>
          <w:tcPr>
            <w:tcW w:w="422" w:type="pct"/>
            <w:tcMar>
              <w:top w:w="28" w:type="dxa"/>
              <w:left w:w="28" w:type="dxa"/>
              <w:bottom w:w="28" w:type="dxa"/>
              <w:right w:w="28" w:type="dxa"/>
            </w:tcMar>
            <w:vAlign w:val="center"/>
          </w:tcPr>
          <w:p>
            <w:pPr>
              <w:pStyle w:val="0"/>
              <w:jc w:val="right"/>
              <w:rPr>
                <w:rFonts w:hint="default"/>
              </w:rPr>
            </w:pPr>
            <w:r>
              <w:rPr>
                <w:rFonts w:hint="default"/>
              </w:rPr>
              <w:t>16.6%</w:t>
            </w:r>
          </w:p>
        </w:tc>
      </w:tr>
      <w:tr>
        <w:trPr/>
        <w:tc>
          <w:tcPr>
            <w:tcW w:w="451" w:type="pct"/>
            <w:vMerge w:val="continue"/>
            <w:tcMar>
              <w:top w:w="28" w:type="dxa"/>
              <w:left w:w="28" w:type="dxa"/>
              <w:bottom w:w="28" w:type="dxa"/>
              <w:right w:w="28" w:type="dxa"/>
            </w:tcMar>
            <w:vAlign w:val="center"/>
          </w:tcPr>
          <w:p>
            <w:pPr>
              <w:pStyle w:val="0"/>
              <w:rPr>
                <w:rFonts w:hint="default"/>
              </w:rPr>
            </w:pPr>
          </w:p>
        </w:tc>
        <w:tc>
          <w:tcPr>
            <w:tcW w:w="1170" w:type="pct"/>
            <w:tcMar>
              <w:top w:w="28" w:type="dxa"/>
              <w:left w:w="28" w:type="dxa"/>
              <w:bottom w:w="28" w:type="dxa"/>
              <w:right w:w="28" w:type="dxa"/>
            </w:tcMar>
            <w:vAlign w:val="center"/>
          </w:tcPr>
          <w:p>
            <w:pPr>
              <w:pStyle w:val="0"/>
              <w:rPr>
                <w:rFonts w:hint="default"/>
              </w:rPr>
            </w:pPr>
            <w:r>
              <w:rPr>
                <w:rFonts w:hint="eastAsia"/>
              </w:rPr>
              <w:t>160mg/dL</w:t>
            </w:r>
            <w:r>
              <w:rPr>
                <w:rFonts w:hint="eastAsia"/>
              </w:rPr>
              <w:t>以上</w:t>
            </w:r>
            <w:r>
              <w:rPr>
                <w:rFonts w:hint="eastAsia"/>
              </w:rPr>
              <w:t>180mg/dL</w:t>
            </w:r>
            <w:r>
              <w:rPr>
                <w:rFonts w:hint="eastAsia"/>
              </w:rPr>
              <w:t>未満</w:t>
            </w:r>
          </w:p>
        </w:tc>
        <w:tc>
          <w:tcPr>
            <w:tcW w:w="422" w:type="pct"/>
            <w:tcMar>
              <w:top w:w="28" w:type="dxa"/>
              <w:left w:w="28" w:type="dxa"/>
              <w:bottom w:w="28" w:type="dxa"/>
              <w:right w:w="28" w:type="dxa"/>
            </w:tcMar>
            <w:vAlign w:val="center"/>
          </w:tcPr>
          <w:p>
            <w:pPr>
              <w:pStyle w:val="0"/>
              <w:jc w:val="right"/>
              <w:rPr>
                <w:rFonts w:hint="default"/>
              </w:rPr>
            </w:pPr>
            <w:r>
              <w:rPr>
                <w:rFonts w:hint="default"/>
              </w:rPr>
              <w:t>435</w:t>
            </w:r>
          </w:p>
        </w:tc>
        <w:tc>
          <w:tcPr>
            <w:tcW w:w="423" w:type="pct"/>
            <w:tcMar>
              <w:top w:w="28" w:type="dxa"/>
              <w:left w:w="28" w:type="dxa"/>
              <w:bottom w:w="28" w:type="dxa"/>
              <w:right w:w="28" w:type="dxa"/>
            </w:tcMar>
            <w:vAlign w:val="center"/>
          </w:tcPr>
          <w:p>
            <w:pPr>
              <w:pStyle w:val="0"/>
              <w:jc w:val="right"/>
              <w:rPr>
                <w:rFonts w:hint="default"/>
              </w:rPr>
            </w:pPr>
            <w:r>
              <w:rPr>
                <w:rFonts w:hint="default"/>
              </w:rPr>
              <w:t>8.9%</w:t>
            </w:r>
          </w:p>
        </w:tc>
        <w:tc>
          <w:tcPr>
            <w:tcW w:w="422" w:type="pct"/>
            <w:tcMar>
              <w:top w:w="28" w:type="dxa"/>
              <w:left w:w="28" w:type="dxa"/>
              <w:bottom w:w="28" w:type="dxa"/>
              <w:right w:w="28" w:type="dxa"/>
            </w:tcMar>
            <w:vAlign w:val="center"/>
          </w:tcPr>
          <w:p>
            <w:pPr>
              <w:pStyle w:val="0"/>
              <w:jc w:val="right"/>
              <w:rPr>
                <w:rFonts w:hint="default"/>
              </w:rPr>
            </w:pPr>
            <w:r>
              <w:rPr>
                <w:rFonts w:hint="default"/>
              </w:rPr>
              <w:t>262</w:t>
            </w:r>
          </w:p>
        </w:tc>
        <w:tc>
          <w:tcPr>
            <w:tcW w:w="423" w:type="pct"/>
            <w:tcMar>
              <w:top w:w="28" w:type="dxa"/>
              <w:left w:w="28" w:type="dxa"/>
              <w:bottom w:w="28" w:type="dxa"/>
              <w:right w:w="28" w:type="dxa"/>
            </w:tcMar>
            <w:vAlign w:val="center"/>
          </w:tcPr>
          <w:p>
            <w:pPr>
              <w:pStyle w:val="0"/>
              <w:jc w:val="right"/>
              <w:rPr>
                <w:rFonts w:hint="default"/>
              </w:rPr>
            </w:pPr>
            <w:r>
              <w:rPr>
                <w:rFonts w:hint="default"/>
              </w:rPr>
              <w:t>9.9%</w:t>
            </w:r>
          </w:p>
        </w:tc>
        <w:tc>
          <w:tcPr>
            <w:tcW w:w="422" w:type="pct"/>
            <w:tcMar>
              <w:top w:w="28" w:type="dxa"/>
              <w:left w:w="28" w:type="dxa"/>
              <w:bottom w:w="28" w:type="dxa"/>
              <w:right w:w="28" w:type="dxa"/>
            </w:tcMar>
            <w:vAlign w:val="center"/>
          </w:tcPr>
          <w:p>
            <w:pPr>
              <w:pStyle w:val="0"/>
              <w:jc w:val="right"/>
              <w:rPr>
                <w:rFonts w:hint="default"/>
              </w:rPr>
            </w:pPr>
            <w:r>
              <w:rPr>
                <w:rFonts w:hint="default"/>
              </w:rPr>
              <w:t>340</w:t>
            </w:r>
          </w:p>
        </w:tc>
        <w:tc>
          <w:tcPr>
            <w:tcW w:w="423" w:type="pct"/>
            <w:tcMar>
              <w:top w:w="28" w:type="dxa"/>
              <w:left w:w="28" w:type="dxa"/>
              <w:bottom w:w="28" w:type="dxa"/>
              <w:right w:w="28" w:type="dxa"/>
            </w:tcMar>
            <w:vAlign w:val="center"/>
          </w:tcPr>
          <w:p>
            <w:pPr>
              <w:pStyle w:val="0"/>
              <w:jc w:val="right"/>
              <w:rPr>
                <w:rFonts w:hint="default"/>
              </w:rPr>
            </w:pPr>
            <w:r>
              <w:rPr>
                <w:rFonts w:hint="default"/>
              </w:rPr>
              <w:t>9.0%</w:t>
            </w:r>
          </w:p>
        </w:tc>
        <w:tc>
          <w:tcPr>
            <w:tcW w:w="422" w:type="pct"/>
            <w:tcMar>
              <w:top w:w="28" w:type="dxa"/>
              <w:left w:w="28" w:type="dxa"/>
              <w:bottom w:w="28" w:type="dxa"/>
              <w:right w:w="28" w:type="dxa"/>
            </w:tcMar>
            <w:vAlign w:val="center"/>
          </w:tcPr>
          <w:p>
            <w:pPr>
              <w:pStyle w:val="0"/>
              <w:jc w:val="right"/>
              <w:rPr>
                <w:rFonts w:hint="default"/>
              </w:rPr>
            </w:pPr>
            <w:r>
              <w:rPr>
                <w:rFonts w:hint="default"/>
              </w:rPr>
              <w:t>271</w:t>
            </w:r>
          </w:p>
        </w:tc>
        <w:tc>
          <w:tcPr>
            <w:tcW w:w="422" w:type="pct"/>
            <w:tcMar>
              <w:top w:w="28" w:type="dxa"/>
              <w:left w:w="28" w:type="dxa"/>
              <w:bottom w:w="28" w:type="dxa"/>
              <w:right w:w="28" w:type="dxa"/>
            </w:tcMar>
            <w:vAlign w:val="center"/>
          </w:tcPr>
          <w:p>
            <w:pPr>
              <w:pStyle w:val="0"/>
              <w:jc w:val="right"/>
              <w:rPr>
                <w:rFonts w:hint="default"/>
              </w:rPr>
            </w:pPr>
            <w:r>
              <w:rPr>
                <w:rFonts w:hint="default"/>
              </w:rPr>
              <w:t>7.5%</w:t>
            </w:r>
          </w:p>
        </w:tc>
      </w:tr>
      <w:tr>
        <w:trPr/>
        <w:tc>
          <w:tcPr>
            <w:tcW w:w="451" w:type="pct"/>
            <w:vMerge w:val="continue"/>
            <w:tcMar>
              <w:top w:w="28" w:type="dxa"/>
              <w:left w:w="28" w:type="dxa"/>
              <w:bottom w:w="28" w:type="dxa"/>
              <w:right w:w="28" w:type="dxa"/>
            </w:tcMar>
            <w:vAlign w:val="center"/>
          </w:tcPr>
          <w:p>
            <w:pPr>
              <w:pStyle w:val="0"/>
              <w:rPr>
                <w:rFonts w:hint="default"/>
              </w:rPr>
            </w:pPr>
          </w:p>
        </w:tc>
        <w:tc>
          <w:tcPr>
            <w:tcW w:w="1170" w:type="pct"/>
            <w:tcMar>
              <w:top w:w="28" w:type="dxa"/>
              <w:left w:w="28" w:type="dxa"/>
              <w:bottom w:w="28" w:type="dxa"/>
              <w:right w:w="28" w:type="dxa"/>
            </w:tcMar>
            <w:vAlign w:val="center"/>
          </w:tcPr>
          <w:p>
            <w:pPr>
              <w:pStyle w:val="0"/>
              <w:rPr>
                <w:rFonts w:hint="default"/>
              </w:rPr>
            </w:pPr>
            <w:r>
              <w:rPr>
                <w:rFonts w:hint="eastAsia"/>
              </w:rPr>
              <w:t>180mg/dL</w:t>
            </w:r>
            <w:r>
              <w:rPr>
                <w:rFonts w:hint="eastAsia"/>
              </w:rPr>
              <w:t>以上</w:t>
            </w:r>
          </w:p>
        </w:tc>
        <w:tc>
          <w:tcPr>
            <w:tcW w:w="422" w:type="pct"/>
            <w:tcMar>
              <w:top w:w="28" w:type="dxa"/>
              <w:left w:w="28" w:type="dxa"/>
              <w:bottom w:w="28" w:type="dxa"/>
              <w:right w:w="28" w:type="dxa"/>
            </w:tcMar>
            <w:vAlign w:val="center"/>
          </w:tcPr>
          <w:p>
            <w:pPr>
              <w:pStyle w:val="0"/>
              <w:jc w:val="right"/>
              <w:rPr>
                <w:rFonts w:hint="default"/>
              </w:rPr>
            </w:pPr>
            <w:r>
              <w:rPr>
                <w:rFonts w:hint="default"/>
              </w:rPr>
              <w:t>246</w:t>
            </w:r>
          </w:p>
        </w:tc>
        <w:tc>
          <w:tcPr>
            <w:tcW w:w="423" w:type="pct"/>
            <w:tcMar>
              <w:top w:w="28" w:type="dxa"/>
              <w:left w:w="28" w:type="dxa"/>
              <w:bottom w:w="28" w:type="dxa"/>
              <w:right w:w="28" w:type="dxa"/>
            </w:tcMar>
            <w:vAlign w:val="center"/>
          </w:tcPr>
          <w:p>
            <w:pPr>
              <w:pStyle w:val="0"/>
              <w:jc w:val="right"/>
              <w:rPr>
                <w:rFonts w:hint="default"/>
              </w:rPr>
            </w:pPr>
            <w:r>
              <w:rPr>
                <w:rFonts w:hint="default"/>
              </w:rPr>
              <w:t>5.0%</w:t>
            </w:r>
          </w:p>
        </w:tc>
        <w:tc>
          <w:tcPr>
            <w:tcW w:w="422" w:type="pct"/>
            <w:tcMar>
              <w:top w:w="28" w:type="dxa"/>
              <w:left w:w="28" w:type="dxa"/>
              <w:bottom w:w="28" w:type="dxa"/>
              <w:right w:w="28" w:type="dxa"/>
            </w:tcMar>
            <w:vAlign w:val="center"/>
          </w:tcPr>
          <w:p>
            <w:pPr>
              <w:pStyle w:val="0"/>
              <w:jc w:val="right"/>
              <w:rPr>
                <w:rFonts w:hint="default"/>
              </w:rPr>
            </w:pPr>
            <w:r>
              <w:rPr>
                <w:rFonts w:hint="default"/>
              </w:rPr>
              <w:t>210</w:t>
            </w:r>
          </w:p>
        </w:tc>
        <w:tc>
          <w:tcPr>
            <w:tcW w:w="423" w:type="pct"/>
            <w:tcMar>
              <w:top w:w="28" w:type="dxa"/>
              <w:left w:w="28" w:type="dxa"/>
              <w:bottom w:w="28" w:type="dxa"/>
              <w:right w:w="28" w:type="dxa"/>
            </w:tcMar>
            <w:vAlign w:val="center"/>
          </w:tcPr>
          <w:p>
            <w:pPr>
              <w:pStyle w:val="0"/>
              <w:jc w:val="right"/>
              <w:rPr>
                <w:rFonts w:hint="default"/>
              </w:rPr>
            </w:pPr>
            <w:r>
              <w:rPr>
                <w:rFonts w:hint="default"/>
              </w:rPr>
              <w:t>8.0%</w:t>
            </w:r>
          </w:p>
        </w:tc>
        <w:tc>
          <w:tcPr>
            <w:tcW w:w="422" w:type="pct"/>
            <w:tcMar>
              <w:top w:w="28" w:type="dxa"/>
              <w:left w:w="28" w:type="dxa"/>
              <w:bottom w:w="28" w:type="dxa"/>
              <w:right w:w="28" w:type="dxa"/>
            </w:tcMar>
            <w:vAlign w:val="center"/>
          </w:tcPr>
          <w:p>
            <w:pPr>
              <w:pStyle w:val="0"/>
              <w:jc w:val="right"/>
              <w:rPr>
                <w:rFonts w:hint="default"/>
              </w:rPr>
            </w:pPr>
            <w:r>
              <w:rPr>
                <w:rFonts w:hint="default"/>
              </w:rPr>
              <w:t>187</w:t>
            </w:r>
          </w:p>
        </w:tc>
        <w:tc>
          <w:tcPr>
            <w:tcW w:w="423" w:type="pct"/>
            <w:tcMar>
              <w:top w:w="28" w:type="dxa"/>
              <w:left w:w="28" w:type="dxa"/>
              <w:bottom w:w="28" w:type="dxa"/>
              <w:right w:w="28" w:type="dxa"/>
            </w:tcMar>
            <w:vAlign w:val="center"/>
          </w:tcPr>
          <w:p>
            <w:pPr>
              <w:pStyle w:val="0"/>
              <w:jc w:val="right"/>
              <w:rPr>
                <w:rFonts w:hint="default"/>
              </w:rPr>
            </w:pPr>
            <w:r>
              <w:rPr>
                <w:rFonts w:hint="default"/>
              </w:rPr>
              <w:t>4.9%</w:t>
            </w:r>
          </w:p>
        </w:tc>
        <w:tc>
          <w:tcPr>
            <w:tcW w:w="422" w:type="pct"/>
            <w:tcMar>
              <w:top w:w="28" w:type="dxa"/>
              <w:left w:w="28" w:type="dxa"/>
              <w:bottom w:w="28" w:type="dxa"/>
              <w:right w:w="28" w:type="dxa"/>
            </w:tcMar>
            <w:vAlign w:val="center"/>
          </w:tcPr>
          <w:p>
            <w:pPr>
              <w:pStyle w:val="0"/>
              <w:jc w:val="right"/>
              <w:rPr>
                <w:rFonts w:hint="default"/>
              </w:rPr>
            </w:pPr>
            <w:r>
              <w:rPr>
                <w:rFonts w:hint="default"/>
              </w:rPr>
              <w:t>144</w:t>
            </w:r>
          </w:p>
        </w:tc>
        <w:tc>
          <w:tcPr>
            <w:tcW w:w="422" w:type="pct"/>
            <w:tcMar>
              <w:top w:w="28" w:type="dxa"/>
              <w:left w:w="28" w:type="dxa"/>
              <w:bottom w:w="28" w:type="dxa"/>
              <w:right w:w="28" w:type="dxa"/>
            </w:tcMar>
            <w:vAlign w:val="center"/>
          </w:tcPr>
          <w:p>
            <w:pPr>
              <w:pStyle w:val="0"/>
              <w:jc w:val="right"/>
              <w:rPr>
                <w:rFonts w:hint="default"/>
              </w:rPr>
            </w:pPr>
            <w:r>
              <w:rPr>
                <w:rFonts w:hint="default"/>
              </w:rPr>
              <w:t>4.0%</w:t>
            </w:r>
          </w:p>
        </w:tc>
      </w:tr>
      <w:tr>
        <w:trPr/>
        <w:tc>
          <w:tcPr>
            <w:tcW w:w="451" w:type="pct"/>
            <w:vMerge w:val="continue"/>
            <w:tcMar>
              <w:top w:w="28" w:type="dxa"/>
              <w:left w:w="28" w:type="dxa"/>
              <w:bottom w:w="28" w:type="dxa"/>
              <w:right w:w="28" w:type="dxa"/>
            </w:tcMar>
            <w:vAlign w:val="center"/>
          </w:tcPr>
          <w:p>
            <w:pPr>
              <w:pStyle w:val="0"/>
              <w:rPr>
                <w:rFonts w:hint="default"/>
              </w:rPr>
            </w:pPr>
          </w:p>
        </w:tc>
        <w:tc>
          <w:tcPr>
            <w:tcW w:w="1170" w:type="pct"/>
            <w:tcMar>
              <w:top w:w="28" w:type="dxa"/>
              <w:left w:w="28" w:type="dxa"/>
              <w:bottom w:w="28" w:type="dxa"/>
              <w:right w:w="28" w:type="dxa"/>
            </w:tcMar>
            <w:vAlign w:val="center"/>
          </w:tcPr>
          <w:p>
            <w:pPr>
              <w:pStyle w:val="0"/>
              <w:rPr>
                <w:rFonts w:hint="default"/>
              </w:rPr>
            </w:pPr>
            <w:r>
              <w:rPr>
                <w:rFonts w:hint="eastAsia"/>
              </w:rPr>
              <w:t>合計</w:t>
            </w:r>
          </w:p>
        </w:tc>
        <w:tc>
          <w:tcPr>
            <w:tcW w:w="422" w:type="pct"/>
            <w:tcMar>
              <w:top w:w="28" w:type="dxa"/>
              <w:left w:w="28" w:type="dxa"/>
              <w:bottom w:w="28" w:type="dxa"/>
              <w:right w:w="28" w:type="dxa"/>
            </w:tcMar>
            <w:vAlign w:val="center"/>
          </w:tcPr>
          <w:p>
            <w:pPr>
              <w:pStyle w:val="0"/>
              <w:jc w:val="right"/>
              <w:rPr>
                <w:rFonts w:hint="default"/>
              </w:rPr>
            </w:pPr>
            <w:r>
              <w:rPr>
                <w:rFonts w:hint="default"/>
              </w:rPr>
              <w:t>1,514</w:t>
            </w:r>
          </w:p>
        </w:tc>
        <w:tc>
          <w:tcPr>
            <w:tcW w:w="423" w:type="pct"/>
            <w:tcMar>
              <w:top w:w="28" w:type="dxa"/>
              <w:left w:w="28" w:type="dxa"/>
              <w:bottom w:w="28" w:type="dxa"/>
              <w:right w:w="28" w:type="dxa"/>
            </w:tcMar>
            <w:vAlign w:val="center"/>
          </w:tcPr>
          <w:p>
            <w:pPr>
              <w:pStyle w:val="0"/>
              <w:jc w:val="right"/>
              <w:rPr>
                <w:rFonts w:hint="default"/>
              </w:rPr>
            </w:pPr>
            <w:r>
              <w:rPr>
                <w:rFonts w:hint="default"/>
              </w:rPr>
              <w:t>30.9%</w:t>
            </w:r>
          </w:p>
        </w:tc>
        <w:tc>
          <w:tcPr>
            <w:tcW w:w="422" w:type="pct"/>
            <w:tcMar>
              <w:top w:w="28" w:type="dxa"/>
              <w:left w:w="28" w:type="dxa"/>
              <w:bottom w:w="28" w:type="dxa"/>
              <w:right w:w="28" w:type="dxa"/>
            </w:tcMar>
            <w:vAlign w:val="center"/>
          </w:tcPr>
          <w:p>
            <w:pPr>
              <w:pStyle w:val="0"/>
              <w:jc w:val="right"/>
              <w:rPr>
                <w:rFonts w:hint="default"/>
              </w:rPr>
            </w:pPr>
            <w:r>
              <w:rPr>
                <w:rFonts w:hint="default"/>
              </w:rPr>
              <w:t>972</w:t>
            </w:r>
          </w:p>
        </w:tc>
        <w:tc>
          <w:tcPr>
            <w:tcW w:w="423" w:type="pct"/>
            <w:tcMar>
              <w:top w:w="28" w:type="dxa"/>
              <w:left w:w="28" w:type="dxa"/>
              <w:bottom w:w="28" w:type="dxa"/>
              <w:right w:w="28" w:type="dxa"/>
            </w:tcMar>
            <w:vAlign w:val="center"/>
          </w:tcPr>
          <w:p>
            <w:pPr>
              <w:pStyle w:val="0"/>
              <w:jc w:val="right"/>
              <w:rPr>
                <w:rFonts w:hint="default"/>
              </w:rPr>
            </w:pPr>
            <w:r>
              <w:rPr>
                <w:rFonts w:hint="default"/>
              </w:rPr>
              <w:t>36.8%</w:t>
            </w:r>
          </w:p>
        </w:tc>
        <w:tc>
          <w:tcPr>
            <w:tcW w:w="422" w:type="pct"/>
            <w:tcMar>
              <w:top w:w="28" w:type="dxa"/>
              <w:left w:w="28" w:type="dxa"/>
              <w:bottom w:w="28" w:type="dxa"/>
              <w:right w:w="28" w:type="dxa"/>
            </w:tcMar>
            <w:vAlign w:val="center"/>
          </w:tcPr>
          <w:p>
            <w:pPr>
              <w:pStyle w:val="0"/>
              <w:jc w:val="right"/>
              <w:rPr>
                <w:rFonts w:hint="default"/>
              </w:rPr>
            </w:pPr>
            <w:r>
              <w:rPr>
                <w:rFonts w:hint="default"/>
              </w:rPr>
              <w:t>1,187</w:t>
            </w:r>
          </w:p>
        </w:tc>
        <w:tc>
          <w:tcPr>
            <w:tcW w:w="423" w:type="pct"/>
            <w:tcMar>
              <w:top w:w="28" w:type="dxa"/>
              <w:left w:w="28" w:type="dxa"/>
              <w:bottom w:w="28" w:type="dxa"/>
              <w:right w:w="28" w:type="dxa"/>
            </w:tcMar>
            <w:vAlign w:val="center"/>
          </w:tcPr>
          <w:p>
            <w:pPr>
              <w:pStyle w:val="0"/>
              <w:jc w:val="right"/>
              <w:rPr>
                <w:rFonts w:hint="default"/>
              </w:rPr>
            </w:pPr>
            <w:r>
              <w:rPr>
                <w:rFonts w:hint="default"/>
              </w:rPr>
              <w:t>31.3%</w:t>
            </w:r>
          </w:p>
        </w:tc>
        <w:tc>
          <w:tcPr>
            <w:tcW w:w="422" w:type="pct"/>
            <w:tcMar>
              <w:top w:w="28" w:type="dxa"/>
              <w:left w:w="28" w:type="dxa"/>
              <w:bottom w:w="28" w:type="dxa"/>
              <w:right w:w="28" w:type="dxa"/>
            </w:tcMar>
            <w:vAlign w:val="center"/>
          </w:tcPr>
          <w:p>
            <w:pPr>
              <w:pStyle w:val="0"/>
              <w:jc w:val="right"/>
              <w:rPr>
                <w:rFonts w:hint="default"/>
              </w:rPr>
            </w:pPr>
            <w:r>
              <w:rPr>
                <w:rFonts w:hint="default"/>
              </w:rPr>
              <w:t>1,016</w:t>
            </w:r>
          </w:p>
        </w:tc>
        <w:tc>
          <w:tcPr>
            <w:tcW w:w="422" w:type="pct"/>
            <w:tcMar>
              <w:top w:w="28" w:type="dxa"/>
              <w:left w:w="28" w:type="dxa"/>
              <w:bottom w:w="28" w:type="dxa"/>
              <w:right w:w="28" w:type="dxa"/>
            </w:tcMar>
            <w:vAlign w:val="center"/>
          </w:tcPr>
          <w:p>
            <w:pPr>
              <w:pStyle w:val="0"/>
              <w:jc w:val="right"/>
              <w:rPr>
                <w:rFonts w:hint="default"/>
              </w:rPr>
            </w:pPr>
            <w:r>
              <w:rPr>
                <w:rFonts w:hint="default"/>
              </w:rPr>
              <w:t>28.1%</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S21_008-</w:t>
      </w:r>
      <w:r>
        <w:rPr>
          <w:rFonts w:hint="default"/>
        </w:rPr>
        <w:t>健診の状況</w:t>
      </w:r>
      <w:r>
        <w:rPr>
          <w:rFonts w:hint="default"/>
        </w:rPr>
        <w:t xml:space="preserve"> </w:t>
      </w:r>
      <w:r>
        <w:rPr>
          <w:rFonts w:hint="eastAsia"/>
        </w:rPr>
        <w:t>令和</w:t>
      </w:r>
      <w:r>
        <w:rPr>
          <w:rFonts w:hint="eastAsia"/>
        </w:rPr>
        <w:t>1</w:t>
      </w:r>
      <w:r>
        <w:rPr>
          <w:rFonts w:hint="default"/>
        </w:rPr>
        <w:t>年度から</w:t>
      </w:r>
      <w:r>
        <w:rPr>
          <w:rFonts w:hint="eastAsia"/>
        </w:rPr>
        <w:t>令和</w:t>
      </w:r>
      <w:r>
        <w:rPr>
          <w:rFonts w:hint="eastAsia"/>
        </w:rPr>
        <w:t>4</w:t>
      </w:r>
      <w:r>
        <w:rPr>
          <w:rFonts w:hint="eastAsia"/>
        </w:rPr>
        <w:t>年度</w:t>
      </w:r>
      <w:r>
        <w:rPr>
          <w:rFonts w:hint="default"/>
        </w:rPr>
        <w:t xml:space="preserve"> </w:t>
      </w:r>
      <w:r>
        <w:rPr>
          <w:rFonts w:hint="default"/>
        </w:rPr>
        <w:t>累計</w:t>
      </w:r>
    </w:p>
    <w:p>
      <w:pPr>
        <w:pStyle w:val="44"/>
        <w:rPr>
          <w:rFonts w:hint="default"/>
        </w:rPr>
      </w:pPr>
      <w:r>
        <w:rPr>
          <w:rFonts w:hint="default"/>
        </w:rPr>
        <w:t>KDB</w:t>
      </w:r>
      <w:r>
        <w:rPr>
          <w:rFonts w:hint="default"/>
        </w:rPr>
        <w:t>帳票</w:t>
      </w:r>
      <w:r>
        <w:rPr>
          <w:rFonts w:hint="default"/>
        </w:rPr>
        <w:t xml:space="preserve"> S26_005-</w:t>
      </w:r>
      <w:r>
        <w:rPr>
          <w:rFonts w:hint="default"/>
        </w:rPr>
        <w:t>保健指導対象者一覧（受診勧奨判定値の者）</w:t>
      </w:r>
      <w:r>
        <w:rPr>
          <w:rFonts w:hint="default"/>
        </w:rPr>
        <w:t xml:space="preserve"> </w:t>
      </w:r>
      <w:r>
        <w:rPr>
          <w:rFonts w:hint="eastAsia"/>
        </w:rPr>
        <w:t>令和</w:t>
      </w:r>
      <w:r>
        <w:rPr>
          <w:rFonts w:hint="eastAsia"/>
        </w:rPr>
        <w:t>1</w:t>
      </w:r>
      <w:r>
        <w:rPr>
          <w:rFonts w:hint="eastAsia"/>
        </w:rPr>
        <w:t>年度から</w:t>
      </w:r>
      <w:r>
        <w:rPr>
          <w:rFonts w:hint="default"/>
        </w:rPr>
        <w:t>令和</w:t>
      </w:r>
      <w:r>
        <w:rPr>
          <w:rFonts w:hint="default"/>
        </w:rPr>
        <w:t>4</w:t>
      </w:r>
      <w:r>
        <w:rPr>
          <w:rFonts w:hint="default"/>
        </w:rPr>
        <w:t>年度</w:t>
      </w:r>
      <w:r>
        <w:rPr>
          <w:rFonts w:hint="default"/>
        </w:rPr>
        <w:t xml:space="preserve"> </w:t>
      </w:r>
      <w:r>
        <w:rPr>
          <w:rFonts w:hint="default"/>
        </w:rPr>
        <w:t>累計</w:t>
      </w:r>
    </w:p>
    <w:p>
      <w:pPr>
        <w:pStyle w:val="0"/>
        <w:rPr>
          <w:rFonts w:hint="default"/>
        </w:rPr>
      </w:pPr>
    </w:p>
    <w:p>
      <w:pPr>
        <w:pStyle w:val="38"/>
        <w:rPr>
          <w:rFonts w:hint="default"/>
        </w:rPr>
      </w:pPr>
      <w:bookmarkStart w:id="77" w:name="_Ref130884563"/>
      <w:bookmarkStart w:id="78" w:name="_Hlk14506767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77"/>
      <w:r>
        <w:rPr>
          <w:rFonts w:hint="default"/>
        </w:rPr>
        <w:t>：</w:t>
      </w:r>
      <w:r>
        <w:rPr>
          <w:rFonts w:hint="default"/>
        </w:rPr>
        <w:t>HbA1c6.5%</w:t>
      </w:r>
      <w:r>
        <w:rPr>
          <w:rFonts w:hint="default"/>
        </w:rPr>
        <w:t>以上の</w:t>
      </w:r>
      <w:r>
        <w:rPr>
          <w:rFonts w:hint="eastAsia"/>
        </w:rPr>
        <w:t>もの</w:t>
      </w:r>
      <w:r>
        <w:rPr>
          <w:rFonts w:hint="default"/>
        </w:rPr>
        <w:t>の経年推移</w:t>
      </w:r>
    </w:p>
    <w:tbl>
      <w:tblPr>
        <w:tblStyle w:val="172"/>
        <w:tblW w:w="5000" w:type="pct"/>
        <w:tblInd w:w="0" w:type="dxa"/>
        <w:tblLayout w:type="fixed"/>
        <w:tblLook w:firstRow="1" w:lastRow="0" w:firstColumn="1" w:lastColumn="0" w:noHBand="0" w:noVBand="1" w:val="04A0"/>
      </w:tblPr>
      <w:tblGrid>
        <w:gridCol w:w="3072"/>
        <w:gridCol w:w="790"/>
        <w:gridCol w:w="791"/>
        <w:gridCol w:w="789"/>
        <w:gridCol w:w="791"/>
        <w:gridCol w:w="789"/>
        <w:gridCol w:w="791"/>
        <w:gridCol w:w="789"/>
        <w:gridCol w:w="773"/>
      </w:tblGrid>
      <w:tr>
        <w:trPr/>
        <w:tc>
          <w:tcPr>
            <w:tcW w:w="1638" w:type="pct"/>
            <w:vMerge w:val="restart"/>
            <w:shd w:val="clear" w:color="auto" w:fill="CCD6FF"/>
            <w:tcMar>
              <w:top w:w="28" w:type="dxa"/>
              <w:left w:w="28" w:type="dxa"/>
              <w:bottom w:w="28" w:type="dxa"/>
              <w:right w:w="28" w:type="dxa"/>
            </w:tcMar>
            <w:vAlign w:val="center"/>
          </w:tcPr>
          <w:p>
            <w:pPr>
              <w:pStyle w:val="0"/>
              <w:rPr>
                <w:rFonts w:hint="default"/>
              </w:rPr>
            </w:pPr>
          </w:p>
        </w:tc>
        <w:tc>
          <w:tcPr>
            <w:tcW w:w="84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1</w:t>
            </w:r>
            <w:r>
              <w:rPr>
                <w:rFonts w:hint="eastAsia"/>
                <w:b w:val="1"/>
              </w:rPr>
              <w:t>年度</w:t>
            </w:r>
          </w:p>
        </w:tc>
        <w:tc>
          <w:tcPr>
            <w:tcW w:w="84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2</w:t>
            </w:r>
            <w:r>
              <w:rPr>
                <w:rFonts w:hint="eastAsia"/>
                <w:b w:val="1"/>
              </w:rPr>
              <w:t>年度</w:t>
            </w:r>
          </w:p>
        </w:tc>
        <w:tc>
          <w:tcPr>
            <w:tcW w:w="84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3</w:t>
            </w:r>
            <w:r>
              <w:rPr>
                <w:rFonts w:hint="eastAsia"/>
                <w:b w:val="1"/>
              </w:rPr>
              <w:t>年度</w:t>
            </w:r>
          </w:p>
        </w:tc>
        <w:tc>
          <w:tcPr>
            <w:tcW w:w="833"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r>
              <w:rPr>
                <w:rFonts w:hint="eastAsia"/>
                <w:b w:val="1"/>
              </w:rPr>
              <w:t>4</w:t>
            </w:r>
            <w:r>
              <w:rPr>
                <w:rFonts w:hint="eastAsia"/>
                <w:b w:val="1"/>
              </w:rPr>
              <w:t>年度</w:t>
            </w:r>
          </w:p>
        </w:tc>
      </w:tr>
      <w:tr>
        <w:trPr/>
        <w:tc>
          <w:tcPr>
            <w:tcW w:w="1638" w:type="pct"/>
            <w:vMerge w:val="continue"/>
            <w:tcMar>
              <w:top w:w="28" w:type="dxa"/>
              <w:left w:w="28" w:type="dxa"/>
              <w:bottom w:w="28" w:type="dxa"/>
              <w:right w:w="28" w:type="dxa"/>
            </w:tcMar>
            <w:vAlign w:val="center"/>
          </w:tcPr>
          <w:p>
            <w:pPr>
              <w:pStyle w:val="0"/>
              <w:rPr>
                <w:rFonts w:hint="default"/>
              </w:rPr>
            </w:pPr>
          </w:p>
        </w:tc>
        <w:tc>
          <w:tcPr>
            <w:tcW w:w="42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c>
          <w:tcPr>
            <w:tcW w:w="42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c>
          <w:tcPr>
            <w:tcW w:w="42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422"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c>
          <w:tcPr>
            <w:tcW w:w="42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412"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r>
      <w:tr>
        <w:trPr/>
        <w:tc>
          <w:tcPr>
            <w:tcW w:w="1638" w:type="pct"/>
            <w:tcMar>
              <w:top w:w="28" w:type="dxa"/>
              <w:left w:w="28" w:type="dxa"/>
              <w:bottom w:w="28" w:type="dxa"/>
              <w:right w:w="28" w:type="dxa"/>
            </w:tcMar>
            <w:vAlign w:val="center"/>
          </w:tcPr>
          <w:p>
            <w:pPr>
              <w:pStyle w:val="0"/>
              <w:rPr>
                <w:rFonts w:hint="default"/>
              </w:rPr>
            </w:pPr>
            <w:r>
              <w:rPr>
                <w:rFonts w:hint="eastAsia"/>
              </w:rPr>
              <w:t>HbA1c</w:t>
            </w:r>
            <w:r>
              <w:rPr>
                <w:rFonts w:hint="eastAsia"/>
              </w:rPr>
              <w:t>の検査結果がある人数</w:t>
            </w:r>
          </w:p>
        </w:tc>
        <w:tc>
          <w:tcPr>
            <w:tcW w:w="421" w:type="pct"/>
            <w:tcMar>
              <w:top w:w="28" w:type="dxa"/>
              <w:left w:w="28" w:type="dxa"/>
              <w:bottom w:w="28" w:type="dxa"/>
              <w:right w:w="28" w:type="dxa"/>
            </w:tcMar>
            <w:vAlign w:val="center"/>
          </w:tcPr>
          <w:p>
            <w:pPr>
              <w:pStyle w:val="0"/>
              <w:jc w:val="right"/>
              <w:rPr>
                <w:rFonts w:hint="default"/>
              </w:rPr>
            </w:pPr>
            <w:r>
              <w:rPr>
                <w:rFonts w:hint="eastAsia"/>
              </w:rPr>
              <w:t>4,906</w:t>
            </w:r>
          </w:p>
        </w:tc>
        <w:tc>
          <w:tcPr>
            <w:tcW w:w="422" w:type="pct"/>
            <w:tcMar>
              <w:top w:w="28" w:type="dxa"/>
              <w:left w:w="28" w:type="dxa"/>
              <w:bottom w:w="28" w:type="dxa"/>
              <w:right w:w="28" w:type="dxa"/>
            </w:tcMar>
            <w:vAlign w:val="center"/>
          </w:tcPr>
          <w:p>
            <w:pPr>
              <w:pStyle w:val="0"/>
              <w:jc w:val="right"/>
              <w:rPr>
                <w:rFonts w:hint="default"/>
              </w:rPr>
            </w:pPr>
            <w:r>
              <w:rPr>
                <w:rFonts w:hint="eastAsia"/>
              </w:rPr>
              <w:t>-</w:t>
            </w:r>
          </w:p>
        </w:tc>
        <w:tc>
          <w:tcPr>
            <w:tcW w:w="421" w:type="pct"/>
            <w:tcMar>
              <w:top w:w="28" w:type="dxa"/>
              <w:left w:w="28" w:type="dxa"/>
              <w:bottom w:w="28" w:type="dxa"/>
              <w:right w:w="28" w:type="dxa"/>
            </w:tcMar>
            <w:vAlign w:val="center"/>
          </w:tcPr>
          <w:p>
            <w:pPr>
              <w:pStyle w:val="0"/>
              <w:jc w:val="right"/>
              <w:rPr>
                <w:rFonts w:hint="default"/>
              </w:rPr>
            </w:pPr>
            <w:r>
              <w:rPr>
                <w:rFonts w:hint="eastAsia"/>
              </w:rPr>
              <w:t>2,641</w:t>
            </w:r>
          </w:p>
        </w:tc>
        <w:tc>
          <w:tcPr>
            <w:tcW w:w="422" w:type="pct"/>
            <w:tcMar>
              <w:top w:w="28" w:type="dxa"/>
              <w:left w:w="28" w:type="dxa"/>
              <w:bottom w:w="28" w:type="dxa"/>
              <w:right w:w="28" w:type="dxa"/>
            </w:tcMar>
            <w:vAlign w:val="center"/>
          </w:tcPr>
          <w:p>
            <w:pPr>
              <w:pStyle w:val="0"/>
              <w:jc w:val="right"/>
              <w:rPr>
                <w:rFonts w:hint="default"/>
              </w:rPr>
            </w:pPr>
            <w:r>
              <w:rPr>
                <w:rFonts w:hint="eastAsia"/>
              </w:rPr>
              <w:t>-</w:t>
            </w:r>
          </w:p>
        </w:tc>
        <w:tc>
          <w:tcPr>
            <w:tcW w:w="421" w:type="pct"/>
            <w:tcMar>
              <w:top w:w="28" w:type="dxa"/>
              <w:left w:w="28" w:type="dxa"/>
              <w:bottom w:w="28" w:type="dxa"/>
              <w:right w:w="28" w:type="dxa"/>
            </w:tcMar>
            <w:vAlign w:val="center"/>
          </w:tcPr>
          <w:p>
            <w:pPr>
              <w:pStyle w:val="0"/>
              <w:jc w:val="right"/>
              <w:rPr>
                <w:rFonts w:hint="default"/>
              </w:rPr>
            </w:pPr>
            <w:r>
              <w:rPr>
                <w:rFonts w:hint="eastAsia"/>
              </w:rPr>
              <w:t>3,792</w:t>
            </w:r>
          </w:p>
        </w:tc>
        <w:tc>
          <w:tcPr>
            <w:tcW w:w="422" w:type="pct"/>
            <w:tcMar>
              <w:top w:w="28" w:type="dxa"/>
              <w:left w:w="28" w:type="dxa"/>
              <w:bottom w:w="28" w:type="dxa"/>
              <w:right w:w="28" w:type="dxa"/>
            </w:tcMar>
            <w:vAlign w:val="center"/>
          </w:tcPr>
          <w:p>
            <w:pPr>
              <w:pStyle w:val="0"/>
              <w:jc w:val="right"/>
              <w:rPr>
                <w:rFonts w:hint="default"/>
              </w:rPr>
            </w:pPr>
            <w:r>
              <w:rPr>
                <w:rFonts w:hint="eastAsia"/>
              </w:rPr>
              <w:t>-</w:t>
            </w:r>
          </w:p>
        </w:tc>
        <w:tc>
          <w:tcPr>
            <w:tcW w:w="421" w:type="pct"/>
            <w:tcMar>
              <w:top w:w="28" w:type="dxa"/>
              <w:left w:w="28" w:type="dxa"/>
              <w:bottom w:w="28" w:type="dxa"/>
              <w:right w:w="28" w:type="dxa"/>
            </w:tcMar>
            <w:vAlign w:val="center"/>
          </w:tcPr>
          <w:p>
            <w:pPr>
              <w:pStyle w:val="0"/>
              <w:jc w:val="right"/>
              <w:rPr>
                <w:rFonts w:hint="default"/>
              </w:rPr>
            </w:pPr>
            <w:r>
              <w:rPr>
                <w:rFonts w:hint="eastAsia"/>
              </w:rPr>
              <w:t>3,611</w:t>
            </w:r>
          </w:p>
        </w:tc>
        <w:tc>
          <w:tcPr>
            <w:tcW w:w="412" w:type="pct"/>
            <w:tcMar>
              <w:top w:w="28" w:type="dxa"/>
              <w:left w:w="28" w:type="dxa"/>
              <w:bottom w:w="28" w:type="dxa"/>
              <w:right w:w="28" w:type="dxa"/>
            </w:tcMar>
            <w:vAlign w:val="center"/>
          </w:tcPr>
          <w:p>
            <w:pPr>
              <w:pStyle w:val="0"/>
              <w:jc w:val="right"/>
              <w:rPr>
                <w:rFonts w:hint="default"/>
              </w:rPr>
            </w:pPr>
            <w:r>
              <w:rPr>
                <w:rFonts w:hint="eastAsia"/>
              </w:rPr>
              <w:t>-</w:t>
            </w:r>
          </w:p>
        </w:tc>
      </w:tr>
      <w:tr>
        <w:trPr/>
        <w:tc>
          <w:tcPr>
            <w:tcW w:w="1638" w:type="pct"/>
            <w:tcMar>
              <w:top w:w="28" w:type="dxa"/>
              <w:left w:w="28" w:type="dxa"/>
              <w:bottom w:w="28" w:type="dxa"/>
              <w:right w:w="28" w:type="dxa"/>
            </w:tcMar>
            <w:vAlign w:val="center"/>
          </w:tcPr>
          <w:p>
            <w:pPr>
              <w:pStyle w:val="0"/>
              <w:rPr>
                <w:rFonts w:hint="default"/>
              </w:rPr>
            </w:pPr>
            <w:r>
              <w:rPr>
                <w:rFonts w:hint="eastAsia"/>
              </w:rPr>
              <w:t>HbA1c6</w:t>
            </w:r>
            <w:r>
              <w:rPr>
                <w:rFonts w:hint="default"/>
              </w:rPr>
              <w:t>.</w:t>
            </w:r>
            <w:r>
              <w:rPr>
                <w:rFonts w:hint="eastAsia"/>
              </w:rPr>
              <w:t>5</w:t>
            </w:r>
            <w:r>
              <w:rPr>
                <w:rFonts w:hint="default"/>
              </w:rPr>
              <w:t>%</w:t>
            </w:r>
            <w:r>
              <w:rPr>
                <w:rFonts w:hint="eastAsia"/>
              </w:rPr>
              <w:t>以上の人数</w:t>
            </w:r>
          </w:p>
        </w:tc>
        <w:tc>
          <w:tcPr>
            <w:tcW w:w="421" w:type="pct"/>
            <w:tcMar>
              <w:top w:w="28" w:type="dxa"/>
              <w:left w:w="28" w:type="dxa"/>
              <w:bottom w:w="28" w:type="dxa"/>
              <w:right w:w="28" w:type="dxa"/>
            </w:tcMar>
            <w:vAlign w:val="center"/>
          </w:tcPr>
          <w:p>
            <w:pPr>
              <w:pStyle w:val="0"/>
              <w:jc w:val="right"/>
              <w:rPr>
                <w:rFonts w:hint="default"/>
              </w:rPr>
            </w:pPr>
            <w:r>
              <w:rPr>
                <w:rFonts w:hint="eastAsia"/>
              </w:rPr>
              <w:t>1,736</w:t>
            </w:r>
          </w:p>
        </w:tc>
        <w:tc>
          <w:tcPr>
            <w:tcW w:w="422" w:type="pct"/>
            <w:tcMar>
              <w:top w:w="28" w:type="dxa"/>
              <w:left w:w="28" w:type="dxa"/>
              <w:bottom w:w="28" w:type="dxa"/>
              <w:right w:w="28" w:type="dxa"/>
            </w:tcMar>
            <w:vAlign w:val="center"/>
          </w:tcPr>
          <w:p>
            <w:pPr>
              <w:pStyle w:val="0"/>
              <w:jc w:val="right"/>
              <w:rPr>
                <w:rFonts w:hint="default"/>
              </w:rPr>
            </w:pPr>
            <w:r>
              <w:rPr>
                <w:rFonts w:hint="eastAsia"/>
              </w:rPr>
              <w:t>35.4%</w:t>
            </w:r>
          </w:p>
        </w:tc>
        <w:tc>
          <w:tcPr>
            <w:tcW w:w="421" w:type="pct"/>
            <w:tcMar>
              <w:top w:w="28" w:type="dxa"/>
              <w:left w:w="28" w:type="dxa"/>
              <w:bottom w:w="28" w:type="dxa"/>
              <w:right w:w="28" w:type="dxa"/>
            </w:tcMar>
            <w:vAlign w:val="center"/>
          </w:tcPr>
          <w:p>
            <w:pPr>
              <w:pStyle w:val="0"/>
              <w:jc w:val="right"/>
              <w:rPr>
                <w:rFonts w:hint="default"/>
              </w:rPr>
            </w:pPr>
            <w:r>
              <w:rPr>
                <w:rFonts w:hint="eastAsia"/>
              </w:rPr>
              <w:t>927</w:t>
            </w:r>
          </w:p>
        </w:tc>
        <w:tc>
          <w:tcPr>
            <w:tcW w:w="422" w:type="pct"/>
            <w:tcMar>
              <w:top w:w="28" w:type="dxa"/>
              <w:left w:w="28" w:type="dxa"/>
              <w:bottom w:w="28" w:type="dxa"/>
              <w:right w:w="28" w:type="dxa"/>
            </w:tcMar>
            <w:vAlign w:val="center"/>
          </w:tcPr>
          <w:p>
            <w:pPr>
              <w:pStyle w:val="0"/>
              <w:jc w:val="right"/>
              <w:rPr>
                <w:rFonts w:hint="default"/>
              </w:rPr>
            </w:pPr>
            <w:r>
              <w:rPr>
                <w:rFonts w:hint="eastAsia"/>
              </w:rPr>
              <w:t>35.1%</w:t>
            </w:r>
          </w:p>
        </w:tc>
        <w:tc>
          <w:tcPr>
            <w:tcW w:w="421" w:type="pct"/>
            <w:tcMar>
              <w:top w:w="28" w:type="dxa"/>
              <w:left w:w="28" w:type="dxa"/>
              <w:bottom w:w="28" w:type="dxa"/>
              <w:right w:w="28" w:type="dxa"/>
            </w:tcMar>
            <w:vAlign w:val="center"/>
          </w:tcPr>
          <w:p>
            <w:pPr>
              <w:pStyle w:val="0"/>
              <w:jc w:val="right"/>
              <w:rPr>
                <w:rFonts w:hint="default"/>
              </w:rPr>
            </w:pPr>
            <w:r>
              <w:rPr>
                <w:rFonts w:hint="eastAsia"/>
              </w:rPr>
              <w:t>1,237</w:t>
            </w:r>
          </w:p>
        </w:tc>
        <w:tc>
          <w:tcPr>
            <w:tcW w:w="422" w:type="pct"/>
            <w:tcMar>
              <w:top w:w="28" w:type="dxa"/>
              <w:left w:w="28" w:type="dxa"/>
              <w:bottom w:w="28" w:type="dxa"/>
              <w:right w:w="28" w:type="dxa"/>
            </w:tcMar>
            <w:vAlign w:val="center"/>
          </w:tcPr>
          <w:p>
            <w:pPr>
              <w:pStyle w:val="0"/>
              <w:jc w:val="right"/>
              <w:rPr>
                <w:rFonts w:hint="default"/>
              </w:rPr>
            </w:pPr>
            <w:r>
              <w:rPr>
                <w:rFonts w:hint="eastAsia"/>
              </w:rPr>
              <w:t>32.6%</w:t>
            </w:r>
          </w:p>
        </w:tc>
        <w:tc>
          <w:tcPr>
            <w:tcW w:w="421" w:type="pct"/>
            <w:tcMar>
              <w:top w:w="28" w:type="dxa"/>
              <w:left w:w="28" w:type="dxa"/>
              <w:bottom w:w="28" w:type="dxa"/>
              <w:right w:w="28" w:type="dxa"/>
            </w:tcMar>
            <w:vAlign w:val="center"/>
          </w:tcPr>
          <w:p>
            <w:pPr>
              <w:pStyle w:val="0"/>
              <w:jc w:val="right"/>
              <w:rPr>
                <w:rFonts w:hint="default"/>
              </w:rPr>
            </w:pPr>
            <w:r>
              <w:rPr>
                <w:rFonts w:hint="eastAsia"/>
              </w:rPr>
              <w:t>1,023</w:t>
            </w:r>
          </w:p>
        </w:tc>
        <w:tc>
          <w:tcPr>
            <w:tcW w:w="412" w:type="pct"/>
            <w:tcMar>
              <w:top w:w="28" w:type="dxa"/>
              <w:left w:w="28" w:type="dxa"/>
              <w:bottom w:w="28" w:type="dxa"/>
              <w:right w:w="28" w:type="dxa"/>
            </w:tcMar>
            <w:vAlign w:val="center"/>
          </w:tcPr>
          <w:p>
            <w:pPr>
              <w:pStyle w:val="0"/>
              <w:jc w:val="right"/>
              <w:rPr>
                <w:rFonts w:hint="default"/>
              </w:rPr>
            </w:pPr>
            <w:r>
              <w:rPr>
                <w:rFonts w:hint="eastAsia"/>
              </w:rPr>
              <w:t>28.3%</w:t>
            </w:r>
          </w:p>
        </w:tc>
      </w:tr>
    </w:tbl>
    <w:p>
      <w:pPr>
        <w:pStyle w:val="0"/>
        <w:jc w:val="right"/>
        <w:rPr>
          <w:rFonts w:hint="default"/>
        </w:rPr>
      </w:pPr>
      <w:r>
        <w:rPr>
          <w:rFonts w:hint="eastAsia"/>
        </w:rPr>
        <w:t>【出典】</w:t>
      </w:r>
      <w:r>
        <w:rPr>
          <w:rFonts w:hint="default"/>
        </w:rPr>
        <w:t>KDB</w:t>
      </w:r>
      <w:r>
        <w:rPr>
          <w:rFonts w:hint="default"/>
        </w:rPr>
        <w:t>帳票</w:t>
      </w:r>
      <w:r>
        <w:rPr>
          <w:rFonts w:hint="default"/>
        </w:rPr>
        <w:t xml:space="preserve"> S26_026-</w:t>
      </w:r>
      <w:r>
        <w:rPr>
          <w:rFonts w:hint="default"/>
        </w:rPr>
        <w:t>集計対象者一覧</w:t>
      </w:r>
      <w:r>
        <w:rPr>
          <w:rFonts w:hint="default"/>
        </w:rPr>
        <w:t xml:space="preserve"> </w:t>
      </w:r>
      <w:r>
        <w:rPr>
          <w:rFonts w:hint="default"/>
        </w:rPr>
        <w:t>令和</w:t>
      </w:r>
      <w:r>
        <w:rPr>
          <w:rFonts w:hint="eastAsia"/>
        </w:rPr>
        <w:t>1</w:t>
      </w:r>
      <w:r>
        <w:rPr>
          <w:rFonts w:hint="default"/>
        </w:rPr>
        <w:t>年度から令和</w:t>
      </w:r>
      <w:r>
        <w:rPr>
          <w:rFonts w:hint="default"/>
        </w:rPr>
        <w:t>4</w:t>
      </w:r>
      <w:r>
        <w:rPr>
          <w:rFonts w:hint="default"/>
        </w:rPr>
        <w:t>年度</w:t>
      </w:r>
      <w:r>
        <w:rPr>
          <w:rFonts w:hint="default"/>
        </w:rPr>
        <w:t xml:space="preserve"> </w:t>
      </w:r>
      <w:r>
        <w:rPr>
          <w:rFonts w:hint="default"/>
        </w:rPr>
        <w:t>累計</w:t>
      </w:r>
      <w:bookmarkEnd w:id="78"/>
    </w:p>
    <w:p>
      <w:pPr>
        <w:pStyle w:val="0"/>
        <w:rPr>
          <w:rFonts w:hint="default"/>
        </w:rPr>
      </w:pPr>
    </w:p>
    <w:p>
      <w:pPr>
        <w:pStyle w:val="38"/>
        <w:rPr>
          <w:rFonts w:hint="default"/>
        </w:rPr>
      </w:pPr>
      <w:r>
        <w:rPr>
          <w:rFonts w:hint="default"/>
        </w:rPr>
        <w:t>参考：</w:t>
      </w:r>
      <w:r>
        <w:rPr>
          <w:rFonts w:hint="eastAsia"/>
        </w:rPr>
        <w:t>Ⅰ度・Ⅱ度・Ⅲ度高血圧の定義</w:t>
      </w:r>
    </w:p>
    <w:tbl>
      <w:tblPr>
        <w:tblStyle w:val="11"/>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Look w:firstRow="0" w:lastRow="0" w:firstColumn="0" w:lastColumn="0" w:noHBand="1" w:noVBand="1" w:val="0600"/>
      </w:tblPr>
      <w:tblGrid>
        <w:gridCol w:w="2444"/>
        <w:gridCol w:w="6909"/>
      </w:tblGrid>
      <w:tr>
        <w:trPr>
          <w:trHeight w:val="20" w:hRule="atLeast"/>
        </w:trPr>
        <w:tc>
          <w:tcPr>
            <w:tcW w:w="2444" w:type="dxa"/>
            <w:shd w:val="clear" w:color="auto" w:fill="EFEFEF"/>
            <w:tcMar>
              <w:top w:w="28" w:type="dxa"/>
              <w:left w:w="28" w:type="dxa"/>
              <w:bottom w:w="28" w:type="dxa"/>
              <w:right w:w="28" w:type="dxa"/>
            </w:tcMar>
            <w:vAlign w:val="center"/>
          </w:tcPr>
          <w:p>
            <w:pPr>
              <w:pStyle w:val="0"/>
              <w:widowControl w:val="0"/>
              <w:spacing w:line="240" w:lineRule="auto"/>
              <w:rPr>
                <w:rFonts w:hint="default"/>
                <w:b w:val="1"/>
                <w:sz w:val="14"/>
              </w:rPr>
            </w:pPr>
            <w:r>
              <w:rPr>
                <w:rFonts w:hint="eastAsia"/>
                <w:b w:val="1"/>
                <w:sz w:val="14"/>
              </w:rPr>
              <w:t>Ⅰ度高血圧</w:t>
            </w:r>
          </w:p>
        </w:tc>
        <w:tc>
          <w:tcPr>
            <w:tcW w:w="6909" w:type="dxa"/>
            <w:tcMar>
              <w:top w:w="28" w:type="dxa"/>
              <w:left w:w="28" w:type="dxa"/>
              <w:bottom w:w="28" w:type="dxa"/>
              <w:right w:w="28" w:type="dxa"/>
            </w:tcMar>
            <w:vAlign w:val="center"/>
          </w:tcPr>
          <w:p>
            <w:pPr>
              <w:pStyle w:val="0"/>
              <w:widowControl w:val="0"/>
              <w:spacing w:line="240" w:lineRule="auto"/>
              <w:rPr>
                <w:rFonts w:hint="default"/>
                <w:sz w:val="14"/>
              </w:rPr>
            </w:pPr>
            <w:r>
              <w:rPr>
                <w:rFonts w:hint="eastAsia"/>
                <w:sz w:val="14"/>
              </w:rPr>
              <w:t>収縮期血圧</w:t>
            </w:r>
            <w:r>
              <w:rPr>
                <w:rFonts w:hint="default"/>
                <w:sz w:val="14"/>
              </w:rPr>
              <w:t>140–159mmHg</w:t>
            </w:r>
            <w:r>
              <w:rPr>
                <w:rFonts w:hint="eastAsia"/>
                <w:sz w:val="14"/>
              </w:rPr>
              <w:t xml:space="preserve"> </w:t>
            </w:r>
            <w:r>
              <w:rPr>
                <w:rFonts w:hint="default"/>
                <w:sz w:val="14"/>
              </w:rPr>
              <w:t>かつ</w:t>
            </w:r>
            <w:r>
              <w:rPr>
                <w:rFonts w:hint="default"/>
                <w:sz w:val="14"/>
              </w:rPr>
              <w:t>/</w:t>
            </w:r>
            <w:r>
              <w:rPr>
                <w:rFonts w:hint="default"/>
                <w:sz w:val="14"/>
              </w:rPr>
              <w:t>または</w:t>
            </w:r>
            <w:r>
              <w:rPr>
                <w:rFonts w:hint="eastAsia"/>
                <w:sz w:val="14"/>
              </w:rPr>
              <w:t xml:space="preserve"> </w:t>
            </w:r>
            <w:r>
              <w:rPr>
                <w:rFonts w:hint="default"/>
                <w:sz w:val="14"/>
              </w:rPr>
              <w:t>拡張期血圧</w:t>
            </w:r>
            <w:r>
              <w:rPr>
                <w:rFonts w:hint="default"/>
                <w:sz w:val="14"/>
              </w:rPr>
              <w:t>90-99mmHg</w:t>
            </w:r>
          </w:p>
        </w:tc>
      </w:tr>
      <w:tr>
        <w:trPr>
          <w:trHeight w:val="20" w:hRule="atLeast"/>
        </w:trPr>
        <w:tc>
          <w:tcPr>
            <w:tcW w:w="2444" w:type="dxa"/>
            <w:shd w:val="clear" w:color="auto" w:fill="EFEFEF"/>
            <w:tcMar>
              <w:top w:w="28" w:type="dxa"/>
              <w:left w:w="28" w:type="dxa"/>
              <w:bottom w:w="28" w:type="dxa"/>
              <w:right w:w="28" w:type="dxa"/>
            </w:tcMar>
            <w:vAlign w:val="center"/>
          </w:tcPr>
          <w:p>
            <w:pPr>
              <w:pStyle w:val="0"/>
              <w:widowControl w:val="0"/>
              <w:spacing w:line="240" w:lineRule="auto"/>
              <w:rPr>
                <w:rFonts w:hint="default"/>
                <w:b w:val="1"/>
                <w:sz w:val="14"/>
              </w:rPr>
            </w:pPr>
            <w:r>
              <w:rPr>
                <w:rFonts w:hint="eastAsia"/>
                <w:b w:val="1"/>
                <w:sz w:val="14"/>
              </w:rPr>
              <w:t>Ⅱ度高血圧</w:t>
            </w:r>
          </w:p>
        </w:tc>
        <w:tc>
          <w:tcPr>
            <w:tcW w:w="6909" w:type="dxa"/>
            <w:tcMar>
              <w:top w:w="28" w:type="dxa"/>
              <w:left w:w="28" w:type="dxa"/>
              <w:bottom w:w="28" w:type="dxa"/>
              <w:right w:w="28" w:type="dxa"/>
            </w:tcMar>
            <w:vAlign w:val="center"/>
          </w:tcPr>
          <w:p>
            <w:pPr>
              <w:pStyle w:val="0"/>
              <w:widowControl w:val="0"/>
              <w:spacing w:line="240" w:lineRule="auto"/>
              <w:rPr>
                <w:rFonts w:hint="default"/>
                <w:sz w:val="14"/>
              </w:rPr>
            </w:pPr>
            <w:r>
              <w:rPr>
                <w:rFonts w:hint="eastAsia"/>
                <w:sz w:val="14"/>
              </w:rPr>
              <w:t>収縮期血圧</w:t>
            </w:r>
            <w:r>
              <w:rPr>
                <w:rFonts w:hint="default"/>
                <w:sz w:val="14"/>
              </w:rPr>
              <w:t>160–179mmHg</w:t>
            </w:r>
            <w:r>
              <w:rPr>
                <w:rFonts w:hint="eastAsia"/>
                <w:sz w:val="14"/>
              </w:rPr>
              <w:t xml:space="preserve"> </w:t>
            </w:r>
            <w:r>
              <w:rPr>
                <w:rFonts w:hint="default"/>
                <w:sz w:val="14"/>
              </w:rPr>
              <w:t>かつ</w:t>
            </w:r>
            <w:r>
              <w:rPr>
                <w:rFonts w:hint="default"/>
                <w:sz w:val="14"/>
              </w:rPr>
              <w:t>/</w:t>
            </w:r>
            <w:r>
              <w:rPr>
                <w:rFonts w:hint="default"/>
                <w:sz w:val="14"/>
              </w:rPr>
              <w:t>または</w:t>
            </w:r>
            <w:r>
              <w:rPr>
                <w:rFonts w:hint="eastAsia"/>
                <w:sz w:val="14"/>
              </w:rPr>
              <w:t xml:space="preserve"> </w:t>
            </w:r>
            <w:r>
              <w:rPr>
                <w:rFonts w:hint="default"/>
                <w:sz w:val="14"/>
              </w:rPr>
              <w:t>拡張期血圧</w:t>
            </w:r>
            <w:r>
              <w:rPr>
                <w:rFonts w:hint="default"/>
                <w:sz w:val="14"/>
              </w:rPr>
              <w:t>100-109mmHg</w:t>
            </w:r>
          </w:p>
        </w:tc>
      </w:tr>
      <w:tr>
        <w:trPr>
          <w:trHeight w:val="20" w:hRule="atLeast"/>
        </w:trPr>
        <w:tc>
          <w:tcPr>
            <w:tcW w:w="2444" w:type="dxa"/>
            <w:shd w:val="clear" w:color="auto" w:fill="EFEFEF"/>
            <w:tcMar>
              <w:top w:w="28" w:type="dxa"/>
              <w:left w:w="28" w:type="dxa"/>
              <w:bottom w:w="28" w:type="dxa"/>
              <w:right w:w="28" w:type="dxa"/>
            </w:tcMar>
            <w:vAlign w:val="center"/>
          </w:tcPr>
          <w:p>
            <w:pPr>
              <w:pStyle w:val="0"/>
              <w:widowControl w:val="0"/>
              <w:spacing w:line="240" w:lineRule="auto"/>
              <w:rPr>
                <w:rFonts w:hint="default"/>
                <w:b w:val="1"/>
                <w:sz w:val="14"/>
              </w:rPr>
            </w:pPr>
            <w:r>
              <w:rPr>
                <w:rFonts w:hint="eastAsia"/>
                <w:b w:val="1"/>
                <w:sz w:val="14"/>
              </w:rPr>
              <w:t>Ⅲ度高血圧</w:t>
            </w:r>
          </w:p>
        </w:tc>
        <w:tc>
          <w:tcPr>
            <w:tcW w:w="6909" w:type="dxa"/>
            <w:tcMar>
              <w:top w:w="28" w:type="dxa"/>
              <w:left w:w="28" w:type="dxa"/>
              <w:bottom w:w="28" w:type="dxa"/>
              <w:right w:w="28" w:type="dxa"/>
            </w:tcMar>
            <w:vAlign w:val="center"/>
          </w:tcPr>
          <w:p>
            <w:pPr>
              <w:pStyle w:val="0"/>
              <w:widowControl w:val="0"/>
              <w:spacing w:line="240" w:lineRule="auto"/>
              <w:rPr>
                <w:rFonts w:hint="default"/>
                <w:sz w:val="14"/>
              </w:rPr>
            </w:pPr>
            <w:r>
              <w:rPr>
                <w:rFonts w:hint="eastAsia"/>
                <w:sz w:val="14"/>
              </w:rPr>
              <w:t>収縮期血圧</w:t>
            </w:r>
            <w:r>
              <w:rPr>
                <w:rFonts w:hint="default"/>
                <w:sz w:val="14"/>
              </w:rPr>
              <w:t>180mmHg</w:t>
            </w:r>
            <w:r>
              <w:rPr>
                <w:rFonts w:hint="default"/>
                <w:sz w:val="14"/>
              </w:rPr>
              <w:t>以上</w:t>
            </w:r>
            <w:r>
              <w:rPr>
                <w:rFonts w:hint="eastAsia"/>
                <w:sz w:val="14"/>
              </w:rPr>
              <w:t xml:space="preserve"> </w:t>
            </w:r>
            <w:r>
              <w:rPr>
                <w:rFonts w:hint="default"/>
                <w:sz w:val="14"/>
              </w:rPr>
              <w:t>かつ</w:t>
            </w:r>
            <w:r>
              <w:rPr>
                <w:rFonts w:hint="default"/>
                <w:sz w:val="14"/>
              </w:rPr>
              <w:t>/</w:t>
            </w:r>
            <w:r>
              <w:rPr>
                <w:rFonts w:hint="default"/>
                <w:sz w:val="14"/>
              </w:rPr>
              <w:t>または</w:t>
            </w:r>
            <w:r>
              <w:rPr>
                <w:rFonts w:hint="eastAsia"/>
                <w:sz w:val="14"/>
              </w:rPr>
              <w:t xml:space="preserve"> </w:t>
            </w:r>
            <w:r>
              <w:rPr>
                <w:rFonts w:hint="default"/>
                <w:sz w:val="14"/>
              </w:rPr>
              <w:t>拡張期血圧</w:t>
            </w:r>
            <w:r>
              <w:rPr>
                <w:rFonts w:hint="default"/>
                <w:sz w:val="14"/>
              </w:rPr>
              <w:t>110mmHg</w:t>
            </w:r>
            <w:r>
              <w:rPr>
                <w:rFonts w:hint="default"/>
                <w:sz w:val="14"/>
              </w:rPr>
              <w:t>以上</w:t>
            </w:r>
          </w:p>
        </w:tc>
      </w:tr>
    </w:tbl>
    <w:p>
      <w:pPr>
        <w:pStyle w:val="40"/>
        <w:rPr>
          <w:rFonts w:hint="default"/>
        </w:rPr>
      </w:pPr>
      <w:r>
        <w:rPr>
          <w:rFonts w:hint="default"/>
        </w:rPr>
        <w:t>【出典】</w:t>
      </w:r>
      <w:r>
        <w:rPr>
          <w:rFonts w:hint="eastAsia"/>
        </w:rPr>
        <w:t>KDB</w:t>
      </w:r>
      <w:r>
        <w:rPr>
          <w:rFonts w:hint="eastAsia"/>
        </w:rPr>
        <w:t>システム</w:t>
      </w:r>
      <w:r>
        <w:rPr>
          <w:rFonts w:hint="eastAsia"/>
        </w:rPr>
        <w:t xml:space="preserve"> </w:t>
      </w:r>
      <w:r>
        <w:rPr>
          <w:rFonts w:hint="eastAsia"/>
        </w:rPr>
        <w:t>各帳票等の項目にかかる集計要件</w:t>
      </w:r>
    </w:p>
    <w:p>
      <w:pPr>
        <w:pStyle w:val="4"/>
        <w:rPr>
          <w:rFonts w:hint="default"/>
        </w:rPr>
      </w:pPr>
      <w:r>
        <w:rPr>
          <w:rFonts w:hint="eastAsia"/>
        </w:rPr>
        <w:t>受診勧奨対象者における医療機関の受診状況</w:t>
      </w:r>
    </w:p>
    <w:p>
      <w:pPr>
        <w:pStyle w:val="39"/>
        <w:ind w:firstLine="200"/>
        <w:rPr>
          <w:rFonts w:hint="default"/>
        </w:rPr>
      </w:pPr>
      <w:r>
        <w:rPr>
          <w:rFonts w:hint="eastAsia"/>
        </w:rPr>
        <w:t>ここでは、受診勧奨対象者の医療機関受診状況について概観する。受診勧奨対象者のうち医療機関への受診が確認されないもの（未治療者）の割合から、特定健診を受診し医療機関の受診が促されているにも関わらず医療機関への受診が確認されないものがどの程度存在するのかが把握できる。</w:t>
      </w:r>
    </w:p>
    <w:p>
      <w:pPr>
        <w:pStyle w:val="39"/>
        <w:ind w:firstLine="200"/>
        <w:rPr>
          <w:rFonts w:hint="default"/>
        </w:rPr>
      </w:pPr>
      <w:r>
        <w:rPr>
          <w:rFonts w:hint="eastAsia"/>
        </w:rPr>
        <w:t>受診勧奨対象者の医療機関の受診状況</w:t>
      </w:r>
      <w:r>
        <w:rPr>
          <w:rFonts w:hint="default"/>
        </w:rPr>
        <w:t>をみると</w:t>
      </w:r>
      <w:r>
        <w:rPr>
          <w:rFonts w:hint="eastAsia"/>
        </w:rPr>
        <w:t>（</w:t>
      </w:r>
      <w:r>
        <w:rPr>
          <w:rFonts w:hint="eastAsia"/>
        </w:rPr>
        <w:fldChar w:fldCharType="begin"/>
      </w:r>
      <w:r>
        <w:rPr>
          <w:rFonts w:hint="eastAsia"/>
        </w:rPr>
        <w:instrText xml:space="preserve">REF _Ref130214232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4</w:t>
      </w:r>
      <w:r>
        <w:rPr>
          <w:rFonts w:hint="eastAsia"/>
        </w:rPr>
        <w:fldChar w:fldCharType="end"/>
      </w:r>
      <w:r>
        <w:rPr>
          <w:rFonts w:hint="default"/>
        </w:rPr>
        <w:t>）、</w:t>
      </w:r>
      <w:r>
        <w:rPr>
          <w:rFonts w:hint="eastAsia"/>
        </w:rPr>
        <w:t>令和</w:t>
      </w:r>
      <w:r>
        <w:rPr>
          <w:rFonts w:hint="eastAsia"/>
        </w:rPr>
        <w:t>3</w:t>
      </w:r>
      <w:r>
        <w:rPr>
          <w:rFonts w:hint="eastAsia"/>
        </w:rPr>
        <w:t>年度の特定健診</w:t>
      </w:r>
      <w:r>
        <w:rPr>
          <w:rFonts w:hint="default"/>
        </w:rPr>
        <w:t>受診者</w:t>
      </w:r>
      <w:r>
        <w:rPr>
          <w:rFonts w:hint="default"/>
        </w:rPr>
        <w:t>3,792</w:t>
      </w:r>
      <w:r>
        <w:rPr>
          <w:rFonts w:hint="default"/>
        </w:rPr>
        <w:t>人のうち、医療機関の受診が確認されていない未治療者</w:t>
      </w:r>
      <w:r>
        <w:rPr>
          <w:rFonts w:hint="eastAsia"/>
        </w:rPr>
        <w:t>の割合は</w:t>
      </w:r>
      <w:r>
        <w:rPr>
          <w:rFonts w:hint="default"/>
        </w:rPr>
        <w:t>11.1%</w:t>
      </w:r>
      <w:r>
        <w:rPr>
          <w:rFonts w:hint="default"/>
        </w:rPr>
        <w:t>であり、国・県より高い</w:t>
      </w:r>
      <w:r>
        <w:rPr>
          <w:rFonts w:hint="eastAsia"/>
        </w:rPr>
        <w:t>。</w:t>
      </w:r>
    </w:p>
    <w:p>
      <w:pPr>
        <w:pStyle w:val="39"/>
        <w:ind w:firstLine="200"/>
        <w:rPr>
          <w:rFonts w:hint="default"/>
        </w:rPr>
      </w:pPr>
      <w:r>
        <w:rPr>
          <w:rFonts w:hint="eastAsia"/>
        </w:rPr>
        <w:t>未治療者率は、</w:t>
      </w:r>
      <w:r>
        <w:rPr>
          <w:rFonts w:hint="default"/>
        </w:rPr>
        <w:t>令和</w:t>
      </w:r>
      <w:r>
        <w:rPr>
          <w:rFonts w:hint="default"/>
        </w:rPr>
        <w:t>1</w:t>
      </w:r>
      <w:r>
        <w:rPr>
          <w:rFonts w:hint="default"/>
        </w:rPr>
        <w:t>年度と比較し</w:t>
      </w:r>
      <w:r>
        <w:rPr>
          <w:rFonts w:hint="eastAsia"/>
        </w:rPr>
        <w:t>て</w:t>
      </w:r>
      <w:r>
        <w:rPr>
          <w:rFonts w:hint="default"/>
        </w:rPr>
        <w:t>同程度で推移している。</w:t>
      </w:r>
    </w:p>
    <w:p>
      <w:pPr>
        <w:pStyle w:val="0"/>
        <w:rPr>
          <w:rFonts w:hint="default"/>
        </w:rPr>
      </w:pPr>
    </w:p>
    <w:p>
      <w:pPr>
        <w:pStyle w:val="42"/>
        <w:rPr>
          <w:rFonts w:hint="default"/>
        </w:rPr>
      </w:pPr>
      <w:r>
        <w:rPr>
          <w:rFonts w:hint="eastAsia"/>
        </w:rPr>
        <w:t>※未治療者：特定健診受診者のうち、受診</w:t>
      </w:r>
      <w:r>
        <w:rPr>
          <w:rFonts w:hint="default"/>
        </w:rPr>
        <w:t>勧奨対象者</w:t>
      </w:r>
      <w:r>
        <w:rPr>
          <w:rFonts w:hint="eastAsia"/>
        </w:rPr>
        <w:t>かつ特定健診実施から</w:t>
      </w:r>
      <w:r>
        <w:rPr>
          <w:rFonts w:hint="default"/>
        </w:rPr>
        <w:t>6</w:t>
      </w:r>
      <w:r>
        <w:rPr>
          <w:rFonts w:hint="default"/>
        </w:rPr>
        <w:t>か月以内に医療機関を受診していない者</w:t>
      </w:r>
    </w:p>
    <w:p>
      <w:pPr>
        <w:pStyle w:val="0"/>
        <w:rPr>
          <w:rFonts w:hint="default"/>
        </w:rPr>
      </w:pPr>
    </w:p>
    <w:p>
      <w:pPr>
        <w:pStyle w:val="38"/>
        <w:rPr>
          <w:rFonts w:hint="default"/>
        </w:rPr>
      </w:pPr>
      <w:bookmarkStart w:id="79" w:name="_Ref13021423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79"/>
      <w:r>
        <w:rPr>
          <w:rFonts w:hint="default"/>
        </w:rPr>
        <w:t>：受診勧奨対象者</w:t>
      </w:r>
      <w:r>
        <w:rPr>
          <w:rFonts w:hint="eastAsia"/>
        </w:rPr>
        <w:t>における未治療者率</w:t>
      </w:r>
    </w:p>
    <w:p>
      <w:pPr>
        <w:pStyle w:val="0"/>
        <w:rPr>
          <w:rFonts w:hint="default"/>
        </w:rPr>
      </w:pPr>
      <w:r>
        <w:rPr>
          <w:rFonts w:hint="default"/>
        </w:rPr>
        <w:drawing>
          <wp:inline distT="0" distB="0" distL="0" distR="0">
            <wp:extent cx="5939790" cy="2519680"/>
            <wp:effectExtent l="0" t="0" r="0" b="0"/>
            <wp:docPr id="1080" name="オブジェクト 0"/>
            <a:graphic xmlns:a="http://schemas.openxmlformats.org/drawingml/2006/main">
              <a:graphicData uri="http://schemas.openxmlformats.org/drawingml/2006/chart">
                <c:chart xmlns:c="http://schemas.openxmlformats.org/drawingml/2006/chart" r:id="rId35"/>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24"/>
        <w:gridCol w:w="2499"/>
        <w:gridCol w:w="1279"/>
        <w:gridCol w:w="1279"/>
        <w:gridCol w:w="1279"/>
        <w:gridCol w:w="1515"/>
      </w:tblGrid>
      <w:tr>
        <w:trPr>
          <w:trHeight w:val="20" w:hRule="atLeast"/>
        </w:trPr>
        <w:tc>
          <w:tcPr>
            <w:tcW w:w="2146" w:type="pct"/>
            <w:gridSpan w:val="2"/>
            <w:shd w:val="clear" w:color="auto" w:fill="CCD6FF"/>
            <w:tcMar>
              <w:top w:w="28" w:type="dxa"/>
              <w:left w:w="28" w:type="dxa"/>
              <w:bottom w:w="28" w:type="dxa"/>
              <w:right w:w="28" w:type="dxa"/>
            </w:tcMar>
            <w:vAlign w:val="center"/>
          </w:tcPr>
          <w:p>
            <w:pPr>
              <w:pStyle w:val="0"/>
              <w:jc w:val="center"/>
              <w:rPr>
                <w:rFonts w:hint="default"/>
              </w:rPr>
            </w:pPr>
          </w:p>
        </w:tc>
        <w:tc>
          <w:tcPr>
            <w:tcW w:w="682"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1</w:t>
            </w:r>
            <w:r>
              <w:rPr>
                <w:rFonts w:hint="default"/>
                <w:b w:val="1"/>
              </w:rPr>
              <w:t>年度</w:t>
            </w:r>
          </w:p>
        </w:tc>
        <w:tc>
          <w:tcPr>
            <w:tcW w:w="682"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2</w:t>
            </w:r>
            <w:r>
              <w:rPr>
                <w:rFonts w:hint="default"/>
                <w:b w:val="1"/>
              </w:rPr>
              <w:t>年度</w:t>
            </w:r>
          </w:p>
        </w:tc>
        <w:tc>
          <w:tcPr>
            <w:tcW w:w="682"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3</w:t>
            </w:r>
            <w:r>
              <w:rPr>
                <w:rFonts w:hint="default"/>
                <w:b w:val="1"/>
              </w:rPr>
              <w:t>年度</w:t>
            </w:r>
          </w:p>
        </w:tc>
        <w:tc>
          <w:tcPr>
            <w:tcW w:w="808" w:type="pct"/>
            <w:shd w:val="clear" w:color="auto" w:fill="F2F2F2"/>
            <w:tcMar>
              <w:top w:w="28" w:type="dxa"/>
              <w:left w:w="28" w:type="dxa"/>
              <w:bottom w:w="28" w:type="dxa"/>
              <w:right w:w="28" w:type="dxa"/>
            </w:tcMar>
            <w:vAlign w:val="center"/>
          </w:tcPr>
          <w:p>
            <w:pPr>
              <w:pStyle w:val="0"/>
              <w:jc w:val="center"/>
              <w:rPr>
                <w:rFonts w:hint="default"/>
                <w:b w:val="1"/>
              </w:rPr>
            </w:pPr>
            <w:r>
              <w:rPr>
                <w:rFonts w:hint="default"/>
                <w:b w:val="1"/>
                <w:sz w:val="14"/>
              </w:rPr>
              <w:t>令和</w:t>
            </w:r>
            <w:r>
              <w:rPr>
                <w:rFonts w:hint="default"/>
                <w:b w:val="1"/>
                <w:sz w:val="14"/>
              </w:rPr>
              <w:t>1</w:t>
            </w:r>
            <w:r>
              <w:rPr>
                <w:rFonts w:hint="default"/>
                <w:b w:val="1"/>
                <w:sz w:val="14"/>
              </w:rPr>
              <w:t>年度と</w:t>
            </w:r>
            <w:r>
              <w:rPr>
                <w:rFonts w:hint="eastAsia"/>
                <w:b w:val="1"/>
                <w:sz w:val="14"/>
              </w:rPr>
              <w:t>令和</w:t>
            </w:r>
            <w:r>
              <w:rPr>
                <w:rFonts w:hint="eastAsia"/>
                <w:b w:val="1"/>
                <w:sz w:val="14"/>
              </w:rPr>
              <w:t>3</w:t>
            </w:r>
            <w:r>
              <w:rPr>
                <w:rFonts w:hint="eastAsia"/>
                <w:b w:val="1"/>
                <w:sz w:val="14"/>
              </w:rPr>
              <w:t>年度</w:t>
            </w:r>
            <w:r>
              <w:rPr>
                <w:rFonts w:hint="default"/>
                <w:b w:val="1"/>
                <w:sz w:val="14"/>
              </w:rPr>
              <w:t>の未治療</w:t>
            </w:r>
            <w:r>
              <w:rPr>
                <w:rFonts w:hint="eastAsia"/>
                <w:b w:val="1"/>
                <w:sz w:val="14"/>
              </w:rPr>
              <w:t>者</w:t>
            </w:r>
            <w:r>
              <w:rPr>
                <w:rFonts w:hint="default"/>
                <w:b w:val="1"/>
                <w:sz w:val="14"/>
              </w:rPr>
              <w:t>率の</w:t>
            </w:r>
            <w:r>
              <w:rPr>
                <w:rFonts w:hint="eastAsia"/>
                <w:b w:val="1"/>
                <w:sz w:val="14"/>
              </w:rPr>
              <w:t>差</w:t>
            </w:r>
          </w:p>
        </w:tc>
      </w:tr>
      <w:tr>
        <w:trPr>
          <w:trHeight w:val="20" w:hRule="atLeast"/>
        </w:trPr>
        <w:tc>
          <w:tcPr>
            <w:tcW w:w="2146" w:type="pct"/>
            <w:gridSpan w:val="2"/>
            <w:shd w:val="clear" w:color="auto" w:fill="auto"/>
            <w:tcMar>
              <w:top w:w="28" w:type="dxa"/>
              <w:left w:w="28" w:type="dxa"/>
              <w:bottom w:w="28" w:type="dxa"/>
              <w:right w:w="28" w:type="dxa"/>
            </w:tcMar>
            <w:vAlign w:val="center"/>
          </w:tcPr>
          <w:p>
            <w:pPr>
              <w:pStyle w:val="0"/>
              <w:rPr>
                <w:rFonts w:hint="default"/>
              </w:rPr>
            </w:pPr>
            <w:r>
              <w:rPr>
                <w:rFonts w:hint="eastAsia"/>
              </w:rPr>
              <w:t>特定</w:t>
            </w:r>
            <w:r>
              <w:rPr>
                <w:rFonts w:hint="default"/>
              </w:rPr>
              <w:t>健診受診者数（人）</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4,906</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2,641</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3,792</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2146" w:type="pct"/>
            <w:gridSpan w:val="2"/>
            <w:shd w:val="clear" w:color="auto" w:fill="auto"/>
            <w:tcMar>
              <w:top w:w="28" w:type="dxa"/>
              <w:left w:w="28" w:type="dxa"/>
              <w:bottom w:w="28" w:type="dxa"/>
              <w:right w:w="28" w:type="dxa"/>
            </w:tcMar>
            <w:vAlign w:val="center"/>
          </w:tcPr>
          <w:p>
            <w:pPr>
              <w:pStyle w:val="0"/>
              <w:rPr>
                <w:rFonts w:hint="default"/>
              </w:rPr>
            </w:pPr>
            <w:r>
              <w:rPr>
                <w:rFonts w:hint="default"/>
              </w:rPr>
              <w:t>（参考）</w:t>
            </w:r>
            <w:r>
              <w:rPr>
                <w:rFonts w:hint="eastAsia"/>
              </w:rPr>
              <w:t>医療機関への</w:t>
            </w:r>
            <w:r>
              <w:rPr>
                <w:rFonts w:hint="default"/>
              </w:rPr>
              <w:t>受診勧奨対象者数（人）</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2,576</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1,562</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2,128</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2146" w:type="pct"/>
            <w:gridSpan w:val="2"/>
            <w:shd w:val="clear" w:color="auto" w:fill="auto"/>
            <w:tcMar>
              <w:top w:w="28" w:type="dxa"/>
              <w:left w:w="28" w:type="dxa"/>
              <w:bottom w:w="28" w:type="dxa"/>
              <w:right w:w="28" w:type="dxa"/>
            </w:tcMar>
            <w:vAlign w:val="center"/>
          </w:tcPr>
          <w:p>
            <w:pPr>
              <w:pStyle w:val="0"/>
              <w:rPr>
                <w:rFonts w:hint="default"/>
              </w:rPr>
            </w:pPr>
            <w:r>
              <w:rPr>
                <w:rFonts w:hint="default"/>
              </w:rPr>
              <w:t>未治療者数（人）</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543</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311</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421</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813"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未治療</w:t>
            </w:r>
            <w:r>
              <w:rPr>
                <w:rFonts w:hint="eastAsia"/>
              </w:rPr>
              <w:t>者</w:t>
            </w:r>
            <w:r>
              <w:rPr>
                <w:rFonts w:hint="default"/>
              </w:rPr>
              <w:t>率</w:t>
            </w:r>
          </w:p>
        </w:tc>
        <w:tc>
          <w:tcPr>
            <w:tcW w:w="1333" w:type="pct"/>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11.8%</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813" w:type="pct"/>
            <w:vMerge w:val="continue"/>
            <w:tcMar>
              <w:top w:w="28" w:type="dxa"/>
              <w:left w:w="28" w:type="dxa"/>
              <w:bottom w:w="28" w:type="dxa"/>
              <w:right w:w="28" w:type="dxa"/>
            </w:tcMar>
            <w:vAlign w:val="center"/>
          </w:tcPr>
          <w:p>
            <w:pPr>
              <w:pStyle w:val="0"/>
              <w:rPr>
                <w:rFonts w:hint="default"/>
              </w:rPr>
            </w:pPr>
          </w:p>
        </w:tc>
        <w:tc>
          <w:tcPr>
            <w:tcW w:w="1333"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5.9%</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5.9%</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r>
      <w:tr>
        <w:trPr>
          <w:trHeight w:val="20" w:hRule="atLeast"/>
        </w:trPr>
        <w:tc>
          <w:tcPr>
            <w:tcW w:w="813" w:type="pct"/>
            <w:vMerge w:val="continue"/>
            <w:tcMar>
              <w:top w:w="28" w:type="dxa"/>
              <w:left w:w="28" w:type="dxa"/>
              <w:bottom w:w="28" w:type="dxa"/>
              <w:right w:w="28" w:type="dxa"/>
            </w:tcMar>
            <w:vAlign w:val="center"/>
          </w:tcPr>
          <w:p>
            <w:pPr>
              <w:pStyle w:val="0"/>
              <w:rPr>
                <w:rFonts w:hint="default"/>
              </w:rPr>
            </w:pPr>
          </w:p>
        </w:tc>
        <w:tc>
          <w:tcPr>
            <w:tcW w:w="1333"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32" w:hRule="atLeast"/>
        </w:trPr>
        <w:tc>
          <w:tcPr>
            <w:tcW w:w="813" w:type="pct"/>
            <w:vMerge w:val="continue"/>
            <w:tcMar>
              <w:top w:w="28" w:type="dxa"/>
              <w:left w:w="28" w:type="dxa"/>
              <w:bottom w:w="28" w:type="dxa"/>
              <w:right w:w="28" w:type="dxa"/>
            </w:tcMar>
            <w:vAlign w:val="center"/>
          </w:tcPr>
          <w:p>
            <w:pPr>
              <w:pStyle w:val="0"/>
              <w:rPr>
                <w:rFonts w:hint="default"/>
              </w:rPr>
            </w:pPr>
          </w:p>
        </w:tc>
        <w:tc>
          <w:tcPr>
            <w:tcW w:w="1333" w:type="pct"/>
            <w:shd w:val="clear" w:color="auto" w:fill="auto"/>
            <w:tcMar>
              <w:top w:w="28" w:type="dxa"/>
              <w:left w:w="28" w:type="dxa"/>
              <w:bottom w:w="28" w:type="dxa"/>
              <w:right w:w="28" w:type="dxa"/>
            </w:tcMar>
            <w:vAlign w:val="center"/>
          </w:tcPr>
          <w:p>
            <w:pPr>
              <w:pStyle w:val="0"/>
              <w:rPr>
                <w:rFonts w:hint="default"/>
              </w:rPr>
            </w:pPr>
            <w:r>
              <w:rPr>
                <w:rFonts w:hint="default"/>
              </w:rPr>
              <w:t>同規模</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6.7%</w:t>
            </w:r>
          </w:p>
        </w:tc>
        <w:tc>
          <w:tcPr>
            <w:tcW w:w="682" w:type="pct"/>
            <w:shd w:val="clear" w:color="auto" w:fill="auto"/>
            <w:tcMar>
              <w:top w:w="28" w:type="dxa"/>
              <w:left w:w="28" w:type="dxa"/>
              <w:bottom w:w="28" w:type="dxa"/>
              <w:right w:w="28" w:type="dxa"/>
            </w:tcMar>
            <w:vAlign w:val="center"/>
          </w:tcPr>
          <w:p>
            <w:pPr>
              <w:pStyle w:val="0"/>
              <w:jc w:val="right"/>
              <w:rPr>
                <w:rFonts w:hint="default"/>
              </w:rPr>
            </w:pPr>
            <w:r>
              <w:rPr>
                <w:rFonts w:hint="default"/>
              </w:rPr>
              <w:t>7.1%</w:t>
            </w:r>
          </w:p>
        </w:tc>
        <w:tc>
          <w:tcPr>
            <w:tcW w:w="808"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1</w:t>
      </w:r>
      <w:r>
        <w:rPr>
          <w:rFonts w:hint="default"/>
        </w:rPr>
        <w:t>年度から</w:t>
      </w:r>
      <w:r>
        <w:rPr>
          <w:rFonts w:hint="eastAsia"/>
        </w:rPr>
        <w:t>令和</w:t>
      </w:r>
      <w:r>
        <w:rPr>
          <w:rFonts w:hint="eastAsia"/>
        </w:rPr>
        <w:t>3</w:t>
      </w:r>
      <w:r>
        <w:rPr>
          <w:rFonts w:hint="eastAsia"/>
        </w:rPr>
        <w:t>年度</w:t>
      </w:r>
      <w:r>
        <w:rPr>
          <w:rFonts w:hint="eastAsia"/>
        </w:rPr>
        <w:t xml:space="preserve"> </w:t>
      </w:r>
      <w:r>
        <w:rPr>
          <w:rFonts w:hint="default"/>
        </w:rPr>
        <w:t>累計</w:t>
      </w:r>
    </w:p>
    <w:p>
      <w:pPr>
        <w:pStyle w:val="0"/>
        <w:rPr>
          <w:rFonts w:hint="default"/>
          <w:sz w:val="18"/>
        </w:rPr>
      </w:pPr>
      <w:r>
        <w:rPr>
          <w:rFonts w:hint="default"/>
        </w:rPr>
        <w:br w:type="page"/>
      </w:r>
    </w:p>
    <w:p>
      <w:pPr>
        <w:pStyle w:val="4"/>
        <w:rPr>
          <w:rFonts w:hint="default"/>
        </w:rPr>
      </w:pPr>
      <w:r>
        <w:rPr>
          <w:rFonts w:hint="eastAsia"/>
        </w:rPr>
        <w:t>受診勧奨対象者における服薬状況【県の共通指標】</w:t>
      </w:r>
    </w:p>
    <w:p>
      <w:pPr>
        <w:pStyle w:val="39"/>
        <w:ind w:firstLine="200"/>
        <w:rPr>
          <w:rFonts w:hint="default"/>
        </w:rPr>
      </w:pPr>
      <w:r>
        <w:rPr>
          <w:rFonts w:hint="eastAsia"/>
        </w:rPr>
        <w:t>次に、血糖、血圧、脂質及び腎機能の受診勧奨対象者について、検査値ごとに健診受診年度のレセプトにおける服薬状況をみる（</w:t>
      </w:r>
      <w:r>
        <w:rPr>
          <w:rFonts w:hint="eastAsia"/>
        </w:rPr>
        <w:fldChar w:fldCharType="begin"/>
      </w:r>
      <w:r>
        <w:rPr>
          <w:rFonts w:hint="eastAsia"/>
        </w:rPr>
        <w:instrText xml:space="preserve">REF _Ref130214337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5</w:t>
      </w:r>
      <w:r>
        <w:rPr>
          <w:rFonts w:hint="eastAsia"/>
        </w:rPr>
        <w:fldChar w:fldCharType="end"/>
      </w:r>
      <w:r>
        <w:rPr>
          <w:rFonts w:hint="default"/>
        </w:rPr>
        <w:t>）</w:t>
      </w:r>
      <w:r>
        <w:rPr>
          <w:rFonts w:hint="eastAsia"/>
        </w:rPr>
        <w:t>。受診勧奨対象者のうち、特に検査値が高いものは服薬による治療が必要な可能性があり、レセプトから服薬が確認されない場合、医療機関の受診を促す必要がある。</w:t>
      </w:r>
    </w:p>
    <w:p>
      <w:pPr>
        <w:pStyle w:val="39"/>
        <w:ind w:firstLine="200"/>
        <w:rPr>
          <w:rFonts w:hint="default"/>
        </w:rPr>
      </w:pPr>
      <w:r>
        <w:rPr>
          <w:rFonts w:hint="eastAsia"/>
        </w:rPr>
        <w:t>令和</w:t>
      </w:r>
      <w:r>
        <w:rPr>
          <w:rFonts w:hint="eastAsia"/>
        </w:rPr>
        <w:t>4</w:t>
      </w:r>
      <w:r>
        <w:rPr>
          <w:rFonts w:hint="eastAsia"/>
        </w:rPr>
        <w:t>年度の健診において、血糖が</w:t>
      </w:r>
      <w:r>
        <w:rPr>
          <w:rFonts w:hint="eastAsia"/>
        </w:rPr>
        <w:t>H</w:t>
      </w:r>
      <w:r>
        <w:rPr>
          <w:rFonts w:hint="default"/>
        </w:rPr>
        <w:t>bA1c</w:t>
      </w:r>
      <w:r>
        <w:rPr>
          <w:rFonts w:hint="eastAsia"/>
        </w:rPr>
        <w:t>6.5</w:t>
      </w:r>
      <w:r>
        <w:rPr>
          <w:rFonts w:hint="default"/>
        </w:rPr>
        <w:t>%</w:t>
      </w:r>
      <w:r>
        <w:rPr>
          <w:rFonts w:hint="eastAsia"/>
        </w:rPr>
        <w:t>以上であった</w:t>
      </w:r>
      <w:r>
        <w:rPr>
          <w:rFonts w:hint="eastAsia"/>
        </w:rPr>
        <w:t>312</w:t>
      </w:r>
      <w:r>
        <w:rPr>
          <w:rFonts w:hint="eastAsia"/>
        </w:rPr>
        <w:t>人の</w:t>
      </w:r>
      <w:r>
        <w:rPr>
          <w:rFonts w:hint="default"/>
        </w:rPr>
        <w:t>28.8%</w:t>
      </w:r>
      <w:r>
        <w:rPr>
          <w:rFonts w:hint="eastAsia"/>
        </w:rPr>
        <w:t>が、血圧がⅠ度高血圧以上であった</w:t>
      </w:r>
      <w:r>
        <w:rPr>
          <w:rFonts w:hint="eastAsia"/>
        </w:rPr>
        <w:t>510</w:t>
      </w:r>
      <w:r>
        <w:rPr>
          <w:rFonts w:hint="eastAsia"/>
        </w:rPr>
        <w:t>人の</w:t>
      </w:r>
      <w:r>
        <w:rPr>
          <w:rFonts w:hint="default"/>
        </w:rPr>
        <w:t>59.2%</w:t>
      </w:r>
      <w:r>
        <w:rPr>
          <w:rFonts w:hint="eastAsia"/>
        </w:rPr>
        <w:t>が、脂質が</w:t>
      </w:r>
      <w:r>
        <w:rPr>
          <w:rFonts w:hint="eastAsia"/>
        </w:rPr>
        <w:t>L</w:t>
      </w:r>
      <w:r>
        <w:rPr>
          <w:rFonts w:hint="default"/>
        </w:rPr>
        <w:t>DL-C1</w:t>
      </w:r>
      <w:r>
        <w:rPr>
          <w:rFonts w:hint="eastAsia"/>
        </w:rPr>
        <w:t>4</w:t>
      </w:r>
      <w:r>
        <w:rPr>
          <w:rFonts w:hint="default"/>
        </w:rPr>
        <w:t>0mg/d</w:t>
      </w:r>
      <w:r>
        <w:rPr>
          <w:rFonts w:hint="eastAsia"/>
        </w:rPr>
        <w:t>L</w:t>
      </w:r>
      <w:r>
        <w:rPr>
          <w:rFonts w:hint="eastAsia"/>
        </w:rPr>
        <w:t>以上であった</w:t>
      </w:r>
      <w:r>
        <w:rPr>
          <w:rFonts w:hint="default"/>
        </w:rPr>
        <w:t>1,016</w:t>
      </w:r>
      <w:r>
        <w:rPr>
          <w:rFonts w:hint="default"/>
        </w:rPr>
        <w:t>人</w:t>
      </w:r>
      <w:r>
        <w:rPr>
          <w:rFonts w:hint="eastAsia"/>
        </w:rPr>
        <w:t>の</w:t>
      </w:r>
      <w:r>
        <w:rPr>
          <w:rFonts w:hint="default"/>
        </w:rPr>
        <w:t>86.2%</w:t>
      </w:r>
      <w:r>
        <w:rPr>
          <w:rFonts w:hint="eastAsia"/>
        </w:rPr>
        <w:t>が服薬をしていない。</w:t>
      </w:r>
    </w:p>
    <w:p>
      <w:pPr>
        <w:pStyle w:val="39"/>
        <w:ind w:firstLine="200"/>
        <w:rPr>
          <w:rFonts w:hint="default"/>
        </w:rPr>
      </w:pPr>
      <w:r>
        <w:rPr>
          <w:rFonts w:hint="eastAsia"/>
        </w:rPr>
        <w:t>また、腎機能については、</w:t>
      </w:r>
      <w:r>
        <w:rPr>
          <w:rFonts w:hint="eastAsia"/>
        </w:rPr>
        <w:t>e</w:t>
      </w:r>
      <w:r>
        <w:rPr>
          <w:rFonts w:hint="default"/>
        </w:rPr>
        <w:t>GFR</w:t>
      </w:r>
      <w:r>
        <w:rPr>
          <w:rFonts w:hint="eastAsia"/>
        </w:rPr>
        <w:t>4</w:t>
      </w:r>
      <w:r>
        <w:rPr>
          <w:rFonts w:hint="default"/>
        </w:rPr>
        <w:t>5ml/</w:t>
      </w:r>
      <w:r>
        <w:rPr>
          <w:rFonts w:hint="eastAsia"/>
        </w:rPr>
        <w:t>分</w:t>
      </w:r>
      <w:r>
        <w:rPr>
          <w:rFonts w:hint="eastAsia"/>
        </w:rPr>
        <w:t>/</w:t>
      </w:r>
      <w:r>
        <w:rPr>
          <w:rFonts w:hint="default"/>
        </w:rPr>
        <w:t>1.73m</w:t>
      </w:r>
      <w:r>
        <w:rPr>
          <w:rFonts w:hint="default"/>
          <w:vertAlign w:val="superscript"/>
        </w:rPr>
        <w:t>2</w:t>
      </w:r>
      <w:r>
        <w:rPr>
          <w:rFonts w:hint="eastAsia"/>
        </w:rPr>
        <w:t>未満であった</w:t>
      </w:r>
      <w:r>
        <w:rPr>
          <w:rFonts w:hint="eastAsia"/>
        </w:rPr>
        <w:t>32</w:t>
      </w:r>
      <w:r>
        <w:rPr>
          <w:rFonts w:hint="eastAsia"/>
        </w:rPr>
        <w:t>人の</w:t>
      </w:r>
      <w:r>
        <w:rPr>
          <w:rFonts w:hint="default"/>
        </w:rPr>
        <w:t>6.3%</w:t>
      </w:r>
      <w:r>
        <w:rPr>
          <w:rFonts w:hint="eastAsia"/>
        </w:rPr>
        <w:t>が血糖や血圧などの薬剤の服薬をしていない。</w:t>
      </w:r>
    </w:p>
    <w:p>
      <w:pPr>
        <w:pStyle w:val="39"/>
        <w:ind w:firstLine="200"/>
        <w:rPr>
          <w:rFonts w:hint="default"/>
        </w:rPr>
      </w:pPr>
      <w:r>
        <w:rPr>
          <w:rFonts w:hint="eastAsia"/>
        </w:rPr>
        <w:t>県の共通指標である受診勧奨対象者のうち糖尿病・高血圧・脂質異常症での医療機関受診割合の経年推移</w:t>
      </w:r>
      <w:r>
        <w:rPr>
          <w:rFonts w:hint="eastAsia"/>
        </w:rPr>
        <w:t>(</w:t>
      </w:r>
      <w:r>
        <w:rPr>
          <w:rFonts w:hint="eastAsia"/>
        </w:rPr>
        <w:fldChar w:fldCharType="begin"/>
      </w:r>
      <w:r>
        <w:rPr>
          <w:rFonts w:hint="eastAsia"/>
        </w:rPr>
        <w:instrText xml:space="preserve">REF _Ref130884588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6</w:t>
      </w:r>
      <w:r>
        <w:rPr>
          <w:rFonts w:hint="eastAsia"/>
        </w:rPr>
        <w:fldChar w:fldCharType="end"/>
      </w:r>
      <w:r>
        <w:rPr>
          <w:rFonts w:hint="eastAsia"/>
        </w:rPr>
        <w:t>・</w:t>
      </w:r>
      <w:r>
        <w:rPr>
          <w:rFonts w:hint="eastAsia"/>
        </w:rPr>
        <w:fldChar w:fldCharType="begin"/>
      </w:r>
      <w:r>
        <w:rPr>
          <w:rFonts w:hint="eastAsia"/>
        </w:rPr>
        <w:instrText xml:space="preserve">REF _Ref130884935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7</w:t>
      </w:r>
      <w:r>
        <w:rPr>
          <w:rFonts w:hint="eastAsia"/>
        </w:rPr>
        <w:fldChar w:fldCharType="end"/>
      </w:r>
      <w:r>
        <w:rPr>
          <w:rFonts w:hint="eastAsia"/>
        </w:rPr>
        <w:t>・</w:t>
      </w:r>
      <w:r>
        <w:rPr>
          <w:rFonts w:hint="eastAsia"/>
        </w:rPr>
        <w:fldChar w:fldCharType="begin"/>
      </w:r>
      <w:r>
        <w:rPr>
          <w:rFonts w:hint="eastAsia"/>
        </w:rPr>
        <w:instrText xml:space="preserve">REF _Ref143267360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8</w:t>
      </w:r>
      <w:r>
        <w:rPr>
          <w:rFonts w:hint="eastAsia"/>
        </w:rPr>
        <w:fldChar w:fldCharType="end"/>
      </w:r>
      <w:r>
        <w:rPr>
          <w:rFonts w:hint="eastAsia"/>
        </w:rPr>
        <w:t>)</w:t>
      </w:r>
      <w:r>
        <w:rPr>
          <w:rFonts w:hint="eastAsia"/>
        </w:rPr>
        <w:t>をみると、糖尿病では令和</w:t>
      </w:r>
      <w:r>
        <w:rPr>
          <w:rFonts w:hint="eastAsia"/>
        </w:rPr>
        <w:t>1</w:t>
      </w:r>
      <w:r>
        <w:rPr>
          <w:rFonts w:hint="eastAsia"/>
        </w:rPr>
        <w:t>年</w:t>
      </w:r>
      <w:r>
        <w:rPr>
          <w:rFonts w:hint="default"/>
        </w:rPr>
        <w:t>度以降増加</w:t>
      </w:r>
      <w:r>
        <w:rPr>
          <w:rFonts w:hint="eastAsia"/>
        </w:rPr>
        <w:t>しており、高血圧では減少しており、脂質異常症では</w:t>
      </w:r>
      <w:r>
        <w:rPr>
          <w:rFonts w:hint="default"/>
        </w:rPr>
        <w:t>減少している。</w:t>
      </w:r>
    </w:p>
    <w:p>
      <w:pPr>
        <w:pStyle w:val="0"/>
        <w:rPr>
          <w:rFonts w:hint="default"/>
        </w:rPr>
      </w:pPr>
    </w:p>
    <w:p>
      <w:pPr>
        <w:pStyle w:val="38"/>
        <w:rPr>
          <w:rFonts w:hint="default"/>
        </w:rPr>
      </w:pPr>
      <w:bookmarkStart w:id="80" w:name="_Ref13021433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5</w:t>
      </w:r>
      <w:r>
        <w:rPr>
          <w:rFonts w:hint="eastAsia"/>
        </w:rPr>
        <w:fldChar w:fldCharType="end"/>
      </w:r>
      <w:bookmarkEnd w:id="80"/>
      <w:r>
        <w:rPr>
          <w:rFonts w:hint="default"/>
        </w:rPr>
        <w:t>：</w:t>
      </w:r>
      <w:r>
        <w:rPr>
          <w:rFonts w:hint="eastAsia"/>
        </w:rPr>
        <w:t>特定健診受診者における受診勧奨対象者（血糖・血圧・脂質・腎機能）の服薬状況</w:t>
      </w:r>
    </w:p>
    <w:tbl>
      <w:tblPr>
        <w:tblStyle w:val="172"/>
        <w:tblW w:w="5000" w:type="pct"/>
        <w:tblInd w:w="0" w:type="dxa"/>
        <w:tblLayout w:type="fixed"/>
        <w:tblLook w:firstRow="1" w:lastRow="0" w:firstColumn="1" w:lastColumn="0" w:noHBand="0" w:noVBand="1" w:val="04A0"/>
      </w:tblPr>
      <w:tblGrid>
        <w:gridCol w:w="2343"/>
        <w:gridCol w:w="2344"/>
        <w:gridCol w:w="2344"/>
        <w:gridCol w:w="2344"/>
      </w:tblGrid>
      <w:tr>
        <w:trPr/>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血糖（</w:t>
            </w:r>
            <w:r>
              <w:rPr>
                <w:rFonts w:hint="eastAsia"/>
                <w:b w:val="1"/>
              </w:rPr>
              <w:t>HbA1c</w:t>
            </w:r>
            <w:r>
              <w:rPr>
                <w:rFonts w:hint="eastAsia"/>
                <w:b w:val="1"/>
              </w:rPr>
              <w:t>）</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該当者数（人）</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人数（人）</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割合</w:t>
            </w:r>
          </w:p>
        </w:tc>
      </w:tr>
      <w:tr>
        <w:trPr/>
        <w:tc>
          <w:tcPr>
            <w:tcW w:w="1250" w:type="pct"/>
            <w:tcMar>
              <w:top w:w="28" w:type="dxa"/>
              <w:left w:w="28" w:type="dxa"/>
              <w:bottom w:w="28" w:type="dxa"/>
              <w:right w:w="28" w:type="dxa"/>
            </w:tcMar>
            <w:vAlign w:val="center"/>
          </w:tcPr>
          <w:p>
            <w:pPr>
              <w:pStyle w:val="0"/>
              <w:rPr>
                <w:rFonts w:hint="default"/>
              </w:rPr>
            </w:pPr>
            <w:r>
              <w:rPr>
                <w:rFonts w:hint="eastAsia"/>
              </w:rPr>
              <w:t>6.5%</w:t>
            </w:r>
            <w:r>
              <w:rPr>
                <w:rFonts w:hint="eastAsia"/>
              </w:rPr>
              <w:t>以上</w:t>
            </w:r>
            <w:r>
              <w:rPr>
                <w:rFonts w:hint="eastAsia"/>
              </w:rPr>
              <w:t>7.0%</w:t>
            </w:r>
            <w:r>
              <w:rPr>
                <w:rFonts w:hint="eastAsia"/>
              </w:rPr>
              <w:t>未満</w:t>
            </w:r>
          </w:p>
        </w:tc>
        <w:tc>
          <w:tcPr>
            <w:tcW w:w="1250" w:type="pct"/>
            <w:tcMar>
              <w:top w:w="28" w:type="dxa"/>
              <w:left w:w="28" w:type="dxa"/>
              <w:bottom w:w="28" w:type="dxa"/>
              <w:right w:w="28" w:type="dxa"/>
            </w:tcMar>
            <w:vAlign w:val="center"/>
          </w:tcPr>
          <w:p>
            <w:pPr>
              <w:pStyle w:val="0"/>
              <w:jc w:val="right"/>
              <w:rPr>
                <w:rFonts w:hint="default"/>
              </w:rPr>
            </w:pPr>
            <w:r>
              <w:rPr>
                <w:rFonts w:hint="eastAsia"/>
              </w:rPr>
              <w:t>170</w:t>
            </w:r>
          </w:p>
        </w:tc>
        <w:tc>
          <w:tcPr>
            <w:tcW w:w="1250" w:type="pct"/>
            <w:tcMar>
              <w:top w:w="28" w:type="dxa"/>
              <w:left w:w="28" w:type="dxa"/>
              <w:bottom w:w="28" w:type="dxa"/>
              <w:right w:w="28" w:type="dxa"/>
            </w:tcMar>
            <w:vAlign w:val="center"/>
          </w:tcPr>
          <w:p>
            <w:pPr>
              <w:pStyle w:val="0"/>
              <w:jc w:val="right"/>
              <w:rPr>
                <w:rFonts w:hint="default"/>
              </w:rPr>
            </w:pPr>
            <w:r>
              <w:rPr>
                <w:rFonts w:hint="eastAsia"/>
              </w:rPr>
              <w:t>68</w:t>
            </w:r>
          </w:p>
        </w:tc>
        <w:tc>
          <w:tcPr>
            <w:tcW w:w="1250" w:type="pct"/>
            <w:tcMar>
              <w:top w:w="28" w:type="dxa"/>
              <w:left w:w="28" w:type="dxa"/>
              <w:bottom w:w="28" w:type="dxa"/>
              <w:right w:w="28" w:type="dxa"/>
            </w:tcMar>
            <w:vAlign w:val="center"/>
          </w:tcPr>
          <w:p>
            <w:pPr>
              <w:pStyle w:val="0"/>
              <w:jc w:val="right"/>
              <w:rPr>
                <w:rFonts w:hint="default"/>
              </w:rPr>
            </w:pPr>
            <w:r>
              <w:rPr>
                <w:rFonts w:hint="default"/>
              </w:rPr>
              <w:t>40.0%</w:t>
            </w:r>
          </w:p>
        </w:tc>
      </w:tr>
      <w:tr>
        <w:trPr/>
        <w:tc>
          <w:tcPr>
            <w:tcW w:w="1250" w:type="pct"/>
            <w:tcMar>
              <w:top w:w="28" w:type="dxa"/>
              <w:left w:w="28" w:type="dxa"/>
              <w:bottom w:w="28" w:type="dxa"/>
              <w:right w:w="28" w:type="dxa"/>
            </w:tcMar>
            <w:vAlign w:val="center"/>
          </w:tcPr>
          <w:p>
            <w:pPr>
              <w:pStyle w:val="0"/>
              <w:rPr>
                <w:rFonts w:hint="default"/>
              </w:rPr>
            </w:pPr>
            <w:r>
              <w:rPr>
                <w:rFonts w:hint="eastAsia"/>
              </w:rPr>
              <w:t>7.0%</w:t>
            </w:r>
            <w:r>
              <w:rPr>
                <w:rFonts w:hint="eastAsia"/>
              </w:rPr>
              <w:t>以上</w:t>
            </w:r>
            <w:r>
              <w:rPr>
                <w:rFonts w:hint="eastAsia"/>
              </w:rPr>
              <w:t>8.0%</w:t>
            </w:r>
            <w:r>
              <w:rPr>
                <w:rFonts w:hint="eastAsia"/>
              </w:rPr>
              <w:t>未満</w:t>
            </w:r>
          </w:p>
        </w:tc>
        <w:tc>
          <w:tcPr>
            <w:tcW w:w="1250" w:type="pct"/>
            <w:tcMar>
              <w:top w:w="28" w:type="dxa"/>
              <w:left w:w="28" w:type="dxa"/>
              <w:bottom w:w="28" w:type="dxa"/>
              <w:right w:w="28" w:type="dxa"/>
            </w:tcMar>
            <w:vAlign w:val="center"/>
          </w:tcPr>
          <w:p>
            <w:pPr>
              <w:pStyle w:val="0"/>
              <w:jc w:val="right"/>
              <w:rPr>
                <w:rFonts w:hint="default"/>
              </w:rPr>
            </w:pPr>
            <w:r>
              <w:rPr>
                <w:rFonts w:hint="eastAsia"/>
              </w:rPr>
              <w:t>101</w:t>
            </w:r>
          </w:p>
        </w:tc>
        <w:tc>
          <w:tcPr>
            <w:tcW w:w="1250" w:type="pct"/>
            <w:tcMar>
              <w:top w:w="28" w:type="dxa"/>
              <w:left w:w="28" w:type="dxa"/>
              <w:bottom w:w="28" w:type="dxa"/>
              <w:right w:w="28" w:type="dxa"/>
            </w:tcMar>
            <w:vAlign w:val="center"/>
          </w:tcPr>
          <w:p>
            <w:pPr>
              <w:pStyle w:val="0"/>
              <w:jc w:val="right"/>
              <w:rPr>
                <w:rFonts w:hint="default"/>
              </w:rPr>
            </w:pPr>
            <w:r>
              <w:rPr>
                <w:rFonts w:hint="eastAsia"/>
              </w:rPr>
              <w:t>16</w:t>
            </w:r>
          </w:p>
        </w:tc>
        <w:tc>
          <w:tcPr>
            <w:tcW w:w="1250" w:type="pct"/>
            <w:tcMar>
              <w:top w:w="28" w:type="dxa"/>
              <w:left w:w="28" w:type="dxa"/>
              <w:bottom w:w="28" w:type="dxa"/>
              <w:right w:w="28" w:type="dxa"/>
            </w:tcMar>
            <w:vAlign w:val="center"/>
          </w:tcPr>
          <w:p>
            <w:pPr>
              <w:pStyle w:val="0"/>
              <w:jc w:val="right"/>
              <w:rPr>
                <w:rFonts w:hint="default"/>
              </w:rPr>
            </w:pPr>
            <w:r>
              <w:rPr>
                <w:rFonts w:hint="default"/>
              </w:rPr>
              <w:t>15.8%</w:t>
            </w:r>
          </w:p>
        </w:tc>
      </w:tr>
      <w:tr>
        <w:trPr/>
        <w:tc>
          <w:tcPr>
            <w:tcW w:w="1250" w:type="pct"/>
            <w:tcMar>
              <w:top w:w="28" w:type="dxa"/>
              <w:left w:w="28" w:type="dxa"/>
              <w:bottom w:w="28" w:type="dxa"/>
              <w:right w:w="28" w:type="dxa"/>
            </w:tcMar>
            <w:vAlign w:val="center"/>
          </w:tcPr>
          <w:p>
            <w:pPr>
              <w:pStyle w:val="0"/>
              <w:rPr>
                <w:rFonts w:hint="default"/>
              </w:rPr>
            </w:pPr>
            <w:r>
              <w:rPr>
                <w:rFonts w:hint="eastAsia"/>
              </w:rPr>
              <w:t>8.0%</w:t>
            </w:r>
            <w:r>
              <w:rPr>
                <w:rFonts w:hint="eastAsia"/>
              </w:rPr>
              <w:t>以上</w:t>
            </w:r>
          </w:p>
        </w:tc>
        <w:tc>
          <w:tcPr>
            <w:tcW w:w="1250" w:type="pct"/>
            <w:tcMar>
              <w:top w:w="28" w:type="dxa"/>
              <w:left w:w="28" w:type="dxa"/>
              <w:bottom w:w="28" w:type="dxa"/>
              <w:right w:w="28" w:type="dxa"/>
            </w:tcMar>
            <w:vAlign w:val="center"/>
          </w:tcPr>
          <w:p>
            <w:pPr>
              <w:pStyle w:val="0"/>
              <w:jc w:val="right"/>
              <w:rPr>
                <w:rFonts w:hint="default"/>
              </w:rPr>
            </w:pPr>
            <w:r>
              <w:rPr>
                <w:rFonts w:hint="eastAsia"/>
              </w:rPr>
              <w:t>41</w:t>
            </w:r>
          </w:p>
        </w:tc>
        <w:tc>
          <w:tcPr>
            <w:tcW w:w="1250" w:type="pct"/>
            <w:tcMar>
              <w:top w:w="28" w:type="dxa"/>
              <w:left w:w="28" w:type="dxa"/>
              <w:bottom w:w="28" w:type="dxa"/>
              <w:right w:w="28" w:type="dxa"/>
            </w:tcMar>
            <w:vAlign w:val="center"/>
          </w:tcPr>
          <w:p>
            <w:pPr>
              <w:pStyle w:val="0"/>
              <w:jc w:val="right"/>
              <w:rPr>
                <w:rFonts w:hint="default"/>
              </w:rPr>
            </w:pPr>
            <w:r>
              <w:rPr>
                <w:rFonts w:hint="eastAsia"/>
              </w:rPr>
              <w:t>6</w:t>
            </w:r>
          </w:p>
        </w:tc>
        <w:tc>
          <w:tcPr>
            <w:tcW w:w="1250" w:type="pct"/>
            <w:tcMar>
              <w:top w:w="28" w:type="dxa"/>
              <w:left w:w="28" w:type="dxa"/>
              <w:bottom w:w="28" w:type="dxa"/>
              <w:right w:w="28" w:type="dxa"/>
            </w:tcMar>
            <w:vAlign w:val="center"/>
          </w:tcPr>
          <w:p>
            <w:pPr>
              <w:pStyle w:val="0"/>
              <w:jc w:val="right"/>
              <w:rPr>
                <w:rFonts w:hint="default"/>
              </w:rPr>
            </w:pPr>
            <w:r>
              <w:rPr>
                <w:rFonts w:hint="default"/>
              </w:rPr>
              <w:t>14.6%</w:t>
            </w:r>
          </w:p>
        </w:tc>
      </w:tr>
      <w:tr>
        <w:trPr/>
        <w:tc>
          <w:tcPr>
            <w:tcW w:w="1250" w:type="pct"/>
            <w:tcMar>
              <w:top w:w="28" w:type="dxa"/>
              <w:left w:w="28" w:type="dxa"/>
              <w:bottom w:w="28" w:type="dxa"/>
              <w:right w:w="28" w:type="dxa"/>
            </w:tcMar>
            <w:vAlign w:val="center"/>
          </w:tcPr>
          <w:p>
            <w:pPr>
              <w:pStyle w:val="0"/>
              <w:rPr>
                <w:rFonts w:hint="default"/>
              </w:rPr>
            </w:pPr>
            <w:r>
              <w:rPr>
                <w:rFonts w:hint="eastAsia"/>
              </w:rPr>
              <w:t>合計</w:t>
            </w:r>
          </w:p>
        </w:tc>
        <w:tc>
          <w:tcPr>
            <w:tcW w:w="1250" w:type="pct"/>
            <w:tcMar>
              <w:top w:w="28" w:type="dxa"/>
              <w:left w:w="28" w:type="dxa"/>
              <w:bottom w:w="28" w:type="dxa"/>
              <w:right w:w="28" w:type="dxa"/>
            </w:tcMar>
            <w:vAlign w:val="center"/>
          </w:tcPr>
          <w:p>
            <w:pPr>
              <w:pStyle w:val="0"/>
              <w:jc w:val="right"/>
              <w:rPr>
                <w:rFonts w:hint="default"/>
              </w:rPr>
            </w:pPr>
            <w:r>
              <w:rPr>
                <w:rFonts w:hint="eastAsia"/>
              </w:rPr>
              <w:t>312</w:t>
            </w:r>
          </w:p>
        </w:tc>
        <w:tc>
          <w:tcPr>
            <w:tcW w:w="1250" w:type="pct"/>
            <w:tcMar>
              <w:top w:w="28" w:type="dxa"/>
              <w:left w:w="28" w:type="dxa"/>
              <w:bottom w:w="28" w:type="dxa"/>
              <w:right w:w="28" w:type="dxa"/>
            </w:tcMar>
            <w:vAlign w:val="center"/>
          </w:tcPr>
          <w:p>
            <w:pPr>
              <w:pStyle w:val="0"/>
              <w:jc w:val="right"/>
              <w:rPr>
                <w:rFonts w:hint="default"/>
              </w:rPr>
            </w:pPr>
            <w:r>
              <w:rPr>
                <w:rFonts w:hint="eastAsia"/>
              </w:rPr>
              <w:t>90</w:t>
            </w:r>
          </w:p>
        </w:tc>
        <w:tc>
          <w:tcPr>
            <w:tcW w:w="1250" w:type="pct"/>
            <w:tcMar>
              <w:top w:w="28" w:type="dxa"/>
              <w:left w:w="28" w:type="dxa"/>
              <w:bottom w:w="28" w:type="dxa"/>
              <w:right w:w="28" w:type="dxa"/>
            </w:tcMar>
            <w:vAlign w:val="center"/>
          </w:tcPr>
          <w:p>
            <w:pPr>
              <w:pStyle w:val="0"/>
              <w:jc w:val="right"/>
              <w:rPr>
                <w:rFonts w:hint="default"/>
              </w:rPr>
            </w:pPr>
            <w:r>
              <w:rPr>
                <w:rFonts w:hint="default"/>
              </w:rPr>
              <w:t>28.8%</w:t>
            </w:r>
          </w:p>
        </w:tc>
      </w:tr>
    </w:tbl>
    <w:p>
      <w:pPr>
        <w:pStyle w:val="0"/>
        <w:rPr>
          <w:rFonts w:hint="default"/>
        </w:rPr>
      </w:pPr>
    </w:p>
    <w:tbl>
      <w:tblPr>
        <w:tblStyle w:val="172"/>
        <w:tblW w:w="5000" w:type="pct"/>
        <w:tblInd w:w="0" w:type="dxa"/>
        <w:tblLayout w:type="fixed"/>
        <w:tblLook w:firstRow="1" w:lastRow="0" w:firstColumn="1" w:lastColumn="0" w:noHBand="0" w:noVBand="1" w:val="04A0"/>
      </w:tblPr>
      <w:tblGrid>
        <w:gridCol w:w="2343"/>
        <w:gridCol w:w="2344"/>
        <w:gridCol w:w="2344"/>
        <w:gridCol w:w="2344"/>
      </w:tblGrid>
      <w:tr>
        <w:trPr/>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血圧</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該当者数（人）</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人数（人）</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割合</w:t>
            </w:r>
          </w:p>
        </w:tc>
      </w:tr>
      <w:tr>
        <w:trPr/>
        <w:tc>
          <w:tcPr>
            <w:tcW w:w="1250" w:type="pct"/>
            <w:tcMar>
              <w:top w:w="28" w:type="dxa"/>
              <w:left w:w="28" w:type="dxa"/>
              <w:bottom w:w="28" w:type="dxa"/>
              <w:right w:w="28" w:type="dxa"/>
            </w:tcMar>
            <w:vAlign w:val="center"/>
          </w:tcPr>
          <w:p>
            <w:pPr>
              <w:pStyle w:val="0"/>
              <w:rPr>
                <w:rFonts w:hint="default"/>
              </w:rPr>
            </w:pPr>
            <w:r>
              <w:rPr>
                <w:rFonts w:hint="eastAsia"/>
              </w:rPr>
              <w:t>Ⅰ度高血圧</w:t>
            </w:r>
          </w:p>
        </w:tc>
        <w:tc>
          <w:tcPr>
            <w:tcW w:w="1250" w:type="pct"/>
            <w:tcMar>
              <w:top w:w="28" w:type="dxa"/>
              <w:left w:w="28" w:type="dxa"/>
              <w:bottom w:w="28" w:type="dxa"/>
              <w:right w:w="28" w:type="dxa"/>
            </w:tcMar>
            <w:vAlign w:val="center"/>
          </w:tcPr>
          <w:p>
            <w:pPr>
              <w:pStyle w:val="0"/>
              <w:jc w:val="right"/>
              <w:rPr>
                <w:rFonts w:hint="default"/>
              </w:rPr>
            </w:pPr>
            <w:r>
              <w:rPr>
                <w:rFonts w:hint="eastAsia"/>
              </w:rPr>
              <w:t>426</w:t>
            </w:r>
          </w:p>
        </w:tc>
        <w:tc>
          <w:tcPr>
            <w:tcW w:w="1250" w:type="pct"/>
            <w:tcMar>
              <w:top w:w="28" w:type="dxa"/>
              <w:left w:w="28" w:type="dxa"/>
              <w:bottom w:w="28" w:type="dxa"/>
              <w:right w:w="28" w:type="dxa"/>
            </w:tcMar>
            <w:vAlign w:val="center"/>
          </w:tcPr>
          <w:p>
            <w:pPr>
              <w:pStyle w:val="0"/>
              <w:jc w:val="right"/>
              <w:rPr>
                <w:rFonts w:hint="default"/>
              </w:rPr>
            </w:pPr>
            <w:r>
              <w:rPr>
                <w:rFonts w:hint="eastAsia"/>
              </w:rPr>
              <w:t>256</w:t>
            </w:r>
          </w:p>
        </w:tc>
        <w:tc>
          <w:tcPr>
            <w:tcW w:w="1250" w:type="pct"/>
            <w:tcMar>
              <w:top w:w="28" w:type="dxa"/>
              <w:left w:w="28" w:type="dxa"/>
              <w:bottom w:w="28" w:type="dxa"/>
              <w:right w:w="28" w:type="dxa"/>
            </w:tcMar>
            <w:vAlign w:val="center"/>
          </w:tcPr>
          <w:p>
            <w:pPr>
              <w:pStyle w:val="0"/>
              <w:jc w:val="right"/>
              <w:rPr>
                <w:rFonts w:hint="default"/>
              </w:rPr>
            </w:pPr>
            <w:r>
              <w:rPr>
                <w:rFonts w:hint="default"/>
              </w:rPr>
              <w:t>60.1%</w:t>
            </w:r>
          </w:p>
        </w:tc>
      </w:tr>
      <w:tr>
        <w:trPr/>
        <w:tc>
          <w:tcPr>
            <w:tcW w:w="1250" w:type="pct"/>
            <w:tcMar>
              <w:top w:w="28" w:type="dxa"/>
              <w:left w:w="28" w:type="dxa"/>
              <w:bottom w:w="28" w:type="dxa"/>
              <w:right w:w="28" w:type="dxa"/>
            </w:tcMar>
            <w:vAlign w:val="center"/>
          </w:tcPr>
          <w:p>
            <w:pPr>
              <w:pStyle w:val="0"/>
              <w:rPr>
                <w:rFonts w:hint="default"/>
              </w:rPr>
            </w:pPr>
            <w:r>
              <w:rPr>
                <w:rFonts w:hint="eastAsia"/>
              </w:rPr>
              <w:t>Ⅱ度高血圧</w:t>
            </w:r>
          </w:p>
        </w:tc>
        <w:tc>
          <w:tcPr>
            <w:tcW w:w="1250" w:type="pct"/>
            <w:tcMar>
              <w:top w:w="28" w:type="dxa"/>
              <w:left w:w="28" w:type="dxa"/>
              <w:bottom w:w="28" w:type="dxa"/>
              <w:right w:w="28" w:type="dxa"/>
            </w:tcMar>
            <w:vAlign w:val="center"/>
          </w:tcPr>
          <w:p>
            <w:pPr>
              <w:pStyle w:val="0"/>
              <w:jc w:val="right"/>
              <w:rPr>
                <w:rFonts w:hint="default"/>
              </w:rPr>
            </w:pPr>
            <w:r>
              <w:rPr>
                <w:rFonts w:hint="eastAsia"/>
              </w:rPr>
              <w:t>62</w:t>
            </w:r>
          </w:p>
        </w:tc>
        <w:tc>
          <w:tcPr>
            <w:tcW w:w="1250" w:type="pct"/>
            <w:tcMar>
              <w:top w:w="28" w:type="dxa"/>
              <w:left w:w="28" w:type="dxa"/>
              <w:bottom w:w="28" w:type="dxa"/>
              <w:right w:w="28" w:type="dxa"/>
            </w:tcMar>
            <w:vAlign w:val="center"/>
          </w:tcPr>
          <w:p>
            <w:pPr>
              <w:pStyle w:val="0"/>
              <w:jc w:val="right"/>
              <w:rPr>
                <w:rFonts w:hint="default"/>
              </w:rPr>
            </w:pPr>
            <w:r>
              <w:rPr>
                <w:rFonts w:hint="eastAsia"/>
              </w:rPr>
              <w:t>37</w:t>
            </w:r>
          </w:p>
        </w:tc>
        <w:tc>
          <w:tcPr>
            <w:tcW w:w="1250" w:type="pct"/>
            <w:tcMar>
              <w:top w:w="28" w:type="dxa"/>
              <w:left w:w="28" w:type="dxa"/>
              <w:bottom w:w="28" w:type="dxa"/>
              <w:right w:w="28" w:type="dxa"/>
            </w:tcMar>
            <w:vAlign w:val="center"/>
          </w:tcPr>
          <w:p>
            <w:pPr>
              <w:pStyle w:val="0"/>
              <w:jc w:val="right"/>
              <w:rPr>
                <w:rFonts w:hint="default"/>
              </w:rPr>
            </w:pPr>
            <w:r>
              <w:rPr>
                <w:rFonts w:hint="default"/>
              </w:rPr>
              <w:t>59.7%</w:t>
            </w:r>
          </w:p>
        </w:tc>
      </w:tr>
      <w:tr>
        <w:trPr/>
        <w:tc>
          <w:tcPr>
            <w:tcW w:w="1250" w:type="pct"/>
            <w:tcMar>
              <w:top w:w="28" w:type="dxa"/>
              <w:left w:w="28" w:type="dxa"/>
              <w:bottom w:w="28" w:type="dxa"/>
              <w:right w:w="28" w:type="dxa"/>
            </w:tcMar>
            <w:vAlign w:val="center"/>
          </w:tcPr>
          <w:p>
            <w:pPr>
              <w:pStyle w:val="0"/>
              <w:rPr>
                <w:rFonts w:hint="default"/>
              </w:rPr>
            </w:pPr>
            <w:r>
              <w:rPr>
                <w:rFonts w:hint="eastAsia"/>
              </w:rPr>
              <w:t>Ⅲ度高血圧</w:t>
            </w:r>
          </w:p>
        </w:tc>
        <w:tc>
          <w:tcPr>
            <w:tcW w:w="1250" w:type="pct"/>
            <w:tcMar>
              <w:top w:w="28" w:type="dxa"/>
              <w:left w:w="28" w:type="dxa"/>
              <w:bottom w:w="28" w:type="dxa"/>
              <w:right w:w="28" w:type="dxa"/>
            </w:tcMar>
            <w:vAlign w:val="center"/>
          </w:tcPr>
          <w:p>
            <w:pPr>
              <w:pStyle w:val="0"/>
              <w:jc w:val="right"/>
              <w:rPr>
                <w:rFonts w:hint="default"/>
              </w:rPr>
            </w:pPr>
            <w:r>
              <w:rPr>
                <w:rFonts w:hint="eastAsia"/>
              </w:rPr>
              <w:t>22</w:t>
            </w:r>
          </w:p>
        </w:tc>
        <w:tc>
          <w:tcPr>
            <w:tcW w:w="1250" w:type="pct"/>
            <w:tcMar>
              <w:top w:w="28" w:type="dxa"/>
              <w:left w:w="28" w:type="dxa"/>
              <w:bottom w:w="28" w:type="dxa"/>
              <w:right w:w="28" w:type="dxa"/>
            </w:tcMar>
            <w:vAlign w:val="center"/>
          </w:tcPr>
          <w:p>
            <w:pPr>
              <w:pStyle w:val="0"/>
              <w:jc w:val="right"/>
              <w:rPr>
                <w:rFonts w:hint="default"/>
              </w:rPr>
            </w:pPr>
            <w:r>
              <w:rPr>
                <w:rFonts w:hint="eastAsia"/>
              </w:rPr>
              <w:t>9</w:t>
            </w:r>
          </w:p>
        </w:tc>
        <w:tc>
          <w:tcPr>
            <w:tcW w:w="1250" w:type="pct"/>
            <w:tcMar>
              <w:top w:w="28" w:type="dxa"/>
              <w:left w:w="28" w:type="dxa"/>
              <w:bottom w:w="28" w:type="dxa"/>
              <w:right w:w="28" w:type="dxa"/>
            </w:tcMar>
            <w:vAlign w:val="center"/>
          </w:tcPr>
          <w:p>
            <w:pPr>
              <w:pStyle w:val="0"/>
              <w:jc w:val="right"/>
              <w:rPr>
                <w:rFonts w:hint="default"/>
              </w:rPr>
            </w:pPr>
            <w:r>
              <w:rPr>
                <w:rFonts w:hint="default"/>
              </w:rPr>
              <w:t>40.9%</w:t>
            </w:r>
          </w:p>
        </w:tc>
      </w:tr>
      <w:tr>
        <w:trPr/>
        <w:tc>
          <w:tcPr>
            <w:tcW w:w="1250" w:type="pct"/>
            <w:tcMar>
              <w:top w:w="28" w:type="dxa"/>
              <w:left w:w="28" w:type="dxa"/>
              <w:bottom w:w="28" w:type="dxa"/>
              <w:right w:w="28" w:type="dxa"/>
            </w:tcMar>
            <w:vAlign w:val="center"/>
          </w:tcPr>
          <w:p>
            <w:pPr>
              <w:pStyle w:val="0"/>
              <w:rPr>
                <w:rFonts w:hint="default"/>
              </w:rPr>
            </w:pPr>
            <w:r>
              <w:rPr>
                <w:rFonts w:hint="eastAsia"/>
              </w:rPr>
              <w:t>合計</w:t>
            </w:r>
          </w:p>
        </w:tc>
        <w:tc>
          <w:tcPr>
            <w:tcW w:w="1250" w:type="pct"/>
            <w:tcMar>
              <w:top w:w="28" w:type="dxa"/>
              <w:left w:w="28" w:type="dxa"/>
              <w:bottom w:w="28" w:type="dxa"/>
              <w:right w:w="28" w:type="dxa"/>
            </w:tcMar>
            <w:vAlign w:val="center"/>
          </w:tcPr>
          <w:p>
            <w:pPr>
              <w:pStyle w:val="0"/>
              <w:jc w:val="right"/>
              <w:rPr>
                <w:rFonts w:hint="default"/>
              </w:rPr>
            </w:pPr>
            <w:r>
              <w:rPr>
                <w:rFonts w:hint="eastAsia"/>
              </w:rPr>
              <w:t>510</w:t>
            </w:r>
          </w:p>
        </w:tc>
        <w:tc>
          <w:tcPr>
            <w:tcW w:w="1250" w:type="pct"/>
            <w:tcMar>
              <w:top w:w="28" w:type="dxa"/>
              <w:left w:w="28" w:type="dxa"/>
              <w:bottom w:w="28" w:type="dxa"/>
              <w:right w:w="28" w:type="dxa"/>
            </w:tcMar>
            <w:vAlign w:val="center"/>
          </w:tcPr>
          <w:p>
            <w:pPr>
              <w:pStyle w:val="0"/>
              <w:jc w:val="right"/>
              <w:rPr>
                <w:rFonts w:hint="default"/>
              </w:rPr>
            </w:pPr>
            <w:r>
              <w:rPr>
                <w:rFonts w:hint="eastAsia"/>
              </w:rPr>
              <w:t>302</w:t>
            </w:r>
          </w:p>
        </w:tc>
        <w:tc>
          <w:tcPr>
            <w:tcW w:w="1250" w:type="pct"/>
            <w:tcMar>
              <w:top w:w="28" w:type="dxa"/>
              <w:left w:w="28" w:type="dxa"/>
              <w:bottom w:w="28" w:type="dxa"/>
              <w:right w:w="28" w:type="dxa"/>
            </w:tcMar>
            <w:vAlign w:val="center"/>
          </w:tcPr>
          <w:p>
            <w:pPr>
              <w:pStyle w:val="0"/>
              <w:jc w:val="right"/>
              <w:rPr>
                <w:rFonts w:hint="default"/>
              </w:rPr>
            </w:pPr>
            <w:r>
              <w:rPr>
                <w:rFonts w:hint="default"/>
              </w:rPr>
              <w:t>59.2%</w:t>
            </w:r>
          </w:p>
        </w:tc>
      </w:tr>
    </w:tbl>
    <w:p>
      <w:pPr>
        <w:pStyle w:val="0"/>
        <w:rPr>
          <w:rFonts w:hint="default"/>
        </w:rPr>
      </w:pPr>
    </w:p>
    <w:tbl>
      <w:tblPr>
        <w:tblStyle w:val="172"/>
        <w:tblW w:w="5000" w:type="pct"/>
        <w:tblInd w:w="0" w:type="dxa"/>
        <w:tblLayout w:type="fixed"/>
        <w:tblLook w:firstRow="1" w:lastRow="0" w:firstColumn="1" w:lastColumn="0" w:noHBand="0" w:noVBand="1" w:val="04A0"/>
      </w:tblPr>
      <w:tblGrid>
        <w:gridCol w:w="2343"/>
        <w:gridCol w:w="2344"/>
        <w:gridCol w:w="2344"/>
        <w:gridCol w:w="2344"/>
      </w:tblGrid>
      <w:tr>
        <w:trPr/>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脂質（</w:t>
            </w:r>
            <w:r>
              <w:rPr>
                <w:rFonts w:hint="default"/>
                <w:b w:val="1"/>
              </w:rPr>
              <w:t>LDL-C</w:t>
            </w:r>
            <w:r>
              <w:rPr>
                <w:rFonts w:hint="default"/>
                <w:b w:val="1"/>
              </w:rPr>
              <w:t>）</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該当者数（人）</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人数（人）</w:t>
            </w:r>
          </w:p>
        </w:tc>
        <w:tc>
          <w:tcPr>
            <w:tcW w:w="125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割合</w:t>
            </w:r>
          </w:p>
        </w:tc>
      </w:tr>
      <w:tr>
        <w:trPr/>
        <w:tc>
          <w:tcPr>
            <w:tcW w:w="1250" w:type="pct"/>
            <w:tcMar>
              <w:top w:w="28" w:type="dxa"/>
              <w:left w:w="28" w:type="dxa"/>
              <w:bottom w:w="28" w:type="dxa"/>
              <w:right w:w="28" w:type="dxa"/>
            </w:tcMar>
            <w:vAlign w:val="center"/>
          </w:tcPr>
          <w:p>
            <w:pPr>
              <w:pStyle w:val="0"/>
              <w:rPr>
                <w:rFonts w:hint="default"/>
              </w:rPr>
            </w:pPr>
            <w:r>
              <w:rPr>
                <w:rFonts w:hint="default"/>
              </w:rPr>
              <w:t>140mg/dL</w:t>
            </w:r>
            <w:r>
              <w:rPr>
                <w:rFonts w:hint="default"/>
              </w:rPr>
              <w:t>以上</w:t>
            </w:r>
            <w:r>
              <w:rPr>
                <w:rFonts w:hint="default"/>
              </w:rPr>
              <w:t>160mg/dL</w:t>
            </w:r>
            <w:r>
              <w:rPr>
                <w:rFonts w:hint="default"/>
              </w:rPr>
              <w:t>未満</w:t>
            </w:r>
          </w:p>
        </w:tc>
        <w:tc>
          <w:tcPr>
            <w:tcW w:w="1250" w:type="pct"/>
            <w:tcMar>
              <w:top w:w="28" w:type="dxa"/>
              <w:left w:w="28" w:type="dxa"/>
              <w:bottom w:w="28" w:type="dxa"/>
              <w:right w:w="28" w:type="dxa"/>
            </w:tcMar>
            <w:vAlign w:val="center"/>
          </w:tcPr>
          <w:p>
            <w:pPr>
              <w:pStyle w:val="0"/>
              <w:jc w:val="right"/>
              <w:rPr>
                <w:rFonts w:hint="default"/>
              </w:rPr>
            </w:pPr>
            <w:r>
              <w:rPr>
                <w:rFonts w:hint="eastAsia"/>
              </w:rPr>
              <w:t>601</w:t>
            </w:r>
          </w:p>
        </w:tc>
        <w:tc>
          <w:tcPr>
            <w:tcW w:w="1250" w:type="pct"/>
            <w:tcMar>
              <w:top w:w="28" w:type="dxa"/>
              <w:left w:w="28" w:type="dxa"/>
              <w:bottom w:w="28" w:type="dxa"/>
              <w:right w:w="28" w:type="dxa"/>
            </w:tcMar>
            <w:vAlign w:val="center"/>
          </w:tcPr>
          <w:p>
            <w:pPr>
              <w:pStyle w:val="0"/>
              <w:jc w:val="right"/>
              <w:rPr>
                <w:rFonts w:hint="default"/>
              </w:rPr>
            </w:pPr>
            <w:r>
              <w:rPr>
                <w:rFonts w:hint="eastAsia"/>
              </w:rPr>
              <w:t>515</w:t>
            </w:r>
          </w:p>
        </w:tc>
        <w:tc>
          <w:tcPr>
            <w:tcW w:w="1250" w:type="pct"/>
            <w:tcMar>
              <w:top w:w="28" w:type="dxa"/>
              <w:left w:w="28" w:type="dxa"/>
              <w:bottom w:w="28" w:type="dxa"/>
              <w:right w:w="28" w:type="dxa"/>
            </w:tcMar>
            <w:vAlign w:val="center"/>
          </w:tcPr>
          <w:p>
            <w:pPr>
              <w:pStyle w:val="0"/>
              <w:jc w:val="right"/>
              <w:rPr>
                <w:rFonts w:hint="default"/>
              </w:rPr>
            </w:pPr>
            <w:r>
              <w:rPr>
                <w:rFonts w:hint="default"/>
              </w:rPr>
              <w:t>85.7%</w:t>
            </w:r>
          </w:p>
        </w:tc>
      </w:tr>
      <w:tr>
        <w:trPr/>
        <w:tc>
          <w:tcPr>
            <w:tcW w:w="1250" w:type="pct"/>
            <w:tcMar>
              <w:top w:w="28" w:type="dxa"/>
              <w:left w:w="28" w:type="dxa"/>
              <w:bottom w:w="28" w:type="dxa"/>
              <w:right w:w="28" w:type="dxa"/>
            </w:tcMar>
            <w:vAlign w:val="center"/>
          </w:tcPr>
          <w:p>
            <w:pPr>
              <w:pStyle w:val="0"/>
              <w:rPr>
                <w:rFonts w:hint="default"/>
              </w:rPr>
            </w:pPr>
            <w:r>
              <w:rPr>
                <w:rFonts w:hint="default"/>
              </w:rPr>
              <w:t>160mg/dL</w:t>
            </w:r>
            <w:r>
              <w:rPr>
                <w:rFonts w:hint="default"/>
              </w:rPr>
              <w:t>以上</w:t>
            </w:r>
            <w:r>
              <w:rPr>
                <w:rFonts w:hint="default"/>
              </w:rPr>
              <w:t>180mg/dL</w:t>
            </w:r>
            <w:r>
              <w:rPr>
                <w:rFonts w:hint="default"/>
              </w:rPr>
              <w:t>未満</w:t>
            </w:r>
          </w:p>
        </w:tc>
        <w:tc>
          <w:tcPr>
            <w:tcW w:w="1250" w:type="pct"/>
            <w:tcMar>
              <w:top w:w="28" w:type="dxa"/>
              <w:left w:w="28" w:type="dxa"/>
              <w:bottom w:w="28" w:type="dxa"/>
              <w:right w:w="28" w:type="dxa"/>
            </w:tcMar>
            <w:vAlign w:val="center"/>
          </w:tcPr>
          <w:p>
            <w:pPr>
              <w:pStyle w:val="0"/>
              <w:jc w:val="right"/>
              <w:rPr>
                <w:rFonts w:hint="default"/>
              </w:rPr>
            </w:pPr>
            <w:r>
              <w:rPr>
                <w:rFonts w:hint="eastAsia"/>
              </w:rPr>
              <w:t>271</w:t>
            </w:r>
          </w:p>
        </w:tc>
        <w:tc>
          <w:tcPr>
            <w:tcW w:w="1250" w:type="pct"/>
            <w:tcMar>
              <w:top w:w="28" w:type="dxa"/>
              <w:left w:w="28" w:type="dxa"/>
              <w:bottom w:w="28" w:type="dxa"/>
              <w:right w:w="28" w:type="dxa"/>
            </w:tcMar>
            <w:vAlign w:val="center"/>
          </w:tcPr>
          <w:p>
            <w:pPr>
              <w:pStyle w:val="0"/>
              <w:jc w:val="right"/>
              <w:rPr>
                <w:rFonts w:hint="default"/>
              </w:rPr>
            </w:pPr>
            <w:r>
              <w:rPr>
                <w:rFonts w:hint="eastAsia"/>
              </w:rPr>
              <w:t>243</w:t>
            </w:r>
          </w:p>
        </w:tc>
        <w:tc>
          <w:tcPr>
            <w:tcW w:w="1250" w:type="pct"/>
            <w:tcMar>
              <w:top w:w="28" w:type="dxa"/>
              <w:left w:w="28" w:type="dxa"/>
              <w:bottom w:w="28" w:type="dxa"/>
              <w:right w:w="28" w:type="dxa"/>
            </w:tcMar>
            <w:vAlign w:val="center"/>
          </w:tcPr>
          <w:p>
            <w:pPr>
              <w:pStyle w:val="0"/>
              <w:jc w:val="right"/>
              <w:rPr>
                <w:rFonts w:hint="default"/>
              </w:rPr>
            </w:pPr>
            <w:r>
              <w:rPr>
                <w:rFonts w:hint="default"/>
              </w:rPr>
              <w:t>89.7%</w:t>
            </w:r>
          </w:p>
        </w:tc>
      </w:tr>
      <w:tr>
        <w:trPr/>
        <w:tc>
          <w:tcPr>
            <w:tcW w:w="1250" w:type="pct"/>
            <w:tcMar>
              <w:top w:w="28" w:type="dxa"/>
              <w:left w:w="28" w:type="dxa"/>
              <w:bottom w:w="28" w:type="dxa"/>
              <w:right w:w="28" w:type="dxa"/>
            </w:tcMar>
            <w:vAlign w:val="center"/>
          </w:tcPr>
          <w:p>
            <w:pPr>
              <w:pStyle w:val="0"/>
              <w:rPr>
                <w:rFonts w:hint="default"/>
              </w:rPr>
            </w:pPr>
            <w:r>
              <w:rPr>
                <w:rFonts w:hint="default"/>
              </w:rPr>
              <w:t>180mg/dL</w:t>
            </w:r>
            <w:r>
              <w:rPr>
                <w:rFonts w:hint="default"/>
              </w:rPr>
              <w:t>以上</w:t>
            </w:r>
          </w:p>
        </w:tc>
        <w:tc>
          <w:tcPr>
            <w:tcW w:w="1250" w:type="pct"/>
            <w:tcMar>
              <w:top w:w="28" w:type="dxa"/>
              <w:left w:w="28" w:type="dxa"/>
              <w:bottom w:w="28" w:type="dxa"/>
              <w:right w:w="28" w:type="dxa"/>
            </w:tcMar>
            <w:vAlign w:val="center"/>
          </w:tcPr>
          <w:p>
            <w:pPr>
              <w:pStyle w:val="0"/>
              <w:jc w:val="right"/>
              <w:rPr>
                <w:rFonts w:hint="default"/>
              </w:rPr>
            </w:pPr>
            <w:r>
              <w:rPr>
                <w:rFonts w:hint="eastAsia"/>
              </w:rPr>
              <w:t>144</w:t>
            </w:r>
          </w:p>
        </w:tc>
        <w:tc>
          <w:tcPr>
            <w:tcW w:w="1250" w:type="pct"/>
            <w:tcMar>
              <w:top w:w="28" w:type="dxa"/>
              <w:left w:w="28" w:type="dxa"/>
              <w:bottom w:w="28" w:type="dxa"/>
              <w:right w:w="28" w:type="dxa"/>
            </w:tcMar>
            <w:vAlign w:val="center"/>
          </w:tcPr>
          <w:p>
            <w:pPr>
              <w:pStyle w:val="0"/>
              <w:jc w:val="right"/>
              <w:rPr>
                <w:rFonts w:hint="default"/>
              </w:rPr>
            </w:pPr>
            <w:r>
              <w:rPr>
                <w:rFonts w:hint="default"/>
              </w:rPr>
              <w:t>118</w:t>
            </w:r>
          </w:p>
        </w:tc>
        <w:tc>
          <w:tcPr>
            <w:tcW w:w="1250" w:type="pct"/>
            <w:tcMar>
              <w:top w:w="28" w:type="dxa"/>
              <w:left w:w="28" w:type="dxa"/>
              <w:bottom w:w="28" w:type="dxa"/>
              <w:right w:w="28" w:type="dxa"/>
            </w:tcMar>
            <w:vAlign w:val="center"/>
          </w:tcPr>
          <w:p>
            <w:pPr>
              <w:pStyle w:val="0"/>
              <w:jc w:val="right"/>
              <w:rPr>
                <w:rFonts w:hint="default"/>
              </w:rPr>
            </w:pPr>
            <w:r>
              <w:rPr>
                <w:rFonts w:hint="default"/>
              </w:rPr>
              <w:t>81.9%</w:t>
            </w:r>
          </w:p>
        </w:tc>
      </w:tr>
      <w:tr>
        <w:trPr/>
        <w:tc>
          <w:tcPr>
            <w:tcW w:w="1250" w:type="pct"/>
            <w:tcMar>
              <w:top w:w="28" w:type="dxa"/>
              <w:left w:w="28" w:type="dxa"/>
              <w:bottom w:w="28" w:type="dxa"/>
              <w:right w:w="28" w:type="dxa"/>
            </w:tcMar>
            <w:vAlign w:val="center"/>
          </w:tcPr>
          <w:p>
            <w:pPr>
              <w:pStyle w:val="0"/>
              <w:rPr>
                <w:rFonts w:hint="default"/>
              </w:rPr>
            </w:pPr>
            <w:r>
              <w:rPr>
                <w:rFonts w:hint="eastAsia"/>
              </w:rPr>
              <w:t>合計</w:t>
            </w:r>
          </w:p>
        </w:tc>
        <w:tc>
          <w:tcPr>
            <w:tcW w:w="1250" w:type="pct"/>
            <w:tcMar>
              <w:top w:w="28" w:type="dxa"/>
              <w:left w:w="28" w:type="dxa"/>
              <w:bottom w:w="28" w:type="dxa"/>
              <w:right w:w="28" w:type="dxa"/>
            </w:tcMar>
            <w:vAlign w:val="center"/>
          </w:tcPr>
          <w:p>
            <w:pPr>
              <w:pStyle w:val="0"/>
              <w:jc w:val="right"/>
              <w:rPr>
                <w:rFonts w:hint="default"/>
              </w:rPr>
            </w:pPr>
            <w:r>
              <w:rPr>
                <w:rFonts w:hint="default"/>
              </w:rPr>
              <w:t>1,016</w:t>
            </w:r>
          </w:p>
        </w:tc>
        <w:tc>
          <w:tcPr>
            <w:tcW w:w="1250" w:type="pct"/>
            <w:tcMar>
              <w:top w:w="28" w:type="dxa"/>
              <w:left w:w="28" w:type="dxa"/>
              <w:bottom w:w="28" w:type="dxa"/>
              <w:right w:w="28" w:type="dxa"/>
            </w:tcMar>
            <w:vAlign w:val="center"/>
          </w:tcPr>
          <w:p>
            <w:pPr>
              <w:pStyle w:val="0"/>
              <w:jc w:val="right"/>
              <w:rPr>
                <w:rFonts w:hint="default"/>
              </w:rPr>
            </w:pPr>
            <w:r>
              <w:rPr>
                <w:rFonts w:hint="default"/>
              </w:rPr>
              <w:t>876</w:t>
            </w:r>
          </w:p>
        </w:tc>
        <w:tc>
          <w:tcPr>
            <w:tcW w:w="1250" w:type="pct"/>
            <w:tcMar>
              <w:top w:w="28" w:type="dxa"/>
              <w:left w:w="28" w:type="dxa"/>
              <w:bottom w:w="28" w:type="dxa"/>
              <w:right w:w="28" w:type="dxa"/>
            </w:tcMar>
            <w:vAlign w:val="center"/>
          </w:tcPr>
          <w:p>
            <w:pPr>
              <w:pStyle w:val="0"/>
              <w:jc w:val="right"/>
              <w:rPr>
                <w:rFonts w:hint="default"/>
              </w:rPr>
            </w:pPr>
            <w:r>
              <w:rPr>
                <w:rFonts w:hint="default"/>
              </w:rPr>
              <w:t>86.2%</w:t>
            </w:r>
          </w:p>
        </w:tc>
      </w:tr>
    </w:tbl>
    <w:p>
      <w:pPr>
        <w:pStyle w:val="0"/>
        <w:rPr>
          <w:rFonts w:hint="default"/>
        </w:rPr>
      </w:pPr>
    </w:p>
    <w:tbl>
      <w:tblPr>
        <w:tblStyle w:val="172"/>
        <w:tblW w:w="5000" w:type="pct"/>
        <w:tblInd w:w="0" w:type="dxa"/>
        <w:tblLayout w:type="fixed"/>
        <w:tblLook w:firstRow="1" w:lastRow="0" w:firstColumn="1" w:lastColumn="0" w:noHBand="0" w:noVBand="1" w:val="04A0"/>
      </w:tblPr>
      <w:tblGrid>
        <w:gridCol w:w="2339"/>
        <w:gridCol w:w="1408"/>
        <w:gridCol w:w="1408"/>
        <w:gridCol w:w="1408"/>
        <w:gridCol w:w="1408"/>
        <w:gridCol w:w="1404"/>
      </w:tblGrid>
      <w:tr>
        <w:trPr/>
        <w:tc>
          <w:tcPr>
            <w:tcW w:w="1247"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腎機能（</w:t>
            </w:r>
            <w:r>
              <w:rPr>
                <w:rFonts w:hint="eastAsia"/>
                <w:b w:val="1"/>
              </w:rPr>
              <w:t>eGFR</w:t>
            </w:r>
            <w:r>
              <w:rPr>
                <w:rFonts w:hint="eastAsia"/>
                <w:b w:val="1"/>
              </w:rPr>
              <w:t>）</w:t>
            </w:r>
          </w:p>
        </w:tc>
        <w:tc>
          <w:tcPr>
            <w:tcW w:w="75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該当者数（人）</w:t>
            </w:r>
          </w:p>
        </w:tc>
        <w:tc>
          <w:tcPr>
            <w:tcW w:w="75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人数（人）</w:t>
            </w:r>
          </w:p>
        </w:tc>
        <w:tc>
          <w:tcPr>
            <w:tcW w:w="75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w:t>
            </w:r>
            <w:r>
              <w:rPr>
                <w:rFonts w:hint="eastAsia"/>
                <w:b w:val="1"/>
              </w:rPr>
              <w:t>_</w:t>
            </w:r>
            <w:r>
              <w:rPr>
                <w:rFonts w:hint="eastAsia"/>
                <w:b w:val="1"/>
              </w:rPr>
              <w:t>割合</w:t>
            </w:r>
          </w:p>
        </w:tc>
        <w:tc>
          <w:tcPr>
            <w:tcW w:w="75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服薬なしのうち、</w:t>
            </w:r>
          </w:p>
          <w:p>
            <w:pPr>
              <w:pStyle w:val="0"/>
              <w:jc w:val="center"/>
              <w:rPr>
                <w:rFonts w:hint="default"/>
                <w:b w:val="1"/>
              </w:rPr>
            </w:pPr>
            <w:r>
              <w:rPr>
                <w:rFonts w:hint="eastAsia"/>
                <w:b w:val="1"/>
              </w:rPr>
              <w:t>透析なし</w:t>
            </w:r>
            <w:r>
              <w:rPr>
                <w:rFonts w:hint="default"/>
                <w:b w:val="1"/>
              </w:rPr>
              <w:t>_</w:t>
            </w:r>
            <w:r>
              <w:rPr>
                <w:rFonts w:hint="default"/>
                <w:b w:val="1"/>
              </w:rPr>
              <w:t>人数（人）</w:t>
            </w:r>
          </w:p>
        </w:tc>
        <w:tc>
          <w:tcPr>
            <w:tcW w:w="75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該当者のうち、</w:t>
            </w:r>
          </w:p>
          <w:p>
            <w:pPr>
              <w:pStyle w:val="0"/>
              <w:jc w:val="center"/>
              <w:rPr>
                <w:rFonts w:hint="default"/>
                <w:b w:val="1"/>
              </w:rPr>
            </w:pPr>
            <w:r>
              <w:rPr>
                <w:rFonts w:hint="eastAsia"/>
                <w:b w:val="1"/>
              </w:rPr>
              <w:t>服薬なし</w:t>
            </w:r>
            <w:r>
              <w:rPr>
                <w:rFonts w:hint="eastAsia"/>
                <w:b w:val="1"/>
              </w:rPr>
              <w:t>_</w:t>
            </w:r>
            <w:r>
              <w:rPr>
                <w:rFonts w:hint="eastAsia"/>
                <w:b w:val="1"/>
              </w:rPr>
              <w:t>透析なし</w:t>
            </w:r>
            <w:r>
              <w:rPr>
                <w:rFonts w:hint="default"/>
                <w:b w:val="1"/>
              </w:rPr>
              <w:t>_</w:t>
            </w:r>
            <w:r>
              <w:rPr>
                <w:rFonts w:hint="default"/>
                <w:b w:val="1"/>
              </w:rPr>
              <w:t>割合</w:t>
            </w:r>
          </w:p>
        </w:tc>
      </w:tr>
      <w:tr>
        <w:trPr/>
        <w:tc>
          <w:tcPr>
            <w:tcW w:w="1247" w:type="pct"/>
            <w:tcMar>
              <w:top w:w="28" w:type="dxa"/>
              <w:left w:w="28" w:type="dxa"/>
              <w:bottom w:w="28" w:type="dxa"/>
              <w:right w:w="28" w:type="dxa"/>
            </w:tcMar>
            <w:vAlign w:val="center"/>
          </w:tcPr>
          <w:p>
            <w:pPr>
              <w:pStyle w:val="0"/>
              <w:rPr>
                <w:rFonts w:hint="default"/>
              </w:rPr>
            </w:pPr>
            <w:r>
              <w:rPr>
                <w:rFonts w:hint="eastAsia"/>
              </w:rPr>
              <w:t>30ml/</w:t>
            </w:r>
            <w:r>
              <w:rPr>
                <w:rFonts w:hint="eastAsia"/>
              </w:rPr>
              <w:t>分</w:t>
            </w:r>
            <w:r>
              <w:rPr>
                <w:rFonts w:hint="eastAsia"/>
              </w:rPr>
              <w:t>/1.73m</w:t>
            </w:r>
            <w:r>
              <w:rPr>
                <w:rFonts w:hint="eastAsia"/>
                <w:vertAlign w:val="superscript"/>
              </w:rPr>
              <w:t>2</w:t>
            </w:r>
            <w:r>
              <w:rPr>
                <w:rFonts w:hint="eastAsia"/>
              </w:rPr>
              <w:t>以上</w:t>
            </w:r>
          </w:p>
          <w:p>
            <w:pPr>
              <w:pStyle w:val="0"/>
              <w:rPr>
                <w:rFonts w:hint="default"/>
              </w:rPr>
            </w:pPr>
            <w:r>
              <w:rPr>
                <w:rFonts w:hint="eastAsia"/>
              </w:rPr>
              <w:t>45ml/</w:t>
            </w:r>
            <w:r>
              <w:rPr>
                <w:rFonts w:hint="eastAsia"/>
              </w:rPr>
              <w:t>分</w:t>
            </w:r>
            <w:r>
              <w:rPr>
                <w:rFonts w:hint="eastAsia"/>
              </w:rPr>
              <w:t>/1.73m</w:t>
            </w:r>
            <w:r>
              <w:rPr>
                <w:rFonts w:hint="eastAsia"/>
                <w:vertAlign w:val="superscript"/>
              </w:rPr>
              <w:t>2</w:t>
            </w:r>
            <w:r>
              <w:rPr>
                <w:rFonts w:hint="eastAsia"/>
              </w:rPr>
              <w:t>未満</w:t>
            </w:r>
          </w:p>
        </w:tc>
        <w:tc>
          <w:tcPr>
            <w:tcW w:w="751" w:type="pct"/>
            <w:tcMar>
              <w:top w:w="28" w:type="dxa"/>
              <w:left w:w="28" w:type="dxa"/>
              <w:bottom w:w="28" w:type="dxa"/>
              <w:right w:w="28" w:type="dxa"/>
            </w:tcMar>
            <w:vAlign w:val="center"/>
          </w:tcPr>
          <w:p>
            <w:pPr>
              <w:pStyle w:val="0"/>
              <w:jc w:val="right"/>
              <w:rPr>
                <w:rFonts w:hint="default"/>
              </w:rPr>
            </w:pPr>
            <w:r>
              <w:rPr>
                <w:rFonts w:hint="eastAsia"/>
              </w:rPr>
              <w:t>27</w:t>
            </w:r>
          </w:p>
        </w:tc>
        <w:tc>
          <w:tcPr>
            <w:tcW w:w="751" w:type="pct"/>
            <w:tcMar>
              <w:top w:w="28" w:type="dxa"/>
              <w:left w:w="28" w:type="dxa"/>
              <w:bottom w:w="28" w:type="dxa"/>
              <w:right w:w="28" w:type="dxa"/>
            </w:tcMar>
            <w:vAlign w:val="center"/>
          </w:tcPr>
          <w:p>
            <w:pPr>
              <w:pStyle w:val="0"/>
              <w:jc w:val="right"/>
              <w:rPr>
                <w:rFonts w:hint="default"/>
              </w:rPr>
            </w:pPr>
            <w:r>
              <w:rPr>
                <w:rFonts w:hint="eastAsia"/>
              </w:rPr>
              <w:t>2</w:t>
            </w:r>
          </w:p>
        </w:tc>
        <w:tc>
          <w:tcPr>
            <w:tcW w:w="751" w:type="pct"/>
            <w:tcMar>
              <w:top w:w="28" w:type="dxa"/>
              <w:left w:w="28" w:type="dxa"/>
              <w:bottom w:w="28" w:type="dxa"/>
              <w:right w:w="28" w:type="dxa"/>
            </w:tcMar>
            <w:vAlign w:val="center"/>
          </w:tcPr>
          <w:p>
            <w:pPr>
              <w:pStyle w:val="0"/>
              <w:jc w:val="right"/>
              <w:rPr>
                <w:rFonts w:hint="default"/>
              </w:rPr>
            </w:pPr>
            <w:r>
              <w:rPr>
                <w:rFonts w:hint="default"/>
              </w:rPr>
              <w:t>7.4%</w:t>
            </w:r>
          </w:p>
        </w:tc>
        <w:tc>
          <w:tcPr>
            <w:tcW w:w="751" w:type="pct"/>
            <w:tcMar>
              <w:top w:w="28" w:type="dxa"/>
              <w:left w:w="28" w:type="dxa"/>
              <w:bottom w:w="28" w:type="dxa"/>
              <w:right w:w="28" w:type="dxa"/>
            </w:tcMar>
            <w:vAlign w:val="center"/>
          </w:tcPr>
          <w:p>
            <w:pPr>
              <w:pStyle w:val="0"/>
              <w:jc w:val="right"/>
              <w:rPr>
                <w:rFonts w:hint="default"/>
              </w:rPr>
            </w:pPr>
            <w:r>
              <w:rPr>
                <w:rFonts w:hint="eastAsia"/>
              </w:rPr>
              <w:t>2</w:t>
            </w:r>
          </w:p>
        </w:tc>
        <w:tc>
          <w:tcPr>
            <w:tcW w:w="751" w:type="pct"/>
            <w:tcMar>
              <w:top w:w="28" w:type="dxa"/>
              <w:left w:w="28" w:type="dxa"/>
              <w:bottom w:w="28" w:type="dxa"/>
              <w:right w:w="28" w:type="dxa"/>
            </w:tcMar>
            <w:vAlign w:val="center"/>
          </w:tcPr>
          <w:p>
            <w:pPr>
              <w:pStyle w:val="0"/>
              <w:jc w:val="right"/>
              <w:rPr>
                <w:rFonts w:hint="default"/>
              </w:rPr>
            </w:pPr>
            <w:r>
              <w:rPr>
                <w:rFonts w:hint="default"/>
              </w:rPr>
              <w:t>7.4%</w:t>
            </w:r>
          </w:p>
        </w:tc>
      </w:tr>
      <w:tr>
        <w:trPr/>
        <w:tc>
          <w:tcPr>
            <w:tcW w:w="1247" w:type="pct"/>
            <w:tcMar>
              <w:top w:w="28" w:type="dxa"/>
              <w:left w:w="28" w:type="dxa"/>
              <w:bottom w:w="28" w:type="dxa"/>
              <w:right w:w="28" w:type="dxa"/>
            </w:tcMar>
            <w:vAlign w:val="center"/>
          </w:tcPr>
          <w:p>
            <w:pPr>
              <w:pStyle w:val="0"/>
              <w:rPr>
                <w:rFonts w:hint="default"/>
              </w:rPr>
            </w:pPr>
            <w:r>
              <w:rPr>
                <w:rFonts w:hint="eastAsia"/>
              </w:rPr>
              <w:t>15ml/</w:t>
            </w:r>
            <w:r>
              <w:rPr>
                <w:rFonts w:hint="eastAsia"/>
              </w:rPr>
              <w:t>分</w:t>
            </w:r>
            <w:r>
              <w:rPr>
                <w:rFonts w:hint="eastAsia"/>
              </w:rPr>
              <w:t>/1.73m</w:t>
            </w:r>
            <w:r>
              <w:rPr>
                <w:rFonts w:hint="eastAsia"/>
                <w:vertAlign w:val="superscript"/>
              </w:rPr>
              <w:t>2</w:t>
            </w:r>
            <w:r>
              <w:rPr>
                <w:rFonts w:hint="eastAsia"/>
              </w:rPr>
              <w:t>以上</w:t>
            </w:r>
          </w:p>
          <w:p>
            <w:pPr>
              <w:pStyle w:val="0"/>
              <w:rPr>
                <w:rFonts w:hint="default"/>
              </w:rPr>
            </w:pPr>
            <w:r>
              <w:rPr>
                <w:rFonts w:hint="eastAsia"/>
              </w:rPr>
              <w:t>30ml/</w:t>
            </w:r>
            <w:r>
              <w:rPr>
                <w:rFonts w:hint="eastAsia"/>
              </w:rPr>
              <w:t>分</w:t>
            </w:r>
            <w:r>
              <w:rPr>
                <w:rFonts w:hint="eastAsia"/>
              </w:rPr>
              <w:t>/1.73m</w:t>
            </w:r>
            <w:r>
              <w:rPr>
                <w:rFonts w:hint="eastAsia"/>
                <w:vertAlign w:val="superscript"/>
              </w:rPr>
              <w:t>2</w:t>
            </w:r>
            <w:r>
              <w:rPr>
                <w:rFonts w:hint="eastAsia"/>
              </w:rPr>
              <w:t>未満</w:t>
            </w:r>
          </w:p>
        </w:tc>
        <w:tc>
          <w:tcPr>
            <w:tcW w:w="751" w:type="pct"/>
            <w:tcMar>
              <w:top w:w="28" w:type="dxa"/>
              <w:left w:w="28" w:type="dxa"/>
              <w:bottom w:w="28" w:type="dxa"/>
              <w:right w:w="28" w:type="dxa"/>
            </w:tcMar>
            <w:vAlign w:val="center"/>
          </w:tcPr>
          <w:p>
            <w:pPr>
              <w:pStyle w:val="0"/>
              <w:jc w:val="right"/>
              <w:rPr>
                <w:rFonts w:hint="default"/>
              </w:rPr>
            </w:pPr>
            <w:r>
              <w:rPr>
                <w:rFonts w:hint="eastAsia"/>
              </w:rPr>
              <w:t>5</w:t>
            </w:r>
          </w:p>
        </w:tc>
        <w:tc>
          <w:tcPr>
            <w:tcW w:w="751" w:type="pct"/>
            <w:tcMar>
              <w:top w:w="28" w:type="dxa"/>
              <w:left w:w="28" w:type="dxa"/>
              <w:bottom w:w="28" w:type="dxa"/>
              <w:right w:w="28" w:type="dxa"/>
            </w:tcMar>
            <w:vAlign w:val="center"/>
          </w:tcPr>
          <w:p>
            <w:pPr>
              <w:pStyle w:val="0"/>
              <w:jc w:val="right"/>
              <w:rPr>
                <w:rFonts w:hint="default"/>
              </w:rPr>
            </w:pPr>
            <w:r>
              <w:rPr>
                <w:rFonts w:hint="eastAsia"/>
              </w:rPr>
              <w:t>0</w:t>
            </w:r>
          </w:p>
        </w:tc>
        <w:tc>
          <w:tcPr>
            <w:tcW w:w="751" w:type="pct"/>
            <w:tcMar>
              <w:top w:w="28" w:type="dxa"/>
              <w:left w:w="28" w:type="dxa"/>
              <w:bottom w:w="28" w:type="dxa"/>
              <w:right w:w="28" w:type="dxa"/>
            </w:tcMar>
            <w:vAlign w:val="center"/>
          </w:tcPr>
          <w:p>
            <w:pPr>
              <w:pStyle w:val="0"/>
              <w:jc w:val="right"/>
              <w:rPr>
                <w:rFonts w:hint="default"/>
              </w:rPr>
            </w:pPr>
            <w:r>
              <w:rPr>
                <w:rFonts w:hint="default"/>
              </w:rPr>
              <w:t>0.0%</w:t>
            </w:r>
          </w:p>
        </w:tc>
        <w:tc>
          <w:tcPr>
            <w:tcW w:w="751" w:type="pct"/>
            <w:tcMar>
              <w:top w:w="28" w:type="dxa"/>
              <w:left w:w="28" w:type="dxa"/>
              <w:bottom w:w="28" w:type="dxa"/>
              <w:right w:w="28" w:type="dxa"/>
            </w:tcMar>
            <w:vAlign w:val="center"/>
          </w:tcPr>
          <w:p>
            <w:pPr>
              <w:pStyle w:val="0"/>
              <w:jc w:val="right"/>
              <w:rPr>
                <w:rFonts w:hint="default"/>
              </w:rPr>
            </w:pPr>
            <w:r>
              <w:rPr>
                <w:rFonts w:hint="eastAsia"/>
              </w:rPr>
              <w:t>0</w:t>
            </w:r>
          </w:p>
        </w:tc>
        <w:tc>
          <w:tcPr>
            <w:tcW w:w="751" w:type="pct"/>
            <w:tcMar>
              <w:top w:w="28" w:type="dxa"/>
              <w:left w:w="28" w:type="dxa"/>
              <w:bottom w:w="28" w:type="dxa"/>
              <w:right w:w="28" w:type="dxa"/>
            </w:tcMar>
            <w:vAlign w:val="center"/>
          </w:tcPr>
          <w:p>
            <w:pPr>
              <w:pStyle w:val="0"/>
              <w:jc w:val="right"/>
              <w:rPr>
                <w:rFonts w:hint="default"/>
              </w:rPr>
            </w:pPr>
            <w:r>
              <w:rPr>
                <w:rFonts w:hint="default"/>
              </w:rPr>
              <w:t>0.0%</w:t>
            </w:r>
          </w:p>
        </w:tc>
      </w:tr>
      <w:tr>
        <w:trPr/>
        <w:tc>
          <w:tcPr>
            <w:tcW w:w="1247" w:type="pct"/>
            <w:tcMar>
              <w:top w:w="28" w:type="dxa"/>
              <w:left w:w="28" w:type="dxa"/>
              <w:bottom w:w="28" w:type="dxa"/>
              <w:right w:w="28" w:type="dxa"/>
            </w:tcMar>
            <w:vAlign w:val="center"/>
          </w:tcPr>
          <w:p>
            <w:pPr>
              <w:pStyle w:val="0"/>
              <w:rPr>
                <w:rFonts w:hint="default"/>
              </w:rPr>
            </w:pPr>
            <w:r>
              <w:rPr>
                <w:rFonts w:hint="eastAsia"/>
              </w:rPr>
              <w:t>15ml/</w:t>
            </w:r>
            <w:r>
              <w:rPr>
                <w:rFonts w:hint="eastAsia"/>
              </w:rPr>
              <w:t>分</w:t>
            </w:r>
            <w:r>
              <w:rPr>
                <w:rFonts w:hint="eastAsia"/>
              </w:rPr>
              <w:t>/1.73m</w:t>
            </w:r>
            <w:r>
              <w:rPr>
                <w:rFonts w:hint="eastAsia"/>
                <w:vertAlign w:val="superscript"/>
              </w:rPr>
              <w:t>2</w:t>
            </w:r>
            <w:r>
              <w:rPr>
                <w:rFonts w:hint="eastAsia"/>
              </w:rPr>
              <w:t>未満</w:t>
            </w:r>
          </w:p>
        </w:tc>
        <w:tc>
          <w:tcPr>
            <w:tcW w:w="751" w:type="pct"/>
            <w:tcMar>
              <w:top w:w="28" w:type="dxa"/>
              <w:left w:w="28" w:type="dxa"/>
              <w:bottom w:w="28" w:type="dxa"/>
              <w:right w:w="28" w:type="dxa"/>
            </w:tcMar>
            <w:vAlign w:val="center"/>
          </w:tcPr>
          <w:p>
            <w:pPr>
              <w:pStyle w:val="0"/>
              <w:jc w:val="right"/>
              <w:rPr>
                <w:rFonts w:hint="default"/>
              </w:rPr>
            </w:pPr>
            <w:r>
              <w:rPr>
                <w:rFonts w:hint="eastAsia"/>
              </w:rPr>
              <w:t>0</w:t>
            </w:r>
          </w:p>
        </w:tc>
        <w:tc>
          <w:tcPr>
            <w:tcW w:w="751" w:type="pct"/>
            <w:tcMar>
              <w:top w:w="28" w:type="dxa"/>
              <w:left w:w="28" w:type="dxa"/>
              <w:bottom w:w="28" w:type="dxa"/>
              <w:right w:w="28" w:type="dxa"/>
            </w:tcMar>
            <w:vAlign w:val="center"/>
          </w:tcPr>
          <w:p>
            <w:pPr>
              <w:pStyle w:val="0"/>
              <w:jc w:val="right"/>
              <w:rPr>
                <w:rFonts w:hint="default"/>
              </w:rPr>
            </w:pPr>
            <w:r>
              <w:rPr>
                <w:rFonts w:hint="eastAsia"/>
              </w:rPr>
              <w:t>0</w:t>
            </w:r>
          </w:p>
        </w:tc>
        <w:tc>
          <w:tcPr>
            <w:tcW w:w="751" w:type="pct"/>
            <w:tcMar>
              <w:top w:w="28" w:type="dxa"/>
              <w:left w:w="28" w:type="dxa"/>
              <w:bottom w:w="28" w:type="dxa"/>
              <w:right w:w="28" w:type="dxa"/>
            </w:tcMar>
            <w:vAlign w:val="center"/>
          </w:tcPr>
          <w:p>
            <w:pPr>
              <w:pStyle w:val="0"/>
              <w:jc w:val="right"/>
              <w:rPr>
                <w:rFonts w:hint="default"/>
              </w:rPr>
            </w:pPr>
            <w:r>
              <w:rPr>
                <w:rFonts w:hint="default"/>
              </w:rPr>
              <w:t>0.0%</w:t>
            </w:r>
          </w:p>
        </w:tc>
        <w:tc>
          <w:tcPr>
            <w:tcW w:w="751" w:type="pct"/>
            <w:tcMar>
              <w:top w:w="28" w:type="dxa"/>
              <w:left w:w="28" w:type="dxa"/>
              <w:bottom w:w="28" w:type="dxa"/>
              <w:right w:w="28" w:type="dxa"/>
            </w:tcMar>
            <w:vAlign w:val="center"/>
          </w:tcPr>
          <w:p>
            <w:pPr>
              <w:pStyle w:val="0"/>
              <w:jc w:val="right"/>
              <w:rPr>
                <w:rFonts w:hint="default"/>
              </w:rPr>
            </w:pPr>
            <w:r>
              <w:rPr>
                <w:rFonts w:hint="eastAsia"/>
              </w:rPr>
              <w:t>0</w:t>
            </w:r>
          </w:p>
        </w:tc>
        <w:tc>
          <w:tcPr>
            <w:tcW w:w="751" w:type="pct"/>
            <w:tcMar>
              <w:top w:w="28" w:type="dxa"/>
              <w:left w:w="28" w:type="dxa"/>
              <w:bottom w:w="28" w:type="dxa"/>
              <w:right w:w="28" w:type="dxa"/>
            </w:tcMar>
            <w:vAlign w:val="center"/>
          </w:tcPr>
          <w:p>
            <w:pPr>
              <w:pStyle w:val="0"/>
              <w:jc w:val="right"/>
              <w:rPr>
                <w:rFonts w:hint="default"/>
              </w:rPr>
            </w:pPr>
            <w:r>
              <w:rPr>
                <w:rFonts w:hint="default"/>
              </w:rPr>
              <w:t>0.0%</w:t>
            </w:r>
          </w:p>
        </w:tc>
      </w:tr>
      <w:tr>
        <w:trPr/>
        <w:tc>
          <w:tcPr>
            <w:tcW w:w="1247" w:type="pct"/>
            <w:tcMar>
              <w:top w:w="28" w:type="dxa"/>
              <w:left w:w="28" w:type="dxa"/>
              <w:bottom w:w="28" w:type="dxa"/>
              <w:right w:w="28" w:type="dxa"/>
            </w:tcMar>
            <w:vAlign w:val="center"/>
          </w:tcPr>
          <w:p>
            <w:pPr>
              <w:pStyle w:val="0"/>
              <w:rPr>
                <w:rFonts w:hint="default"/>
              </w:rPr>
            </w:pPr>
            <w:r>
              <w:rPr>
                <w:rFonts w:hint="eastAsia"/>
              </w:rPr>
              <w:t>合計</w:t>
            </w:r>
          </w:p>
        </w:tc>
        <w:tc>
          <w:tcPr>
            <w:tcW w:w="751" w:type="pct"/>
            <w:tcMar>
              <w:top w:w="28" w:type="dxa"/>
              <w:left w:w="28" w:type="dxa"/>
              <w:bottom w:w="28" w:type="dxa"/>
              <w:right w:w="28" w:type="dxa"/>
            </w:tcMar>
            <w:vAlign w:val="center"/>
          </w:tcPr>
          <w:p>
            <w:pPr>
              <w:pStyle w:val="0"/>
              <w:jc w:val="right"/>
              <w:rPr>
                <w:rFonts w:hint="default"/>
              </w:rPr>
            </w:pPr>
            <w:r>
              <w:rPr>
                <w:rFonts w:hint="eastAsia"/>
              </w:rPr>
              <w:t>32</w:t>
            </w:r>
          </w:p>
        </w:tc>
        <w:tc>
          <w:tcPr>
            <w:tcW w:w="751" w:type="pct"/>
            <w:tcMar>
              <w:top w:w="28" w:type="dxa"/>
              <w:left w:w="28" w:type="dxa"/>
              <w:bottom w:w="28" w:type="dxa"/>
              <w:right w:w="28" w:type="dxa"/>
            </w:tcMar>
            <w:vAlign w:val="center"/>
          </w:tcPr>
          <w:p>
            <w:pPr>
              <w:pStyle w:val="0"/>
              <w:jc w:val="right"/>
              <w:rPr>
                <w:rFonts w:hint="default"/>
              </w:rPr>
            </w:pPr>
            <w:r>
              <w:rPr>
                <w:rFonts w:hint="eastAsia"/>
              </w:rPr>
              <w:t>2</w:t>
            </w:r>
          </w:p>
        </w:tc>
        <w:tc>
          <w:tcPr>
            <w:tcW w:w="751" w:type="pct"/>
            <w:tcMar>
              <w:top w:w="28" w:type="dxa"/>
              <w:left w:w="28" w:type="dxa"/>
              <w:bottom w:w="28" w:type="dxa"/>
              <w:right w:w="28" w:type="dxa"/>
            </w:tcMar>
            <w:vAlign w:val="center"/>
          </w:tcPr>
          <w:p>
            <w:pPr>
              <w:pStyle w:val="0"/>
              <w:jc w:val="right"/>
              <w:rPr>
                <w:rFonts w:hint="default"/>
              </w:rPr>
            </w:pPr>
            <w:r>
              <w:rPr>
                <w:rFonts w:hint="default"/>
              </w:rPr>
              <w:t>6.3%</w:t>
            </w:r>
          </w:p>
        </w:tc>
        <w:tc>
          <w:tcPr>
            <w:tcW w:w="751" w:type="pct"/>
            <w:tcMar>
              <w:top w:w="28" w:type="dxa"/>
              <w:left w:w="28" w:type="dxa"/>
              <w:bottom w:w="28" w:type="dxa"/>
              <w:right w:w="28" w:type="dxa"/>
            </w:tcMar>
            <w:vAlign w:val="center"/>
          </w:tcPr>
          <w:p>
            <w:pPr>
              <w:pStyle w:val="0"/>
              <w:jc w:val="right"/>
              <w:rPr>
                <w:rFonts w:hint="default"/>
              </w:rPr>
            </w:pPr>
            <w:r>
              <w:rPr>
                <w:rFonts w:hint="eastAsia"/>
              </w:rPr>
              <w:t>2</w:t>
            </w:r>
          </w:p>
        </w:tc>
        <w:tc>
          <w:tcPr>
            <w:tcW w:w="751" w:type="pct"/>
            <w:tcMar>
              <w:top w:w="28" w:type="dxa"/>
              <w:left w:w="28" w:type="dxa"/>
              <w:bottom w:w="28" w:type="dxa"/>
              <w:right w:w="28" w:type="dxa"/>
            </w:tcMar>
            <w:vAlign w:val="center"/>
          </w:tcPr>
          <w:p>
            <w:pPr>
              <w:pStyle w:val="0"/>
              <w:jc w:val="right"/>
              <w:rPr>
                <w:rFonts w:hint="default"/>
              </w:rPr>
            </w:pPr>
            <w:r>
              <w:rPr>
                <w:rFonts w:hint="default"/>
              </w:rPr>
              <w:t>6.3%</w:t>
            </w:r>
          </w:p>
        </w:tc>
      </w:tr>
    </w:tbl>
    <w:p>
      <w:pPr>
        <w:pStyle w:val="44"/>
        <w:rPr>
          <w:rFonts w:hint="default"/>
        </w:rPr>
      </w:pPr>
      <w:r>
        <w:rPr>
          <w:rFonts w:hint="default"/>
        </w:rPr>
        <w:t>【出典】</w:t>
      </w:r>
      <w:r>
        <w:rPr>
          <w:rFonts w:hint="default"/>
        </w:rPr>
        <w:t>KDB</w:t>
      </w:r>
      <w:r>
        <w:rPr>
          <w:rFonts w:hint="default"/>
        </w:rPr>
        <w:t>帳票</w:t>
      </w:r>
      <w:r>
        <w:rPr>
          <w:rFonts w:hint="default"/>
        </w:rPr>
        <w:t xml:space="preserve"> S26_005-</w:t>
      </w:r>
      <w:r>
        <w:rPr>
          <w:rFonts w:hint="default"/>
        </w:rPr>
        <w:t>保健指導対象者一覧（受診勧奨判定値の者）</w:t>
      </w:r>
      <w:r>
        <w:rPr>
          <w:rFonts w:hint="default"/>
        </w:rPr>
        <w:t xml:space="preserve"> </w:t>
      </w:r>
      <w:r>
        <w:rPr>
          <w:rFonts w:hint="eastAsia"/>
        </w:rPr>
        <w:t>令和</w:t>
      </w:r>
      <w:r>
        <w:rPr>
          <w:rFonts w:hint="eastAsia"/>
        </w:rPr>
        <w:t>4</w:t>
      </w:r>
      <w:r>
        <w:rPr>
          <w:rFonts w:hint="eastAsia"/>
        </w:rPr>
        <w:t>年度</w:t>
      </w:r>
      <w:r>
        <w:rPr>
          <w:rFonts w:hint="default"/>
        </w:rPr>
        <w:t xml:space="preserve"> </w:t>
      </w:r>
      <w:r>
        <w:rPr>
          <w:rFonts w:hint="default"/>
        </w:rPr>
        <w:t>累計</w:t>
      </w:r>
    </w:p>
    <w:p>
      <w:pPr>
        <w:pStyle w:val="0"/>
        <w:rPr>
          <w:rFonts w:hint="default"/>
        </w:rPr>
      </w:pPr>
      <w:r>
        <w:rPr>
          <w:rFonts w:hint="default"/>
        </w:rPr>
        <w:br w:type="page"/>
      </w:r>
    </w:p>
    <w:p>
      <w:pPr>
        <w:pStyle w:val="38"/>
        <w:rPr>
          <w:rFonts w:hint="default"/>
        </w:rPr>
      </w:pPr>
      <w:bookmarkStart w:id="81" w:name="_Ref13088458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6</w:t>
      </w:r>
      <w:r>
        <w:rPr>
          <w:rFonts w:hint="eastAsia"/>
        </w:rPr>
        <w:fldChar w:fldCharType="end"/>
      </w:r>
      <w:bookmarkEnd w:id="81"/>
      <w:r>
        <w:rPr>
          <w:rFonts w:hint="default"/>
        </w:rPr>
        <w:t>：受診勧奨対象者</w:t>
      </w:r>
      <w:r>
        <w:rPr>
          <w:rFonts w:hint="eastAsia"/>
        </w:rPr>
        <w:t>のうち糖尿病での医療機関受診割合</w:t>
      </w:r>
    </w:p>
    <w:tbl>
      <w:tblPr>
        <w:tblStyle w:val="11"/>
        <w:tblW w:w="49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258"/>
        <w:gridCol w:w="1517"/>
        <w:gridCol w:w="1519"/>
        <w:gridCol w:w="1519"/>
        <w:gridCol w:w="1519"/>
      </w:tblGrid>
      <w:tr>
        <w:trPr>
          <w:trHeight w:val="21" w:hRule="atLeast"/>
        </w:trPr>
        <w:tc>
          <w:tcPr>
            <w:tcW w:w="1745" w:type="pct"/>
            <w:shd w:val="clear" w:color="auto" w:fill="CCD6FF"/>
            <w:tcMar>
              <w:top w:w="28" w:type="dxa"/>
              <w:left w:w="28" w:type="dxa"/>
              <w:bottom w:w="28" w:type="dxa"/>
              <w:right w:w="28" w:type="dxa"/>
            </w:tcMar>
            <w:vAlign w:val="center"/>
          </w:tcPr>
          <w:p>
            <w:pPr>
              <w:pStyle w:val="0"/>
              <w:widowControl w:val="0"/>
              <w:rPr>
                <w:rFonts w:hint="default"/>
              </w:rPr>
            </w:pPr>
          </w:p>
        </w:tc>
        <w:tc>
          <w:tcPr>
            <w:tcW w:w="813"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eastAsia"/>
                <w:b w:val="1"/>
              </w:rPr>
              <w:t>1</w:t>
            </w:r>
            <w:r>
              <w:rPr>
                <w:rFonts w:hint="default"/>
                <w:b w:val="1"/>
              </w:rPr>
              <w:t>年度</w:t>
            </w:r>
          </w:p>
        </w:tc>
        <w:tc>
          <w:tcPr>
            <w:tcW w:w="814"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2</w:t>
            </w:r>
            <w:r>
              <w:rPr>
                <w:rFonts w:hint="default"/>
                <w:b w:val="1"/>
              </w:rPr>
              <w:t>年度</w:t>
            </w:r>
          </w:p>
        </w:tc>
        <w:tc>
          <w:tcPr>
            <w:tcW w:w="814"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3</w:t>
            </w:r>
            <w:r>
              <w:rPr>
                <w:rFonts w:hint="default"/>
                <w:b w:val="1"/>
              </w:rPr>
              <w:t>年度</w:t>
            </w:r>
          </w:p>
        </w:tc>
        <w:tc>
          <w:tcPr>
            <w:tcW w:w="814"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4</w:t>
            </w:r>
            <w:r>
              <w:rPr>
                <w:rFonts w:hint="default"/>
                <w:b w:val="1"/>
              </w:rPr>
              <w:t>年度</w:t>
            </w:r>
          </w:p>
        </w:tc>
      </w:tr>
      <w:tr>
        <w:trPr>
          <w:trHeight w:val="21" w:hRule="atLeast"/>
        </w:trPr>
        <w:tc>
          <w:tcPr>
            <w:tcW w:w="1745"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受診勧奨対象者数</w:t>
            </w:r>
          </w:p>
        </w:tc>
        <w:tc>
          <w:tcPr>
            <w:tcW w:w="81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1,736</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927</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1,237</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1,023</w:t>
            </w:r>
          </w:p>
        </w:tc>
      </w:tr>
      <w:tr>
        <w:trPr>
          <w:trHeight w:val="21" w:hRule="atLeast"/>
        </w:trPr>
        <w:tc>
          <w:tcPr>
            <w:tcW w:w="1745"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内、糖尿病での医療機関受診者数（人）</w:t>
            </w:r>
          </w:p>
        </w:tc>
        <w:tc>
          <w:tcPr>
            <w:tcW w:w="81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757</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434</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566</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520</w:t>
            </w:r>
          </w:p>
        </w:tc>
      </w:tr>
      <w:tr>
        <w:trPr>
          <w:trHeight w:val="21" w:hRule="atLeast"/>
        </w:trPr>
        <w:tc>
          <w:tcPr>
            <w:tcW w:w="1745"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医療機関受診割合</w:t>
            </w:r>
          </w:p>
        </w:tc>
        <w:tc>
          <w:tcPr>
            <w:tcW w:w="81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43.6%</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46.8%</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45.8%</w:t>
            </w:r>
          </w:p>
        </w:tc>
        <w:tc>
          <w:tcPr>
            <w:tcW w:w="81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50.8%</w:t>
            </w:r>
          </w:p>
        </w:tc>
      </w:tr>
    </w:tbl>
    <w:p>
      <w:pPr>
        <w:pStyle w:val="0"/>
        <w:ind w:right="100"/>
        <w:jc w:val="right"/>
        <w:rPr>
          <w:rFonts w:hint="default"/>
          <w:b w:val="1"/>
          <w:sz w:val="20"/>
        </w:rPr>
      </w:pPr>
    </w:p>
    <w:p>
      <w:pPr>
        <w:pStyle w:val="38"/>
        <w:rPr>
          <w:rFonts w:hint="default"/>
        </w:rPr>
      </w:pPr>
      <w:bookmarkStart w:id="82" w:name="_Ref130884935"/>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7</w:t>
      </w:r>
      <w:r>
        <w:rPr>
          <w:rFonts w:hint="eastAsia"/>
        </w:rPr>
        <w:fldChar w:fldCharType="end"/>
      </w:r>
      <w:bookmarkEnd w:id="82"/>
      <w:r>
        <w:rPr>
          <w:rFonts w:hint="default"/>
        </w:rPr>
        <w:t>：受診勧奨対象者</w:t>
      </w:r>
      <w:r>
        <w:rPr>
          <w:rFonts w:hint="eastAsia"/>
        </w:rPr>
        <w:t>のうち高血圧での医療機関受診割合</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257"/>
        <w:gridCol w:w="1528"/>
        <w:gridCol w:w="1530"/>
        <w:gridCol w:w="1530"/>
        <w:gridCol w:w="1530"/>
      </w:tblGrid>
      <w:tr>
        <w:trPr>
          <w:trHeight w:val="20" w:hRule="atLeast"/>
        </w:trPr>
        <w:tc>
          <w:tcPr>
            <w:tcW w:w="1737" w:type="pct"/>
            <w:shd w:val="clear" w:color="auto" w:fill="CCD6FF"/>
            <w:tcMar>
              <w:top w:w="28" w:type="dxa"/>
              <w:left w:w="28" w:type="dxa"/>
              <w:bottom w:w="28" w:type="dxa"/>
              <w:right w:w="28" w:type="dxa"/>
            </w:tcMar>
            <w:vAlign w:val="center"/>
          </w:tcPr>
          <w:p>
            <w:pPr>
              <w:pStyle w:val="0"/>
              <w:widowControl w:val="0"/>
              <w:rPr>
                <w:rFonts w:hint="default"/>
              </w:rPr>
            </w:pPr>
          </w:p>
        </w:tc>
        <w:tc>
          <w:tcPr>
            <w:tcW w:w="815"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eastAsia"/>
                <w:b w:val="1"/>
              </w:rPr>
              <w:t>1</w:t>
            </w:r>
            <w:r>
              <w:rPr>
                <w:rFonts w:hint="default"/>
                <w:b w:val="1"/>
              </w:rPr>
              <w:t>年度</w:t>
            </w:r>
          </w:p>
        </w:tc>
        <w:tc>
          <w:tcPr>
            <w:tcW w:w="816"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2</w:t>
            </w:r>
            <w:r>
              <w:rPr>
                <w:rFonts w:hint="default"/>
                <w:b w:val="1"/>
              </w:rPr>
              <w:t>年度</w:t>
            </w:r>
          </w:p>
        </w:tc>
        <w:tc>
          <w:tcPr>
            <w:tcW w:w="816"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3</w:t>
            </w:r>
            <w:r>
              <w:rPr>
                <w:rFonts w:hint="default"/>
                <w:b w:val="1"/>
              </w:rPr>
              <w:t>年度</w:t>
            </w:r>
          </w:p>
        </w:tc>
        <w:tc>
          <w:tcPr>
            <w:tcW w:w="816"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4</w:t>
            </w:r>
            <w:r>
              <w:rPr>
                <w:rFonts w:hint="default"/>
                <w:b w:val="1"/>
              </w:rPr>
              <w:t>年度</w:t>
            </w:r>
          </w:p>
        </w:tc>
      </w:tr>
      <w:tr>
        <w:trPr>
          <w:trHeight w:val="20" w:hRule="atLeast"/>
        </w:trPr>
        <w:tc>
          <w:tcPr>
            <w:tcW w:w="1737"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受診勧奨対象者数</w:t>
            </w:r>
          </w:p>
        </w:tc>
        <w:tc>
          <w:tcPr>
            <w:tcW w:w="81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1,105</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687</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1,040</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975</w:t>
            </w:r>
          </w:p>
        </w:tc>
      </w:tr>
      <w:tr>
        <w:trPr>
          <w:trHeight w:val="20" w:hRule="atLeast"/>
        </w:trPr>
        <w:tc>
          <w:tcPr>
            <w:tcW w:w="1737"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内、高血圧での医療機関受診者数（人）</w:t>
            </w:r>
          </w:p>
        </w:tc>
        <w:tc>
          <w:tcPr>
            <w:tcW w:w="81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744</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465</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641</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590</w:t>
            </w:r>
          </w:p>
        </w:tc>
      </w:tr>
      <w:tr>
        <w:trPr>
          <w:trHeight w:val="20" w:hRule="atLeast"/>
        </w:trPr>
        <w:tc>
          <w:tcPr>
            <w:tcW w:w="1737"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医療機関受診割合</w:t>
            </w:r>
          </w:p>
        </w:tc>
        <w:tc>
          <w:tcPr>
            <w:tcW w:w="81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67.3%</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67.7%</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61.6%</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60.5%</w:t>
            </w:r>
          </w:p>
        </w:tc>
      </w:tr>
    </w:tbl>
    <w:p>
      <w:pPr>
        <w:pStyle w:val="0"/>
        <w:ind w:right="800"/>
        <w:rPr>
          <w:rFonts w:hint="default"/>
          <w:b w:val="1"/>
          <w:sz w:val="17"/>
        </w:rPr>
      </w:pPr>
    </w:p>
    <w:p>
      <w:pPr>
        <w:pStyle w:val="38"/>
        <w:rPr>
          <w:rFonts w:hint="default"/>
        </w:rPr>
      </w:pPr>
      <w:bookmarkStart w:id="83" w:name="_Ref14326736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8</w:t>
      </w:r>
      <w:r>
        <w:rPr>
          <w:rFonts w:hint="eastAsia"/>
        </w:rPr>
        <w:fldChar w:fldCharType="end"/>
      </w:r>
      <w:bookmarkEnd w:id="83"/>
      <w:r>
        <w:rPr>
          <w:rFonts w:hint="default"/>
        </w:rPr>
        <w:t>：受診勧奨対象者</w:t>
      </w:r>
      <w:r>
        <w:rPr>
          <w:rFonts w:hint="eastAsia"/>
        </w:rPr>
        <w:t>のうち脂質異常症での医療機関受診割合</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257"/>
        <w:gridCol w:w="1528"/>
        <w:gridCol w:w="1530"/>
        <w:gridCol w:w="1530"/>
        <w:gridCol w:w="1530"/>
      </w:tblGrid>
      <w:tr>
        <w:trPr>
          <w:trHeight w:val="20" w:hRule="atLeast"/>
        </w:trPr>
        <w:tc>
          <w:tcPr>
            <w:tcW w:w="1737" w:type="pct"/>
            <w:shd w:val="clear" w:color="auto" w:fill="CCD6FF"/>
            <w:tcMar>
              <w:top w:w="28" w:type="dxa"/>
              <w:left w:w="28" w:type="dxa"/>
              <w:bottom w:w="28" w:type="dxa"/>
              <w:right w:w="28" w:type="dxa"/>
            </w:tcMar>
            <w:vAlign w:val="center"/>
          </w:tcPr>
          <w:p>
            <w:pPr>
              <w:pStyle w:val="0"/>
              <w:widowControl w:val="0"/>
              <w:rPr>
                <w:rFonts w:hint="default"/>
              </w:rPr>
            </w:pPr>
          </w:p>
        </w:tc>
        <w:tc>
          <w:tcPr>
            <w:tcW w:w="815"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eastAsia"/>
                <w:b w:val="1"/>
              </w:rPr>
              <w:t>1</w:t>
            </w:r>
            <w:r>
              <w:rPr>
                <w:rFonts w:hint="default"/>
                <w:b w:val="1"/>
              </w:rPr>
              <w:t>年度</w:t>
            </w:r>
          </w:p>
        </w:tc>
        <w:tc>
          <w:tcPr>
            <w:tcW w:w="816"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2</w:t>
            </w:r>
            <w:r>
              <w:rPr>
                <w:rFonts w:hint="default"/>
                <w:b w:val="1"/>
              </w:rPr>
              <w:t>年度</w:t>
            </w:r>
          </w:p>
        </w:tc>
        <w:tc>
          <w:tcPr>
            <w:tcW w:w="816"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3</w:t>
            </w:r>
            <w:r>
              <w:rPr>
                <w:rFonts w:hint="default"/>
                <w:b w:val="1"/>
              </w:rPr>
              <w:t>年度</w:t>
            </w:r>
          </w:p>
        </w:tc>
        <w:tc>
          <w:tcPr>
            <w:tcW w:w="816"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4</w:t>
            </w:r>
            <w:r>
              <w:rPr>
                <w:rFonts w:hint="default"/>
                <w:b w:val="1"/>
              </w:rPr>
              <w:t>年度</w:t>
            </w:r>
          </w:p>
        </w:tc>
      </w:tr>
      <w:tr>
        <w:trPr>
          <w:trHeight w:val="20" w:hRule="atLeast"/>
        </w:trPr>
        <w:tc>
          <w:tcPr>
            <w:tcW w:w="1737"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受診勧奨対象者数</w:t>
            </w:r>
          </w:p>
        </w:tc>
        <w:tc>
          <w:tcPr>
            <w:tcW w:w="81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1,150</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650</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937</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816</w:t>
            </w:r>
          </w:p>
        </w:tc>
      </w:tr>
      <w:tr>
        <w:trPr>
          <w:trHeight w:val="20" w:hRule="atLeast"/>
        </w:trPr>
        <w:tc>
          <w:tcPr>
            <w:tcW w:w="1737"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内、脂質異常症での医療機関受診者数（人）</w:t>
            </w:r>
          </w:p>
        </w:tc>
        <w:tc>
          <w:tcPr>
            <w:tcW w:w="81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589</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354</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469</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421</w:t>
            </w:r>
          </w:p>
        </w:tc>
      </w:tr>
      <w:tr>
        <w:trPr>
          <w:trHeight w:val="20" w:hRule="atLeast"/>
        </w:trPr>
        <w:tc>
          <w:tcPr>
            <w:tcW w:w="1737" w:type="pct"/>
            <w:shd w:val="clear" w:color="auto" w:fill="FFFFFF"/>
            <w:tcMar>
              <w:top w:w="28" w:type="dxa"/>
              <w:left w:w="28" w:type="dxa"/>
              <w:bottom w:w="28" w:type="dxa"/>
              <w:right w:w="28" w:type="dxa"/>
            </w:tcMar>
            <w:vAlign w:val="top"/>
          </w:tcPr>
          <w:p>
            <w:pPr>
              <w:pStyle w:val="0"/>
              <w:widowControl w:val="0"/>
              <w:rPr>
                <w:rFonts w:hint="default"/>
              </w:rPr>
            </w:pPr>
            <w:r>
              <w:rPr>
                <w:rFonts w:hint="eastAsia"/>
              </w:rPr>
              <w:t>医療機関受診割合</w:t>
            </w:r>
          </w:p>
        </w:tc>
        <w:tc>
          <w:tcPr>
            <w:tcW w:w="81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51.2%</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54.5%</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50.1%</w:t>
            </w:r>
          </w:p>
        </w:tc>
        <w:tc>
          <w:tcPr>
            <w:tcW w:w="816"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51.6%</w:t>
            </w:r>
          </w:p>
        </w:tc>
      </w:tr>
    </w:tbl>
    <w:p>
      <w:pPr>
        <w:pStyle w:val="0"/>
        <w:ind w:right="100"/>
        <w:jc w:val="right"/>
        <w:rPr>
          <w:rFonts w:hint="default"/>
          <w:b w:val="1"/>
          <w:sz w:val="20"/>
        </w:rPr>
      </w:pPr>
      <w:r>
        <w:rPr>
          <w:rFonts w:hint="eastAsia"/>
        </w:rPr>
        <w:t>　</w:t>
      </w:r>
      <w:r>
        <w:rPr>
          <w:rFonts w:hint="default"/>
        </w:rPr>
        <w:t>【出典】</w:t>
      </w:r>
      <w:r>
        <w:rPr>
          <w:rFonts w:hint="eastAsia"/>
        </w:rPr>
        <w:t>介入支援実施後の比較</w:t>
      </w:r>
      <w:r>
        <w:rPr>
          <w:rFonts w:hint="eastAsia"/>
        </w:rPr>
        <w:t>(</w:t>
      </w:r>
      <w:r>
        <w:rPr>
          <w:rFonts w:hint="eastAsia"/>
        </w:rPr>
        <w:t>栄養・重症化予防等</w:t>
      </w:r>
      <w:r>
        <w:rPr>
          <w:rFonts w:hint="eastAsia"/>
        </w:rPr>
        <w:t>)_</w:t>
      </w:r>
      <w:r>
        <w:rPr>
          <w:rFonts w:hint="eastAsia"/>
        </w:rPr>
        <w:t>糖尿病・高血圧・脂質異常症</w:t>
      </w:r>
    </w:p>
    <w:p>
      <w:pPr>
        <w:pStyle w:val="0"/>
        <w:rPr>
          <w:rFonts w:hint="default"/>
        </w:rPr>
      </w:pPr>
      <w:r>
        <w:rPr>
          <w:rFonts w:hint="default"/>
        </w:rPr>
        <w:br w:type="page"/>
      </w:r>
    </w:p>
    <w:p>
      <w:pPr>
        <w:pStyle w:val="3"/>
        <w:rPr>
          <w:rFonts w:hint="default"/>
        </w:rPr>
      </w:pPr>
      <w:bookmarkStart w:id="84" w:name="_Toc162548692"/>
      <w:r>
        <w:rPr>
          <w:rFonts w:hint="default"/>
        </w:rPr>
        <w:t>質問票の状況</w:t>
      </w:r>
      <w:bookmarkEnd w:id="84"/>
    </w:p>
    <w:p>
      <w:pPr>
        <w:pStyle w:val="4"/>
        <w:rPr>
          <w:rFonts w:hint="default"/>
        </w:rPr>
      </w:pPr>
      <w:bookmarkStart w:id="85" w:name="_Ref143332636"/>
      <w:r>
        <w:rPr>
          <w:rFonts w:hint="eastAsia"/>
        </w:rPr>
        <w:t>特定健診受診者における質問票の回答状況</w:t>
      </w:r>
      <w:bookmarkEnd w:id="85"/>
    </w:p>
    <w:p>
      <w:pPr>
        <w:pStyle w:val="39"/>
        <w:ind w:firstLine="200"/>
        <w:rPr>
          <w:rFonts w:hint="default"/>
        </w:rPr>
      </w:pPr>
      <w:r>
        <w:rPr>
          <w:rFonts w:hint="eastAsia"/>
        </w:rPr>
        <w:t>ここでは、特定健診での質問票の回答状況から、</w:t>
      </w:r>
      <w:r>
        <w:rPr>
          <w:rFonts w:hint="default"/>
        </w:rPr>
        <w:t>八街市の特定健診受診者におけ</w:t>
      </w:r>
      <w:r>
        <w:rPr>
          <w:rFonts w:hint="eastAsia"/>
        </w:rPr>
        <w:t>る喫煙や運動習慣、食事、睡眠などの生活習慣における傾向を概観する。</w:t>
      </w:r>
    </w:p>
    <w:p>
      <w:pPr>
        <w:pStyle w:val="39"/>
        <w:ind w:firstLine="200"/>
        <w:rPr>
          <w:rFonts w:hint="default"/>
        </w:rPr>
      </w:pPr>
      <w:r>
        <w:rPr>
          <w:rFonts w:hint="eastAsia"/>
        </w:rPr>
        <w:t>令和</w:t>
      </w:r>
      <w:r>
        <w:rPr>
          <w:rFonts w:hint="eastAsia"/>
        </w:rPr>
        <w:t>4</w:t>
      </w:r>
      <w:r>
        <w:rPr>
          <w:rFonts w:hint="eastAsia"/>
        </w:rPr>
        <w:t>年度の</w:t>
      </w:r>
      <w:r>
        <w:rPr>
          <w:rFonts w:hint="default"/>
        </w:rPr>
        <w:t>特定健診受診者の質問票から生活習慣の状況をみると（</w:t>
      </w:r>
      <w:r>
        <w:rPr>
          <w:rFonts w:hint="eastAsia"/>
        </w:rPr>
        <w:fldChar w:fldCharType="begin"/>
      </w:r>
      <w:r>
        <w:rPr>
          <w:rFonts w:hint="eastAsia"/>
        </w:rPr>
        <w:instrText xml:space="preserve">REF _Ref122541662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6</w:t>
      </w:r>
      <w:r>
        <w:rPr>
          <w:rFonts w:hint="eastAsia"/>
        </w:rPr>
        <w:t>-</w:t>
      </w:r>
      <w:r>
        <w:rPr>
          <w:rFonts w:hint="default"/>
        </w:rPr>
        <w:t>1</w:t>
      </w:r>
      <w:r>
        <w:rPr>
          <w:rFonts w:hint="eastAsia"/>
        </w:rPr>
        <w:fldChar w:fldCharType="end"/>
      </w:r>
      <w:r>
        <w:rPr>
          <w:rFonts w:hint="default"/>
        </w:rPr>
        <w:t>）、</w:t>
      </w:r>
      <w:r>
        <w:rPr>
          <w:rFonts w:hint="eastAsia"/>
        </w:rPr>
        <w:t>国や</w:t>
      </w:r>
      <w:r>
        <w:rPr>
          <w:rFonts w:hint="default"/>
        </w:rPr>
        <w:t>県と比較して「喫煙」「</w:t>
      </w:r>
      <w:r>
        <w:rPr>
          <w:rFonts w:hint="default"/>
        </w:rPr>
        <w:t>20</w:t>
      </w:r>
      <w:r>
        <w:rPr>
          <w:rFonts w:hint="default"/>
        </w:rPr>
        <w:t>歳時体重から</w:t>
      </w:r>
      <w:r>
        <w:rPr>
          <w:rFonts w:hint="default"/>
        </w:rPr>
        <w:t>10kg</w:t>
      </w:r>
      <w:r>
        <w:rPr>
          <w:rFonts w:hint="default"/>
        </w:rPr>
        <w:t>以上増加」「週</w:t>
      </w:r>
      <w:r>
        <w:rPr>
          <w:rFonts w:hint="default"/>
        </w:rPr>
        <w:t>3</w:t>
      </w:r>
      <w:r>
        <w:rPr>
          <w:rFonts w:hint="default"/>
        </w:rPr>
        <w:t>回以上就寝前夕食」「週</w:t>
      </w:r>
      <w:r>
        <w:rPr>
          <w:rFonts w:hint="default"/>
        </w:rPr>
        <w:t>3</w:t>
      </w:r>
      <w:r>
        <w:rPr>
          <w:rFonts w:hint="default"/>
        </w:rPr>
        <w:t>回以上朝食を抜く」「毎日飲酒」「睡眠不足」「生活改善意欲なし」「間食毎日」の回答割合が高い。</w:t>
      </w:r>
    </w:p>
    <w:p>
      <w:pPr>
        <w:pStyle w:val="0"/>
        <w:rPr>
          <w:rFonts w:hint="default"/>
        </w:rPr>
      </w:pPr>
    </w:p>
    <w:p>
      <w:pPr>
        <w:pStyle w:val="38"/>
        <w:rPr>
          <w:rFonts w:hint="default"/>
        </w:rPr>
      </w:pPr>
      <w:bookmarkStart w:id="86" w:name="_Ref122541662"/>
      <w:bookmarkStart w:id="87" w:name="_Toc12493684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86"/>
      <w:r>
        <w:rPr>
          <w:rFonts w:hint="default"/>
        </w:rPr>
        <w:t>：特定健診受診者における質問票項目別回答者の割合</w:t>
      </w:r>
      <w:bookmarkEnd w:id="87"/>
    </w:p>
    <w:p>
      <w:pPr>
        <w:pStyle w:val="0"/>
        <w:tabs>
          <w:tab w:val="right" w:leader="none" w:pos="10204"/>
        </w:tabs>
        <w:spacing w:before="60" w:beforeLines="0" w:beforeAutospacing="0" w:line="240" w:lineRule="auto"/>
        <w:jc w:val="center"/>
        <w:rPr>
          <w:rFonts w:hint="default"/>
        </w:rPr>
      </w:pPr>
      <w:r>
        <w:rPr>
          <w:rFonts w:hint="eastAsia"/>
        </w:rPr>
        <w:drawing>
          <wp:inline distT="0" distB="0" distL="0" distR="0">
            <wp:extent cx="5939790" cy="2519680"/>
            <wp:effectExtent l="0" t="0" r="0" b="0"/>
            <wp:docPr id="1081" name="オブジェクト 0"/>
            <a:graphic xmlns:a="http://schemas.openxmlformats.org/drawingml/2006/main">
              <a:graphicData uri="http://schemas.openxmlformats.org/drawingml/2006/chart">
                <c:chart xmlns:c="http://schemas.openxmlformats.org/drawingml/2006/chart" r:id="rId36"/>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97"/>
        <w:gridCol w:w="618"/>
        <w:gridCol w:w="620"/>
        <w:gridCol w:w="620"/>
        <w:gridCol w:w="620"/>
        <w:gridCol w:w="621"/>
        <w:gridCol w:w="621"/>
        <w:gridCol w:w="621"/>
        <w:gridCol w:w="619"/>
        <w:gridCol w:w="621"/>
        <w:gridCol w:w="621"/>
        <w:gridCol w:w="621"/>
        <w:gridCol w:w="621"/>
        <w:gridCol w:w="621"/>
        <w:gridCol w:w="613"/>
      </w:tblGrid>
      <w:tr>
        <w:trPr>
          <w:trHeight w:val="32" w:hRule="atLeast"/>
        </w:trPr>
        <w:tc>
          <w:tcPr>
            <w:tcW w:w="372" w:type="pct"/>
            <w:shd w:val="clear" w:color="auto" w:fill="CCD6FF"/>
            <w:tcMar>
              <w:top w:w="28" w:type="dxa"/>
              <w:left w:w="28" w:type="dxa"/>
              <w:bottom w:w="28" w:type="dxa"/>
              <w:right w:w="28" w:type="dxa"/>
            </w:tcMar>
            <w:vAlign w:val="center"/>
          </w:tcPr>
          <w:p>
            <w:pPr>
              <w:pStyle w:val="0"/>
              <w:rPr>
                <w:rFonts w:hint="default"/>
                <w:sz w:val="14"/>
              </w:rPr>
            </w:pPr>
          </w:p>
        </w:tc>
        <w:tc>
          <w:tcPr>
            <w:tcW w:w="33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喫煙</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20</w:t>
            </w:r>
            <w:r>
              <w:rPr>
                <w:rFonts w:hint="default"/>
                <w:b w:val="1"/>
                <w:sz w:val="14"/>
              </w:rPr>
              <w:t>歳時</w:t>
            </w:r>
          </w:p>
          <w:p>
            <w:pPr>
              <w:pStyle w:val="0"/>
              <w:jc w:val="center"/>
              <w:rPr>
                <w:rFonts w:hint="default"/>
                <w:b w:val="1"/>
                <w:sz w:val="14"/>
              </w:rPr>
            </w:pPr>
            <w:r>
              <w:rPr>
                <w:rFonts w:hint="default"/>
                <w:b w:val="1"/>
                <w:sz w:val="14"/>
              </w:rPr>
              <w:t>体重から</w:t>
            </w:r>
          </w:p>
          <w:p>
            <w:pPr>
              <w:pStyle w:val="0"/>
              <w:jc w:val="center"/>
              <w:rPr>
                <w:rFonts w:hint="default"/>
                <w:b w:val="1"/>
                <w:sz w:val="14"/>
              </w:rPr>
            </w:pPr>
            <w:r>
              <w:rPr>
                <w:rFonts w:hint="default"/>
                <w:b w:val="1"/>
                <w:sz w:val="14"/>
              </w:rPr>
              <w:t>10kg</w:t>
            </w:r>
          </w:p>
          <w:p>
            <w:pPr>
              <w:pStyle w:val="0"/>
              <w:jc w:val="center"/>
              <w:rPr>
                <w:rFonts w:hint="default"/>
                <w:b w:val="1"/>
                <w:sz w:val="14"/>
              </w:rPr>
            </w:pPr>
            <w:r>
              <w:rPr>
                <w:rFonts w:hint="default"/>
                <w:b w:val="1"/>
                <w:sz w:val="14"/>
              </w:rPr>
              <w:t>以上増加</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1</w:t>
            </w:r>
            <w:r>
              <w:rPr>
                <w:rFonts w:hint="default"/>
                <w:b w:val="1"/>
                <w:sz w:val="14"/>
              </w:rPr>
              <w:t>回</w:t>
            </w:r>
            <w:r>
              <w:rPr>
                <w:rFonts w:hint="default"/>
                <w:b w:val="1"/>
                <w:sz w:val="14"/>
              </w:rPr>
              <w:t>30</w:t>
            </w:r>
            <w:r>
              <w:rPr>
                <w:rFonts w:hint="default"/>
                <w:b w:val="1"/>
                <w:sz w:val="14"/>
              </w:rPr>
              <w:t>分以上の</w:t>
            </w:r>
          </w:p>
          <w:p>
            <w:pPr>
              <w:pStyle w:val="0"/>
              <w:jc w:val="center"/>
              <w:rPr>
                <w:rFonts w:hint="default"/>
                <w:b w:val="1"/>
                <w:sz w:val="14"/>
              </w:rPr>
            </w:pPr>
            <w:r>
              <w:rPr>
                <w:rFonts w:hint="default"/>
                <w:b w:val="1"/>
                <w:sz w:val="14"/>
              </w:rPr>
              <w:t>運動習慣</w:t>
            </w:r>
          </w:p>
          <w:p>
            <w:pPr>
              <w:pStyle w:val="0"/>
              <w:jc w:val="center"/>
              <w:rPr>
                <w:rFonts w:hint="default"/>
                <w:b w:val="1"/>
                <w:sz w:val="14"/>
              </w:rPr>
            </w:pPr>
            <w:r>
              <w:rPr>
                <w:rFonts w:hint="default"/>
                <w:b w:val="1"/>
                <w:sz w:val="14"/>
              </w:rPr>
              <w:t>なし</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1</w:t>
            </w:r>
            <w:r>
              <w:rPr>
                <w:rFonts w:hint="default"/>
                <w:b w:val="1"/>
                <w:sz w:val="14"/>
              </w:rPr>
              <w:t>日</w:t>
            </w:r>
            <w:r>
              <w:rPr>
                <w:rFonts w:hint="default"/>
                <w:b w:val="1"/>
                <w:sz w:val="14"/>
              </w:rPr>
              <w:t>1</w:t>
            </w:r>
            <w:r>
              <w:rPr>
                <w:rFonts w:hint="default"/>
                <w:b w:val="1"/>
                <w:sz w:val="14"/>
              </w:rPr>
              <w:t>時間以上</w:t>
            </w:r>
          </w:p>
          <w:p>
            <w:pPr>
              <w:pStyle w:val="0"/>
              <w:jc w:val="center"/>
              <w:rPr>
                <w:rFonts w:hint="default"/>
                <w:b w:val="1"/>
                <w:sz w:val="14"/>
              </w:rPr>
            </w:pPr>
            <w:r>
              <w:rPr>
                <w:rFonts w:hint="default"/>
                <w:b w:val="1"/>
                <w:sz w:val="14"/>
              </w:rPr>
              <w:t>運動なし</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歩行速度</w:t>
            </w:r>
          </w:p>
          <w:p>
            <w:pPr>
              <w:pStyle w:val="0"/>
              <w:jc w:val="center"/>
              <w:rPr>
                <w:rFonts w:hint="default"/>
                <w:b w:val="1"/>
                <w:sz w:val="14"/>
              </w:rPr>
            </w:pPr>
            <w:r>
              <w:rPr>
                <w:rFonts w:hint="default"/>
                <w:b w:val="1"/>
                <w:sz w:val="14"/>
              </w:rPr>
              <w:t>遅い</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食べる</w:t>
            </w:r>
          </w:p>
          <w:p>
            <w:pPr>
              <w:pStyle w:val="0"/>
              <w:jc w:val="center"/>
              <w:rPr>
                <w:rFonts w:hint="default"/>
                <w:b w:val="1"/>
                <w:sz w:val="14"/>
              </w:rPr>
            </w:pPr>
            <w:r>
              <w:rPr>
                <w:rFonts w:hint="default"/>
                <w:b w:val="1"/>
                <w:sz w:val="14"/>
              </w:rPr>
              <w:t>速度が</w:t>
            </w:r>
          </w:p>
          <w:p>
            <w:pPr>
              <w:pStyle w:val="0"/>
              <w:jc w:val="center"/>
              <w:rPr>
                <w:rFonts w:hint="default"/>
                <w:b w:val="1"/>
                <w:sz w:val="14"/>
              </w:rPr>
            </w:pPr>
            <w:r>
              <w:rPr>
                <w:rFonts w:hint="default"/>
                <w:b w:val="1"/>
                <w:sz w:val="14"/>
              </w:rPr>
              <w:t>速い</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週</w:t>
            </w:r>
            <w:r>
              <w:rPr>
                <w:rFonts w:hint="default"/>
                <w:b w:val="1"/>
                <w:sz w:val="14"/>
              </w:rPr>
              <w:t>3</w:t>
            </w:r>
            <w:r>
              <w:rPr>
                <w:rFonts w:hint="default"/>
                <w:b w:val="1"/>
                <w:sz w:val="14"/>
              </w:rPr>
              <w:t>回</w:t>
            </w:r>
          </w:p>
          <w:p>
            <w:pPr>
              <w:pStyle w:val="0"/>
              <w:jc w:val="center"/>
              <w:rPr>
                <w:rFonts w:hint="default"/>
                <w:b w:val="1"/>
                <w:sz w:val="14"/>
              </w:rPr>
            </w:pPr>
            <w:r>
              <w:rPr>
                <w:rFonts w:hint="default"/>
                <w:b w:val="1"/>
                <w:sz w:val="14"/>
              </w:rPr>
              <w:t>以上</w:t>
            </w:r>
          </w:p>
          <w:p>
            <w:pPr>
              <w:pStyle w:val="0"/>
              <w:jc w:val="center"/>
              <w:rPr>
                <w:rFonts w:hint="default"/>
                <w:b w:val="1"/>
                <w:sz w:val="14"/>
              </w:rPr>
            </w:pPr>
            <w:r>
              <w:rPr>
                <w:rFonts w:hint="default"/>
                <w:b w:val="1"/>
                <w:sz w:val="14"/>
              </w:rPr>
              <w:t>就寝前</w:t>
            </w:r>
          </w:p>
          <w:p>
            <w:pPr>
              <w:pStyle w:val="0"/>
              <w:jc w:val="center"/>
              <w:rPr>
                <w:rFonts w:hint="default"/>
                <w:b w:val="1"/>
                <w:sz w:val="14"/>
              </w:rPr>
            </w:pPr>
            <w:r>
              <w:rPr>
                <w:rFonts w:hint="default"/>
                <w:b w:val="1"/>
                <w:sz w:val="14"/>
              </w:rPr>
              <w:t>夕食</w:t>
            </w:r>
          </w:p>
        </w:tc>
        <w:tc>
          <w:tcPr>
            <w:tcW w:w="33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週</w:t>
            </w:r>
            <w:r>
              <w:rPr>
                <w:rFonts w:hint="default"/>
                <w:b w:val="1"/>
                <w:sz w:val="14"/>
              </w:rPr>
              <w:t>3</w:t>
            </w:r>
            <w:r>
              <w:rPr>
                <w:rFonts w:hint="default"/>
                <w:b w:val="1"/>
                <w:sz w:val="14"/>
              </w:rPr>
              <w:t>回</w:t>
            </w:r>
          </w:p>
          <w:p>
            <w:pPr>
              <w:pStyle w:val="0"/>
              <w:jc w:val="center"/>
              <w:rPr>
                <w:rFonts w:hint="default"/>
                <w:b w:val="1"/>
                <w:sz w:val="14"/>
              </w:rPr>
            </w:pPr>
            <w:r>
              <w:rPr>
                <w:rFonts w:hint="default"/>
                <w:b w:val="1"/>
                <w:sz w:val="14"/>
              </w:rPr>
              <w:t>以上</w:t>
            </w:r>
          </w:p>
          <w:p>
            <w:pPr>
              <w:pStyle w:val="0"/>
              <w:jc w:val="center"/>
              <w:rPr>
                <w:rFonts w:hint="default"/>
                <w:b w:val="1"/>
                <w:sz w:val="14"/>
              </w:rPr>
            </w:pPr>
            <w:r>
              <w:rPr>
                <w:rFonts w:hint="default"/>
                <w:b w:val="1"/>
                <w:sz w:val="14"/>
              </w:rPr>
              <w:t>朝食を</w:t>
            </w:r>
          </w:p>
          <w:p>
            <w:pPr>
              <w:pStyle w:val="0"/>
              <w:jc w:val="center"/>
              <w:rPr>
                <w:rFonts w:hint="default"/>
                <w:b w:val="1"/>
                <w:sz w:val="14"/>
              </w:rPr>
            </w:pPr>
            <w:r>
              <w:rPr>
                <w:rFonts w:hint="default"/>
                <w:b w:val="1"/>
                <w:sz w:val="14"/>
              </w:rPr>
              <w:t>抜く</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毎日</w:t>
            </w:r>
          </w:p>
          <w:p>
            <w:pPr>
              <w:pStyle w:val="0"/>
              <w:jc w:val="center"/>
              <w:rPr>
                <w:rFonts w:hint="default"/>
                <w:b w:val="1"/>
                <w:sz w:val="14"/>
              </w:rPr>
            </w:pPr>
            <w:r>
              <w:rPr>
                <w:rFonts w:hint="default"/>
                <w:b w:val="1"/>
                <w:sz w:val="14"/>
              </w:rPr>
              <w:t>飲酒</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1</w:t>
            </w:r>
            <w:r>
              <w:rPr>
                <w:rFonts w:hint="eastAsia"/>
                <w:b w:val="1"/>
                <w:sz w:val="14"/>
              </w:rPr>
              <w:t>日</w:t>
            </w:r>
          </w:p>
          <w:p>
            <w:pPr>
              <w:pStyle w:val="0"/>
              <w:jc w:val="center"/>
              <w:rPr>
                <w:rFonts w:hint="default"/>
                <w:b w:val="1"/>
                <w:sz w:val="14"/>
              </w:rPr>
            </w:pPr>
            <w:r>
              <w:rPr>
                <w:rFonts w:hint="default"/>
                <w:b w:val="1"/>
                <w:sz w:val="14"/>
              </w:rPr>
              <w:t>3</w:t>
            </w:r>
            <w:r>
              <w:rPr>
                <w:rFonts w:hint="default"/>
                <w:b w:val="1"/>
                <w:sz w:val="14"/>
              </w:rPr>
              <w:t>合</w:t>
            </w:r>
          </w:p>
          <w:p>
            <w:pPr>
              <w:pStyle w:val="0"/>
              <w:jc w:val="center"/>
              <w:rPr>
                <w:rFonts w:hint="default"/>
                <w:b w:val="1"/>
                <w:sz w:val="14"/>
              </w:rPr>
            </w:pPr>
            <w:r>
              <w:rPr>
                <w:rFonts w:hint="default"/>
                <w:b w:val="1"/>
                <w:sz w:val="14"/>
              </w:rPr>
              <w:t>以上</w:t>
            </w:r>
          </w:p>
          <w:p>
            <w:pPr>
              <w:pStyle w:val="0"/>
              <w:jc w:val="center"/>
              <w:rPr>
                <w:rFonts w:hint="default"/>
                <w:b w:val="1"/>
                <w:sz w:val="14"/>
              </w:rPr>
            </w:pPr>
            <w:r>
              <w:rPr>
                <w:rFonts w:hint="eastAsia"/>
                <w:b w:val="1"/>
                <w:sz w:val="14"/>
              </w:rPr>
              <w:t>飲酒</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睡眠不足</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生活改善</w:t>
            </w:r>
          </w:p>
          <w:p>
            <w:pPr>
              <w:pStyle w:val="0"/>
              <w:jc w:val="center"/>
              <w:rPr>
                <w:rFonts w:hint="default"/>
                <w:b w:val="1"/>
                <w:sz w:val="14"/>
              </w:rPr>
            </w:pPr>
            <w:r>
              <w:rPr>
                <w:rFonts w:hint="default"/>
                <w:b w:val="1"/>
                <w:sz w:val="14"/>
              </w:rPr>
              <w:t>意欲なし</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咀嚼</w:t>
            </w:r>
          </w:p>
          <w:p>
            <w:pPr>
              <w:pStyle w:val="0"/>
              <w:jc w:val="center"/>
              <w:rPr>
                <w:rFonts w:hint="default"/>
                <w:b w:val="1"/>
                <w:sz w:val="14"/>
              </w:rPr>
            </w:pPr>
            <w:r>
              <w:rPr>
                <w:rFonts w:hint="default"/>
                <w:b w:val="1"/>
                <w:sz w:val="14"/>
              </w:rPr>
              <w:t>ほとんど</w:t>
            </w:r>
          </w:p>
          <w:p>
            <w:pPr>
              <w:pStyle w:val="0"/>
              <w:jc w:val="center"/>
              <w:rPr>
                <w:rFonts w:hint="default"/>
                <w:b w:val="1"/>
                <w:sz w:val="14"/>
              </w:rPr>
            </w:pPr>
            <w:r>
              <w:rPr>
                <w:rFonts w:hint="default"/>
                <w:b w:val="1"/>
                <w:sz w:val="14"/>
              </w:rPr>
              <w:t>かめない</w:t>
            </w:r>
          </w:p>
        </w:tc>
        <w:tc>
          <w:tcPr>
            <w:tcW w:w="33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間食</w:t>
            </w:r>
          </w:p>
          <w:p>
            <w:pPr>
              <w:pStyle w:val="0"/>
              <w:jc w:val="center"/>
              <w:rPr>
                <w:rFonts w:hint="default"/>
                <w:b w:val="1"/>
                <w:sz w:val="14"/>
              </w:rPr>
            </w:pPr>
            <w:r>
              <w:rPr>
                <w:rFonts w:hint="default"/>
                <w:b w:val="1"/>
                <w:sz w:val="14"/>
              </w:rPr>
              <w:t>毎日</w:t>
            </w:r>
          </w:p>
        </w:tc>
      </w:tr>
      <w:tr>
        <w:trPr>
          <w:trHeight w:val="193" w:hRule="atLeast"/>
        </w:trPr>
        <w:tc>
          <w:tcPr>
            <w:tcW w:w="372" w:type="pct"/>
            <w:tcMar>
              <w:top w:w="28" w:type="dxa"/>
              <w:left w:w="28" w:type="dxa"/>
              <w:bottom w:w="28" w:type="dxa"/>
              <w:right w:w="28" w:type="dxa"/>
            </w:tcMar>
            <w:vAlign w:val="center"/>
          </w:tcPr>
          <w:p>
            <w:pPr>
              <w:pStyle w:val="0"/>
              <w:rPr>
                <w:rFonts w:hint="default"/>
              </w:rPr>
            </w:pPr>
            <w:r>
              <w:rPr>
                <w:rFonts w:hint="default"/>
              </w:rPr>
              <w:t>八街市</w:t>
            </w:r>
          </w:p>
        </w:tc>
        <w:tc>
          <w:tcPr>
            <w:tcW w:w="330" w:type="pct"/>
            <w:tcMar>
              <w:top w:w="28" w:type="dxa"/>
              <w:left w:w="28" w:type="dxa"/>
              <w:bottom w:w="28" w:type="dxa"/>
              <w:right w:w="28" w:type="dxa"/>
            </w:tcMar>
            <w:vAlign w:val="center"/>
          </w:tcPr>
          <w:p>
            <w:pPr>
              <w:pStyle w:val="0"/>
              <w:jc w:val="right"/>
              <w:rPr>
                <w:rFonts w:hint="default"/>
              </w:rPr>
            </w:pPr>
            <w:r>
              <w:rPr>
                <w:rFonts w:hint="default"/>
              </w:rPr>
              <w:t>15.2%</w:t>
            </w:r>
          </w:p>
        </w:tc>
        <w:tc>
          <w:tcPr>
            <w:tcW w:w="331" w:type="pct"/>
            <w:tcMar>
              <w:top w:w="28" w:type="dxa"/>
              <w:left w:w="28" w:type="dxa"/>
              <w:bottom w:w="28" w:type="dxa"/>
              <w:right w:w="28" w:type="dxa"/>
            </w:tcMar>
            <w:vAlign w:val="center"/>
          </w:tcPr>
          <w:p>
            <w:pPr>
              <w:pStyle w:val="0"/>
              <w:jc w:val="right"/>
              <w:rPr>
                <w:rFonts w:hint="default"/>
              </w:rPr>
            </w:pPr>
            <w:r>
              <w:rPr>
                <w:rFonts w:hint="default"/>
              </w:rPr>
              <w:t>36.9%</w:t>
            </w:r>
          </w:p>
        </w:tc>
        <w:tc>
          <w:tcPr>
            <w:tcW w:w="331" w:type="pct"/>
            <w:tcMar>
              <w:top w:w="28" w:type="dxa"/>
              <w:left w:w="28" w:type="dxa"/>
              <w:bottom w:w="28" w:type="dxa"/>
              <w:right w:w="28" w:type="dxa"/>
            </w:tcMar>
            <w:vAlign w:val="center"/>
          </w:tcPr>
          <w:p>
            <w:pPr>
              <w:pStyle w:val="0"/>
              <w:jc w:val="right"/>
              <w:rPr>
                <w:rFonts w:hint="default"/>
              </w:rPr>
            </w:pPr>
            <w:r>
              <w:rPr>
                <w:rFonts w:hint="default"/>
              </w:rPr>
              <w:t>58.0%</w:t>
            </w:r>
          </w:p>
        </w:tc>
        <w:tc>
          <w:tcPr>
            <w:tcW w:w="331" w:type="pct"/>
            <w:tcMar>
              <w:top w:w="28" w:type="dxa"/>
              <w:left w:w="28" w:type="dxa"/>
              <w:bottom w:w="28" w:type="dxa"/>
              <w:right w:w="28" w:type="dxa"/>
            </w:tcMar>
            <w:vAlign w:val="center"/>
          </w:tcPr>
          <w:p>
            <w:pPr>
              <w:pStyle w:val="0"/>
              <w:jc w:val="right"/>
              <w:rPr>
                <w:rFonts w:hint="default"/>
              </w:rPr>
            </w:pPr>
            <w:r>
              <w:rPr>
                <w:rFonts w:hint="default"/>
              </w:rPr>
              <w:t>22.8%</w:t>
            </w:r>
          </w:p>
        </w:tc>
        <w:tc>
          <w:tcPr>
            <w:tcW w:w="331" w:type="pct"/>
            <w:tcMar>
              <w:top w:w="28" w:type="dxa"/>
              <w:left w:w="28" w:type="dxa"/>
              <w:bottom w:w="28" w:type="dxa"/>
              <w:right w:w="28" w:type="dxa"/>
            </w:tcMar>
            <w:vAlign w:val="center"/>
          </w:tcPr>
          <w:p>
            <w:pPr>
              <w:pStyle w:val="0"/>
              <w:jc w:val="right"/>
              <w:rPr>
                <w:rFonts w:hint="default"/>
              </w:rPr>
            </w:pPr>
            <w:r>
              <w:rPr>
                <w:rFonts w:hint="default"/>
              </w:rPr>
              <w:t>45.5%</w:t>
            </w:r>
          </w:p>
        </w:tc>
        <w:tc>
          <w:tcPr>
            <w:tcW w:w="331" w:type="pct"/>
            <w:tcMar>
              <w:top w:w="28" w:type="dxa"/>
              <w:left w:w="28" w:type="dxa"/>
              <w:bottom w:w="28" w:type="dxa"/>
              <w:right w:w="28" w:type="dxa"/>
            </w:tcMar>
            <w:vAlign w:val="center"/>
          </w:tcPr>
          <w:p>
            <w:pPr>
              <w:pStyle w:val="0"/>
              <w:jc w:val="right"/>
              <w:rPr>
                <w:rFonts w:hint="default"/>
              </w:rPr>
            </w:pPr>
            <w:r>
              <w:rPr>
                <w:rFonts w:hint="default"/>
              </w:rPr>
              <w:t>21.2%</w:t>
            </w:r>
          </w:p>
        </w:tc>
        <w:tc>
          <w:tcPr>
            <w:tcW w:w="331" w:type="pct"/>
            <w:tcMar>
              <w:top w:w="28" w:type="dxa"/>
              <w:left w:w="28" w:type="dxa"/>
              <w:bottom w:w="28" w:type="dxa"/>
              <w:right w:w="28" w:type="dxa"/>
            </w:tcMar>
            <w:vAlign w:val="center"/>
          </w:tcPr>
          <w:p>
            <w:pPr>
              <w:pStyle w:val="0"/>
              <w:jc w:val="right"/>
              <w:rPr>
                <w:rFonts w:hint="default"/>
              </w:rPr>
            </w:pPr>
            <w:r>
              <w:rPr>
                <w:rFonts w:hint="default"/>
              </w:rPr>
              <w:t>18.6%</w:t>
            </w:r>
          </w:p>
        </w:tc>
        <w:tc>
          <w:tcPr>
            <w:tcW w:w="330" w:type="pct"/>
            <w:tcMar>
              <w:top w:w="28" w:type="dxa"/>
              <w:left w:w="28" w:type="dxa"/>
              <w:bottom w:w="28" w:type="dxa"/>
              <w:right w:w="28" w:type="dxa"/>
            </w:tcMar>
            <w:vAlign w:val="center"/>
          </w:tcPr>
          <w:p>
            <w:pPr>
              <w:pStyle w:val="0"/>
              <w:jc w:val="right"/>
              <w:rPr>
                <w:rFonts w:hint="default"/>
              </w:rPr>
            </w:pPr>
            <w:r>
              <w:rPr>
                <w:rFonts w:hint="default"/>
              </w:rPr>
              <w:t>10.8%</w:t>
            </w:r>
          </w:p>
        </w:tc>
        <w:tc>
          <w:tcPr>
            <w:tcW w:w="331" w:type="pct"/>
            <w:tcMar>
              <w:top w:w="28" w:type="dxa"/>
              <w:left w:w="28" w:type="dxa"/>
              <w:bottom w:w="28" w:type="dxa"/>
              <w:right w:w="28" w:type="dxa"/>
            </w:tcMar>
            <w:vAlign w:val="center"/>
          </w:tcPr>
          <w:p>
            <w:pPr>
              <w:pStyle w:val="0"/>
              <w:jc w:val="right"/>
              <w:rPr>
                <w:rFonts w:hint="default"/>
              </w:rPr>
            </w:pPr>
            <w:r>
              <w:rPr>
                <w:rFonts w:hint="default"/>
              </w:rPr>
              <w:t>25.0%</w:t>
            </w:r>
          </w:p>
        </w:tc>
        <w:tc>
          <w:tcPr>
            <w:tcW w:w="331" w:type="pct"/>
            <w:tcMar>
              <w:top w:w="28" w:type="dxa"/>
              <w:left w:w="28" w:type="dxa"/>
              <w:bottom w:w="28" w:type="dxa"/>
              <w:right w:w="28" w:type="dxa"/>
            </w:tcMar>
            <w:vAlign w:val="center"/>
          </w:tcPr>
          <w:p>
            <w:pPr>
              <w:pStyle w:val="0"/>
              <w:jc w:val="right"/>
              <w:rPr>
                <w:rFonts w:hint="default"/>
              </w:rPr>
            </w:pPr>
            <w:r>
              <w:rPr>
                <w:rFonts w:hint="default"/>
              </w:rPr>
              <w:t>1.8%</w:t>
            </w:r>
          </w:p>
        </w:tc>
        <w:tc>
          <w:tcPr>
            <w:tcW w:w="331" w:type="pct"/>
            <w:tcMar>
              <w:top w:w="28" w:type="dxa"/>
              <w:left w:w="28" w:type="dxa"/>
              <w:bottom w:w="28" w:type="dxa"/>
              <w:right w:w="28" w:type="dxa"/>
            </w:tcMar>
            <w:vAlign w:val="center"/>
          </w:tcPr>
          <w:p>
            <w:pPr>
              <w:pStyle w:val="0"/>
              <w:jc w:val="right"/>
              <w:rPr>
                <w:rFonts w:hint="default"/>
              </w:rPr>
            </w:pPr>
            <w:r>
              <w:rPr>
                <w:rFonts w:hint="default"/>
              </w:rPr>
              <w:t>25.8%</w:t>
            </w:r>
          </w:p>
        </w:tc>
        <w:tc>
          <w:tcPr>
            <w:tcW w:w="331" w:type="pct"/>
            <w:tcMar>
              <w:top w:w="28" w:type="dxa"/>
              <w:left w:w="28" w:type="dxa"/>
              <w:bottom w:w="28" w:type="dxa"/>
              <w:right w:w="28" w:type="dxa"/>
            </w:tcMar>
            <w:vAlign w:val="center"/>
          </w:tcPr>
          <w:p>
            <w:pPr>
              <w:pStyle w:val="0"/>
              <w:jc w:val="right"/>
              <w:rPr>
                <w:rFonts w:hint="default"/>
              </w:rPr>
            </w:pPr>
            <w:r>
              <w:rPr>
                <w:rFonts w:hint="default"/>
              </w:rPr>
              <w:t>33.3%</w:t>
            </w:r>
          </w:p>
        </w:tc>
        <w:tc>
          <w:tcPr>
            <w:tcW w:w="331" w:type="pct"/>
            <w:tcMar>
              <w:top w:w="28" w:type="dxa"/>
              <w:left w:w="28" w:type="dxa"/>
              <w:bottom w:w="28" w:type="dxa"/>
              <w:right w:w="28" w:type="dxa"/>
            </w:tcMar>
            <w:vAlign w:val="center"/>
          </w:tcPr>
          <w:p>
            <w:pPr>
              <w:pStyle w:val="0"/>
              <w:jc w:val="right"/>
              <w:rPr>
                <w:rFonts w:hint="default"/>
              </w:rPr>
            </w:pPr>
            <w:r>
              <w:rPr>
                <w:rFonts w:hint="default"/>
              </w:rPr>
              <w:t>0.7%</w:t>
            </w:r>
          </w:p>
        </w:tc>
        <w:tc>
          <w:tcPr>
            <w:tcW w:w="331" w:type="pct"/>
            <w:tcMar>
              <w:top w:w="28" w:type="dxa"/>
              <w:left w:w="28" w:type="dxa"/>
              <w:bottom w:w="28" w:type="dxa"/>
              <w:right w:w="28" w:type="dxa"/>
            </w:tcMar>
            <w:vAlign w:val="center"/>
          </w:tcPr>
          <w:p>
            <w:pPr>
              <w:pStyle w:val="0"/>
              <w:jc w:val="right"/>
              <w:rPr>
                <w:rFonts w:hint="default"/>
              </w:rPr>
            </w:pPr>
            <w:r>
              <w:rPr>
                <w:rFonts w:hint="default"/>
              </w:rPr>
              <w:t>22.6%</w:t>
            </w:r>
          </w:p>
        </w:tc>
      </w:tr>
      <w:tr>
        <w:trPr>
          <w:trHeight w:val="193" w:hRule="atLeast"/>
        </w:trPr>
        <w:tc>
          <w:tcPr>
            <w:tcW w:w="372" w:type="pct"/>
            <w:tcMar>
              <w:top w:w="28" w:type="dxa"/>
              <w:left w:w="28" w:type="dxa"/>
              <w:bottom w:w="28" w:type="dxa"/>
              <w:right w:w="28" w:type="dxa"/>
            </w:tcMar>
            <w:vAlign w:val="center"/>
          </w:tcPr>
          <w:p>
            <w:pPr>
              <w:pStyle w:val="0"/>
              <w:rPr>
                <w:rFonts w:hint="default"/>
              </w:rPr>
            </w:pPr>
            <w:r>
              <w:rPr>
                <w:rFonts w:hint="default"/>
              </w:rPr>
              <w:t>国</w:t>
            </w:r>
          </w:p>
        </w:tc>
        <w:tc>
          <w:tcPr>
            <w:tcW w:w="330" w:type="pct"/>
            <w:tcMar>
              <w:top w:w="28" w:type="dxa"/>
              <w:left w:w="28" w:type="dxa"/>
              <w:bottom w:w="28" w:type="dxa"/>
              <w:right w:w="28" w:type="dxa"/>
            </w:tcMar>
            <w:vAlign w:val="center"/>
          </w:tcPr>
          <w:p>
            <w:pPr>
              <w:pStyle w:val="0"/>
              <w:jc w:val="right"/>
              <w:rPr>
                <w:rFonts w:hint="default"/>
              </w:rPr>
            </w:pPr>
            <w:r>
              <w:rPr>
                <w:rFonts w:hint="default"/>
              </w:rPr>
              <w:t>12.7%</w:t>
            </w:r>
          </w:p>
        </w:tc>
        <w:tc>
          <w:tcPr>
            <w:tcW w:w="331" w:type="pct"/>
            <w:tcMar>
              <w:top w:w="28" w:type="dxa"/>
              <w:left w:w="28" w:type="dxa"/>
              <w:bottom w:w="28" w:type="dxa"/>
              <w:right w:w="28" w:type="dxa"/>
            </w:tcMar>
            <w:vAlign w:val="center"/>
          </w:tcPr>
          <w:p>
            <w:pPr>
              <w:pStyle w:val="0"/>
              <w:jc w:val="right"/>
              <w:rPr>
                <w:rFonts w:hint="default"/>
              </w:rPr>
            </w:pPr>
            <w:r>
              <w:rPr>
                <w:rFonts w:hint="default"/>
              </w:rPr>
              <w:t>34.6%</w:t>
            </w:r>
          </w:p>
        </w:tc>
        <w:tc>
          <w:tcPr>
            <w:tcW w:w="331" w:type="pct"/>
            <w:tcMar>
              <w:top w:w="28" w:type="dxa"/>
              <w:left w:w="28" w:type="dxa"/>
              <w:bottom w:w="28" w:type="dxa"/>
              <w:right w:w="28" w:type="dxa"/>
            </w:tcMar>
            <w:vAlign w:val="center"/>
          </w:tcPr>
          <w:p>
            <w:pPr>
              <w:pStyle w:val="0"/>
              <w:jc w:val="right"/>
              <w:rPr>
                <w:rFonts w:hint="default"/>
              </w:rPr>
            </w:pPr>
            <w:r>
              <w:rPr>
                <w:rFonts w:hint="default"/>
              </w:rPr>
              <w:t>59.3%</w:t>
            </w:r>
          </w:p>
        </w:tc>
        <w:tc>
          <w:tcPr>
            <w:tcW w:w="331" w:type="pct"/>
            <w:tcMar>
              <w:top w:w="28" w:type="dxa"/>
              <w:left w:w="28" w:type="dxa"/>
              <w:bottom w:w="28" w:type="dxa"/>
              <w:right w:w="28" w:type="dxa"/>
            </w:tcMar>
            <w:vAlign w:val="center"/>
          </w:tcPr>
          <w:p>
            <w:pPr>
              <w:pStyle w:val="0"/>
              <w:jc w:val="right"/>
              <w:rPr>
                <w:rFonts w:hint="default"/>
              </w:rPr>
            </w:pPr>
            <w:r>
              <w:rPr>
                <w:rFonts w:hint="default"/>
              </w:rPr>
              <w:t>47.5%</w:t>
            </w:r>
          </w:p>
        </w:tc>
        <w:tc>
          <w:tcPr>
            <w:tcW w:w="331" w:type="pct"/>
            <w:tcMar>
              <w:top w:w="28" w:type="dxa"/>
              <w:left w:w="28" w:type="dxa"/>
              <w:bottom w:w="28" w:type="dxa"/>
              <w:right w:w="28" w:type="dxa"/>
            </w:tcMar>
            <w:vAlign w:val="center"/>
          </w:tcPr>
          <w:p>
            <w:pPr>
              <w:pStyle w:val="0"/>
              <w:jc w:val="right"/>
              <w:rPr>
                <w:rFonts w:hint="default"/>
              </w:rPr>
            </w:pPr>
            <w:r>
              <w:rPr>
                <w:rFonts w:hint="default"/>
              </w:rPr>
              <w:t>50.4%</w:t>
            </w:r>
          </w:p>
        </w:tc>
        <w:tc>
          <w:tcPr>
            <w:tcW w:w="331" w:type="pct"/>
            <w:tcMar>
              <w:top w:w="28" w:type="dxa"/>
              <w:left w:w="28" w:type="dxa"/>
              <w:bottom w:w="28" w:type="dxa"/>
              <w:right w:w="28" w:type="dxa"/>
            </w:tcMar>
            <w:vAlign w:val="center"/>
          </w:tcPr>
          <w:p>
            <w:pPr>
              <w:pStyle w:val="0"/>
              <w:jc w:val="right"/>
              <w:rPr>
                <w:rFonts w:hint="default"/>
              </w:rPr>
            </w:pPr>
            <w:r>
              <w:rPr>
                <w:rFonts w:hint="default"/>
              </w:rPr>
              <w:t>26.4%</w:t>
            </w:r>
          </w:p>
        </w:tc>
        <w:tc>
          <w:tcPr>
            <w:tcW w:w="331" w:type="pct"/>
            <w:tcMar>
              <w:top w:w="28" w:type="dxa"/>
              <w:left w:w="28" w:type="dxa"/>
              <w:bottom w:w="28" w:type="dxa"/>
              <w:right w:w="28" w:type="dxa"/>
            </w:tcMar>
            <w:vAlign w:val="center"/>
          </w:tcPr>
          <w:p>
            <w:pPr>
              <w:pStyle w:val="0"/>
              <w:jc w:val="right"/>
              <w:rPr>
                <w:rFonts w:hint="default"/>
              </w:rPr>
            </w:pPr>
            <w:r>
              <w:rPr>
                <w:rFonts w:hint="default"/>
              </w:rPr>
              <w:t>14.7%</w:t>
            </w:r>
          </w:p>
        </w:tc>
        <w:tc>
          <w:tcPr>
            <w:tcW w:w="330" w:type="pct"/>
            <w:tcMar>
              <w:top w:w="28" w:type="dxa"/>
              <w:left w:w="28" w:type="dxa"/>
              <w:bottom w:w="28" w:type="dxa"/>
              <w:right w:w="28" w:type="dxa"/>
            </w:tcMar>
            <w:vAlign w:val="center"/>
          </w:tcPr>
          <w:p>
            <w:pPr>
              <w:pStyle w:val="0"/>
              <w:jc w:val="right"/>
              <w:rPr>
                <w:rFonts w:hint="default"/>
              </w:rPr>
            </w:pPr>
            <w:r>
              <w:rPr>
                <w:rFonts w:hint="default"/>
              </w:rPr>
              <w:t>9.7%</w:t>
            </w:r>
          </w:p>
        </w:tc>
        <w:tc>
          <w:tcPr>
            <w:tcW w:w="331" w:type="pct"/>
            <w:tcMar>
              <w:top w:w="28" w:type="dxa"/>
              <w:left w:w="28" w:type="dxa"/>
              <w:bottom w:w="28" w:type="dxa"/>
              <w:right w:w="28" w:type="dxa"/>
            </w:tcMar>
            <w:vAlign w:val="center"/>
          </w:tcPr>
          <w:p>
            <w:pPr>
              <w:pStyle w:val="0"/>
              <w:jc w:val="right"/>
              <w:rPr>
                <w:rFonts w:hint="default"/>
              </w:rPr>
            </w:pPr>
            <w:r>
              <w:rPr>
                <w:rFonts w:hint="default"/>
              </w:rPr>
              <w:t>24.6%</w:t>
            </w:r>
          </w:p>
        </w:tc>
        <w:tc>
          <w:tcPr>
            <w:tcW w:w="331" w:type="pct"/>
            <w:tcMar>
              <w:top w:w="28" w:type="dxa"/>
              <w:left w:w="28" w:type="dxa"/>
              <w:bottom w:w="28" w:type="dxa"/>
              <w:right w:w="28" w:type="dxa"/>
            </w:tcMar>
            <w:vAlign w:val="center"/>
          </w:tcPr>
          <w:p>
            <w:pPr>
              <w:pStyle w:val="0"/>
              <w:jc w:val="right"/>
              <w:rPr>
                <w:rFonts w:hint="default"/>
              </w:rPr>
            </w:pPr>
            <w:r>
              <w:rPr>
                <w:rFonts w:hint="default"/>
              </w:rPr>
              <w:t>2.5%</w:t>
            </w:r>
          </w:p>
        </w:tc>
        <w:tc>
          <w:tcPr>
            <w:tcW w:w="331" w:type="pct"/>
            <w:tcMar>
              <w:top w:w="28" w:type="dxa"/>
              <w:left w:w="28" w:type="dxa"/>
              <w:bottom w:w="28" w:type="dxa"/>
              <w:right w:w="28" w:type="dxa"/>
            </w:tcMar>
            <w:vAlign w:val="center"/>
          </w:tcPr>
          <w:p>
            <w:pPr>
              <w:pStyle w:val="0"/>
              <w:jc w:val="right"/>
              <w:rPr>
                <w:rFonts w:hint="default"/>
              </w:rPr>
            </w:pPr>
            <w:r>
              <w:rPr>
                <w:rFonts w:hint="default"/>
              </w:rPr>
              <w:t>24.9%</w:t>
            </w:r>
          </w:p>
        </w:tc>
        <w:tc>
          <w:tcPr>
            <w:tcW w:w="331" w:type="pct"/>
            <w:tcMar>
              <w:top w:w="28" w:type="dxa"/>
              <w:left w:w="28" w:type="dxa"/>
              <w:bottom w:w="28" w:type="dxa"/>
              <w:right w:w="28" w:type="dxa"/>
            </w:tcMar>
            <w:vAlign w:val="center"/>
          </w:tcPr>
          <w:p>
            <w:pPr>
              <w:pStyle w:val="0"/>
              <w:jc w:val="right"/>
              <w:rPr>
                <w:rFonts w:hint="default"/>
              </w:rPr>
            </w:pPr>
            <w:r>
              <w:rPr>
                <w:rFonts w:hint="default"/>
              </w:rPr>
              <w:t>27.5%</w:t>
            </w:r>
          </w:p>
        </w:tc>
        <w:tc>
          <w:tcPr>
            <w:tcW w:w="331" w:type="pct"/>
            <w:tcMar>
              <w:top w:w="28" w:type="dxa"/>
              <w:left w:w="28" w:type="dxa"/>
              <w:bottom w:w="28" w:type="dxa"/>
              <w:right w:w="28" w:type="dxa"/>
            </w:tcMar>
            <w:vAlign w:val="center"/>
          </w:tcPr>
          <w:p>
            <w:pPr>
              <w:pStyle w:val="0"/>
              <w:jc w:val="right"/>
              <w:rPr>
                <w:rFonts w:hint="default"/>
              </w:rPr>
            </w:pPr>
            <w:r>
              <w:rPr>
                <w:rFonts w:hint="default"/>
              </w:rPr>
              <w:t>0.8%</w:t>
            </w:r>
          </w:p>
        </w:tc>
        <w:tc>
          <w:tcPr>
            <w:tcW w:w="331" w:type="pct"/>
            <w:tcMar>
              <w:top w:w="28" w:type="dxa"/>
              <w:left w:w="28" w:type="dxa"/>
              <w:bottom w:w="28" w:type="dxa"/>
              <w:right w:w="28" w:type="dxa"/>
            </w:tcMar>
            <w:vAlign w:val="center"/>
          </w:tcPr>
          <w:p>
            <w:pPr>
              <w:pStyle w:val="0"/>
              <w:jc w:val="right"/>
              <w:rPr>
                <w:rFonts w:hint="default"/>
              </w:rPr>
            </w:pPr>
            <w:r>
              <w:rPr>
                <w:rFonts w:hint="default"/>
              </w:rPr>
              <w:t>21.7%</w:t>
            </w:r>
          </w:p>
        </w:tc>
      </w:tr>
      <w:tr>
        <w:trPr>
          <w:trHeight w:val="193" w:hRule="atLeast"/>
        </w:trPr>
        <w:tc>
          <w:tcPr>
            <w:tcW w:w="372" w:type="pct"/>
            <w:tcMar>
              <w:top w:w="28" w:type="dxa"/>
              <w:left w:w="28" w:type="dxa"/>
              <w:bottom w:w="28" w:type="dxa"/>
              <w:right w:w="28" w:type="dxa"/>
            </w:tcMar>
            <w:vAlign w:val="center"/>
          </w:tcPr>
          <w:p>
            <w:pPr>
              <w:pStyle w:val="0"/>
              <w:rPr>
                <w:rFonts w:hint="default"/>
              </w:rPr>
            </w:pPr>
            <w:r>
              <w:rPr>
                <w:rFonts w:hint="default"/>
              </w:rPr>
              <w:t>県</w:t>
            </w:r>
          </w:p>
        </w:tc>
        <w:tc>
          <w:tcPr>
            <w:tcW w:w="330" w:type="pct"/>
            <w:tcMar>
              <w:top w:w="28" w:type="dxa"/>
              <w:left w:w="28" w:type="dxa"/>
              <w:bottom w:w="28" w:type="dxa"/>
              <w:right w:w="28" w:type="dxa"/>
            </w:tcMar>
            <w:vAlign w:val="center"/>
          </w:tcPr>
          <w:p>
            <w:pPr>
              <w:pStyle w:val="0"/>
              <w:jc w:val="right"/>
              <w:rPr>
                <w:rFonts w:hint="default"/>
              </w:rPr>
            </w:pPr>
            <w:r>
              <w:rPr>
                <w:rFonts w:hint="default"/>
              </w:rPr>
              <w:t>12.1%</w:t>
            </w:r>
          </w:p>
        </w:tc>
        <w:tc>
          <w:tcPr>
            <w:tcW w:w="331" w:type="pct"/>
            <w:tcMar>
              <w:top w:w="28" w:type="dxa"/>
              <w:left w:w="28" w:type="dxa"/>
              <w:bottom w:w="28" w:type="dxa"/>
              <w:right w:w="28" w:type="dxa"/>
            </w:tcMar>
            <w:vAlign w:val="center"/>
          </w:tcPr>
          <w:p>
            <w:pPr>
              <w:pStyle w:val="0"/>
              <w:jc w:val="right"/>
              <w:rPr>
                <w:rFonts w:hint="default"/>
              </w:rPr>
            </w:pPr>
            <w:r>
              <w:rPr>
                <w:rFonts w:hint="default"/>
              </w:rPr>
              <w:t>35.2%</w:t>
            </w:r>
          </w:p>
        </w:tc>
        <w:tc>
          <w:tcPr>
            <w:tcW w:w="331" w:type="pct"/>
            <w:tcMar>
              <w:top w:w="28" w:type="dxa"/>
              <w:left w:w="28" w:type="dxa"/>
              <w:bottom w:w="28" w:type="dxa"/>
              <w:right w:w="28" w:type="dxa"/>
            </w:tcMar>
            <w:vAlign w:val="center"/>
          </w:tcPr>
          <w:p>
            <w:pPr>
              <w:pStyle w:val="0"/>
              <w:jc w:val="right"/>
              <w:rPr>
                <w:rFonts w:hint="default"/>
              </w:rPr>
            </w:pPr>
            <w:r>
              <w:rPr>
                <w:rFonts w:hint="default"/>
              </w:rPr>
              <w:t>56.7%</w:t>
            </w:r>
          </w:p>
        </w:tc>
        <w:tc>
          <w:tcPr>
            <w:tcW w:w="331" w:type="pct"/>
            <w:tcMar>
              <w:top w:w="28" w:type="dxa"/>
              <w:left w:w="28" w:type="dxa"/>
              <w:bottom w:w="28" w:type="dxa"/>
              <w:right w:w="28" w:type="dxa"/>
            </w:tcMar>
            <w:vAlign w:val="center"/>
          </w:tcPr>
          <w:p>
            <w:pPr>
              <w:pStyle w:val="0"/>
              <w:jc w:val="right"/>
              <w:rPr>
                <w:rFonts w:hint="default"/>
              </w:rPr>
            </w:pPr>
            <w:r>
              <w:rPr>
                <w:rFonts w:hint="default"/>
              </w:rPr>
              <w:t>44.5%</w:t>
            </w:r>
          </w:p>
        </w:tc>
        <w:tc>
          <w:tcPr>
            <w:tcW w:w="331" w:type="pct"/>
            <w:tcMar>
              <w:top w:w="28" w:type="dxa"/>
              <w:left w:w="28" w:type="dxa"/>
              <w:bottom w:w="28" w:type="dxa"/>
              <w:right w:w="28" w:type="dxa"/>
            </w:tcMar>
            <w:vAlign w:val="center"/>
          </w:tcPr>
          <w:p>
            <w:pPr>
              <w:pStyle w:val="0"/>
              <w:jc w:val="right"/>
              <w:rPr>
                <w:rFonts w:hint="default"/>
              </w:rPr>
            </w:pPr>
            <w:r>
              <w:rPr>
                <w:rFonts w:hint="default"/>
              </w:rPr>
              <w:t>47.0%</w:t>
            </w:r>
          </w:p>
        </w:tc>
        <w:tc>
          <w:tcPr>
            <w:tcW w:w="331" w:type="pct"/>
            <w:tcMar>
              <w:top w:w="28" w:type="dxa"/>
              <w:left w:w="28" w:type="dxa"/>
              <w:bottom w:w="28" w:type="dxa"/>
              <w:right w:w="28" w:type="dxa"/>
            </w:tcMar>
            <w:vAlign w:val="center"/>
          </w:tcPr>
          <w:p>
            <w:pPr>
              <w:pStyle w:val="0"/>
              <w:jc w:val="right"/>
              <w:rPr>
                <w:rFonts w:hint="default"/>
              </w:rPr>
            </w:pPr>
            <w:r>
              <w:rPr>
                <w:rFonts w:hint="default"/>
              </w:rPr>
              <w:t>25.4%</w:t>
            </w:r>
          </w:p>
        </w:tc>
        <w:tc>
          <w:tcPr>
            <w:tcW w:w="331" w:type="pct"/>
            <w:tcMar>
              <w:top w:w="28" w:type="dxa"/>
              <w:left w:w="28" w:type="dxa"/>
              <w:bottom w:w="28" w:type="dxa"/>
              <w:right w:w="28" w:type="dxa"/>
            </w:tcMar>
            <w:vAlign w:val="center"/>
          </w:tcPr>
          <w:p>
            <w:pPr>
              <w:pStyle w:val="0"/>
              <w:jc w:val="right"/>
              <w:rPr>
                <w:rFonts w:hint="default"/>
              </w:rPr>
            </w:pPr>
            <w:r>
              <w:rPr>
                <w:rFonts w:hint="default"/>
              </w:rPr>
              <w:t>15.4%</w:t>
            </w:r>
          </w:p>
        </w:tc>
        <w:tc>
          <w:tcPr>
            <w:tcW w:w="330" w:type="pct"/>
            <w:tcMar>
              <w:top w:w="28" w:type="dxa"/>
              <w:left w:w="28" w:type="dxa"/>
              <w:bottom w:w="28" w:type="dxa"/>
              <w:right w:w="28" w:type="dxa"/>
            </w:tcMar>
            <w:vAlign w:val="center"/>
          </w:tcPr>
          <w:p>
            <w:pPr>
              <w:pStyle w:val="0"/>
              <w:jc w:val="right"/>
              <w:rPr>
                <w:rFonts w:hint="default"/>
              </w:rPr>
            </w:pPr>
            <w:r>
              <w:rPr>
                <w:rFonts w:hint="default"/>
              </w:rPr>
              <w:t>10.0%</w:t>
            </w:r>
          </w:p>
        </w:tc>
        <w:tc>
          <w:tcPr>
            <w:tcW w:w="331" w:type="pct"/>
            <w:tcMar>
              <w:top w:w="28" w:type="dxa"/>
              <w:left w:w="28" w:type="dxa"/>
              <w:bottom w:w="28" w:type="dxa"/>
              <w:right w:w="28" w:type="dxa"/>
            </w:tcMar>
            <w:vAlign w:val="center"/>
          </w:tcPr>
          <w:p>
            <w:pPr>
              <w:pStyle w:val="0"/>
              <w:jc w:val="right"/>
              <w:rPr>
                <w:rFonts w:hint="default"/>
              </w:rPr>
            </w:pPr>
            <w:r>
              <w:rPr>
                <w:rFonts w:hint="default"/>
              </w:rPr>
              <w:t>23.5%</w:t>
            </w:r>
          </w:p>
        </w:tc>
        <w:tc>
          <w:tcPr>
            <w:tcW w:w="331" w:type="pct"/>
            <w:tcMar>
              <w:top w:w="28" w:type="dxa"/>
              <w:left w:w="28" w:type="dxa"/>
              <w:bottom w:w="28" w:type="dxa"/>
              <w:right w:w="28" w:type="dxa"/>
            </w:tcMar>
            <w:vAlign w:val="center"/>
          </w:tcPr>
          <w:p>
            <w:pPr>
              <w:pStyle w:val="0"/>
              <w:jc w:val="right"/>
              <w:rPr>
                <w:rFonts w:hint="default"/>
              </w:rPr>
            </w:pPr>
            <w:r>
              <w:rPr>
                <w:rFonts w:hint="default"/>
              </w:rPr>
              <w:t>2.2%</w:t>
            </w:r>
          </w:p>
        </w:tc>
        <w:tc>
          <w:tcPr>
            <w:tcW w:w="331" w:type="pct"/>
            <w:tcMar>
              <w:top w:w="28" w:type="dxa"/>
              <w:left w:w="28" w:type="dxa"/>
              <w:bottom w:w="28" w:type="dxa"/>
              <w:right w:w="28" w:type="dxa"/>
            </w:tcMar>
            <w:vAlign w:val="center"/>
          </w:tcPr>
          <w:p>
            <w:pPr>
              <w:pStyle w:val="0"/>
              <w:jc w:val="right"/>
              <w:rPr>
                <w:rFonts w:hint="default"/>
              </w:rPr>
            </w:pPr>
            <w:r>
              <w:rPr>
                <w:rFonts w:hint="default"/>
              </w:rPr>
              <w:t>23.7%</w:t>
            </w:r>
          </w:p>
        </w:tc>
        <w:tc>
          <w:tcPr>
            <w:tcW w:w="331" w:type="pct"/>
            <w:tcMar>
              <w:top w:w="28" w:type="dxa"/>
              <w:left w:w="28" w:type="dxa"/>
              <w:bottom w:w="28" w:type="dxa"/>
              <w:right w:w="28" w:type="dxa"/>
            </w:tcMar>
            <w:vAlign w:val="center"/>
          </w:tcPr>
          <w:p>
            <w:pPr>
              <w:pStyle w:val="0"/>
              <w:jc w:val="right"/>
              <w:rPr>
                <w:rFonts w:hint="default"/>
              </w:rPr>
            </w:pPr>
            <w:r>
              <w:rPr>
                <w:rFonts w:hint="default"/>
              </w:rPr>
              <w:t>28.3%</w:t>
            </w:r>
          </w:p>
        </w:tc>
        <w:tc>
          <w:tcPr>
            <w:tcW w:w="331" w:type="pct"/>
            <w:tcMar>
              <w:top w:w="28" w:type="dxa"/>
              <w:left w:w="28" w:type="dxa"/>
              <w:bottom w:w="28" w:type="dxa"/>
              <w:right w:w="28" w:type="dxa"/>
            </w:tcMar>
            <w:vAlign w:val="center"/>
          </w:tcPr>
          <w:p>
            <w:pPr>
              <w:pStyle w:val="0"/>
              <w:jc w:val="right"/>
              <w:rPr>
                <w:rFonts w:hint="default"/>
              </w:rPr>
            </w:pPr>
            <w:r>
              <w:rPr>
                <w:rFonts w:hint="default"/>
              </w:rPr>
              <w:t>0.7%</w:t>
            </w:r>
          </w:p>
        </w:tc>
        <w:tc>
          <w:tcPr>
            <w:tcW w:w="331" w:type="pct"/>
            <w:tcMar>
              <w:top w:w="28" w:type="dxa"/>
              <w:left w:w="28" w:type="dxa"/>
              <w:bottom w:w="28" w:type="dxa"/>
              <w:right w:w="28" w:type="dxa"/>
            </w:tcMar>
            <w:vAlign w:val="center"/>
          </w:tcPr>
          <w:p>
            <w:pPr>
              <w:pStyle w:val="0"/>
              <w:jc w:val="right"/>
              <w:rPr>
                <w:rFonts w:hint="default"/>
              </w:rPr>
            </w:pPr>
            <w:r>
              <w:rPr>
                <w:rFonts w:hint="default"/>
              </w:rPr>
              <w:t>21.2%</w:t>
            </w:r>
          </w:p>
        </w:tc>
      </w:tr>
      <w:tr>
        <w:trPr>
          <w:trHeight w:val="193" w:hRule="atLeast"/>
        </w:trPr>
        <w:tc>
          <w:tcPr>
            <w:tcW w:w="372" w:type="pct"/>
            <w:tcMar>
              <w:top w:w="28" w:type="dxa"/>
              <w:left w:w="28" w:type="dxa"/>
              <w:bottom w:w="28" w:type="dxa"/>
              <w:right w:w="28" w:type="dxa"/>
            </w:tcMar>
            <w:vAlign w:val="center"/>
          </w:tcPr>
          <w:p>
            <w:pPr>
              <w:pStyle w:val="0"/>
              <w:rPr>
                <w:rFonts w:hint="default"/>
              </w:rPr>
            </w:pPr>
            <w:r>
              <w:rPr>
                <w:rFonts w:hint="default"/>
              </w:rPr>
              <w:t>同規模</w:t>
            </w:r>
          </w:p>
        </w:tc>
        <w:tc>
          <w:tcPr>
            <w:tcW w:w="330" w:type="pct"/>
            <w:tcMar>
              <w:top w:w="28" w:type="dxa"/>
              <w:left w:w="28" w:type="dxa"/>
              <w:bottom w:w="28" w:type="dxa"/>
              <w:right w:w="28" w:type="dxa"/>
            </w:tcMar>
            <w:vAlign w:val="center"/>
          </w:tcPr>
          <w:p>
            <w:pPr>
              <w:pStyle w:val="0"/>
              <w:jc w:val="right"/>
              <w:rPr>
                <w:rFonts w:hint="default"/>
              </w:rPr>
            </w:pPr>
            <w:r>
              <w:rPr>
                <w:rFonts w:hint="default"/>
              </w:rPr>
              <w:t>12.7%</w:t>
            </w:r>
          </w:p>
        </w:tc>
        <w:tc>
          <w:tcPr>
            <w:tcW w:w="331" w:type="pct"/>
            <w:tcMar>
              <w:top w:w="28" w:type="dxa"/>
              <w:left w:w="28" w:type="dxa"/>
              <w:bottom w:w="28" w:type="dxa"/>
              <w:right w:w="28" w:type="dxa"/>
            </w:tcMar>
            <w:vAlign w:val="center"/>
          </w:tcPr>
          <w:p>
            <w:pPr>
              <w:pStyle w:val="0"/>
              <w:jc w:val="right"/>
              <w:rPr>
                <w:rFonts w:hint="default"/>
              </w:rPr>
            </w:pPr>
            <w:r>
              <w:rPr>
                <w:rFonts w:hint="default"/>
              </w:rPr>
              <w:t>34.5%</w:t>
            </w:r>
          </w:p>
        </w:tc>
        <w:tc>
          <w:tcPr>
            <w:tcW w:w="331" w:type="pct"/>
            <w:tcMar>
              <w:top w:w="28" w:type="dxa"/>
              <w:left w:w="28" w:type="dxa"/>
              <w:bottom w:w="28" w:type="dxa"/>
              <w:right w:w="28" w:type="dxa"/>
            </w:tcMar>
            <w:vAlign w:val="center"/>
          </w:tcPr>
          <w:p>
            <w:pPr>
              <w:pStyle w:val="0"/>
              <w:jc w:val="right"/>
              <w:rPr>
                <w:rFonts w:hint="default"/>
              </w:rPr>
            </w:pPr>
            <w:r>
              <w:rPr>
                <w:rFonts w:hint="default"/>
              </w:rPr>
              <w:t>59.7%</w:t>
            </w:r>
          </w:p>
        </w:tc>
        <w:tc>
          <w:tcPr>
            <w:tcW w:w="331" w:type="pct"/>
            <w:tcMar>
              <w:top w:w="28" w:type="dxa"/>
              <w:left w:w="28" w:type="dxa"/>
              <w:bottom w:w="28" w:type="dxa"/>
              <w:right w:w="28" w:type="dxa"/>
            </w:tcMar>
            <w:vAlign w:val="center"/>
          </w:tcPr>
          <w:p>
            <w:pPr>
              <w:pStyle w:val="0"/>
              <w:jc w:val="right"/>
              <w:rPr>
                <w:rFonts w:hint="default"/>
              </w:rPr>
            </w:pPr>
            <w:r>
              <w:rPr>
                <w:rFonts w:hint="default"/>
              </w:rPr>
              <w:t>46.5%</w:t>
            </w:r>
          </w:p>
        </w:tc>
        <w:tc>
          <w:tcPr>
            <w:tcW w:w="331" w:type="pct"/>
            <w:tcMar>
              <w:top w:w="28" w:type="dxa"/>
              <w:left w:w="28" w:type="dxa"/>
              <w:bottom w:w="28" w:type="dxa"/>
              <w:right w:w="28" w:type="dxa"/>
            </w:tcMar>
            <w:vAlign w:val="center"/>
          </w:tcPr>
          <w:p>
            <w:pPr>
              <w:pStyle w:val="0"/>
              <w:jc w:val="right"/>
              <w:rPr>
                <w:rFonts w:hint="default"/>
              </w:rPr>
            </w:pPr>
            <w:r>
              <w:rPr>
                <w:rFonts w:hint="default"/>
              </w:rPr>
              <w:t>51.5%</w:t>
            </w:r>
          </w:p>
        </w:tc>
        <w:tc>
          <w:tcPr>
            <w:tcW w:w="331" w:type="pct"/>
            <w:tcMar>
              <w:top w:w="28" w:type="dxa"/>
              <w:left w:w="28" w:type="dxa"/>
              <w:bottom w:w="28" w:type="dxa"/>
              <w:right w:w="28" w:type="dxa"/>
            </w:tcMar>
            <w:vAlign w:val="center"/>
          </w:tcPr>
          <w:p>
            <w:pPr>
              <w:pStyle w:val="0"/>
              <w:jc w:val="right"/>
              <w:rPr>
                <w:rFonts w:hint="default"/>
              </w:rPr>
            </w:pPr>
            <w:r>
              <w:rPr>
                <w:rFonts w:hint="default"/>
              </w:rPr>
              <w:t>25.8%</w:t>
            </w:r>
          </w:p>
        </w:tc>
        <w:tc>
          <w:tcPr>
            <w:tcW w:w="331" w:type="pct"/>
            <w:tcMar>
              <w:top w:w="28" w:type="dxa"/>
              <w:left w:w="28" w:type="dxa"/>
              <w:bottom w:w="28" w:type="dxa"/>
              <w:right w:w="28" w:type="dxa"/>
            </w:tcMar>
            <w:vAlign w:val="center"/>
          </w:tcPr>
          <w:p>
            <w:pPr>
              <w:pStyle w:val="0"/>
              <w:jc w:val="right"/>
              <w:rPr>
                <w:rFonts w:hint="default"/>
              </w:rPr>
            </w:pPr>
            <w:r>
              <w:rPr>
                <w:rFonts w:hint="default"/>
              </w:rPr>
              <w:t>14.4%</w:t>
            </w:r>
          </w:p>
        </w:tc>
        <w:tc>
          <w:tcPr>
            <w:tcW w:w="330" w:type="pct"/>
            <w:tcMar>
              <w:top w:w="28" w:type="dxa"/>
              <w:left w:w="28" w:type="dxa"/>
              <w:bottom w:w="28" w:type="dxa"/>
              <w:right w:w="28" w:type="dxa"/>
            </w:tcMar>
            <w:vAlign w:val="center"/>
          </w:tcPr>
          <w:p>
            <w:pPr>
              <w:pStyle w:val="0"/>
              <w:jc w:val="right"/>
              <w:rPr>
                <w:rFonts w:hint="default"/>
              </w:rPr>
            </w:pPr>
            <w:r>
              <w:rPr>
                <w:rFonts w:hint="default"/>
              </w:rPr>
              <w:t>8.4%</w:t>
            </w:r>
          </w:p>
        </w:tc>
        <w:tc>
          <w:tcPr>
            <w:tcW w:w="331" w:type="pct"/>
            <w:tcMar>
              <w:top w:w="28" w:type="dxa"/>
              <w:left w:w="28" w:type="dxa"/>
              <w:bottom w:w="28" w:type="dxa"/>
              <w:right w:w="28" w:type="dxa"/>
            </w:tcMar>
            <w:vAlign w:val="center"/>
          </w:tcPr>
          <w:p>
            <w:pPr>
              <w:pStyle w:val="0"/>
              <w:jc w:val="right"/>
              <w:rPr>
                <w:rFonts w:hint="default"/>
              </w:rPr>
            </w:pPr>
            <w:r>
              <w:rPr>
                <w:rFonts w:hint="default"/>
              </w:rPr>
              <w:t>24.4%</w:t>
            </w:r>
          </w:p>
        </w:tc>
        <w:tc>
          <w:tcPr>
            <w:tcW w:w="331" w:type="pct"/>
            <w:tcMar>
              <w:top w:w="28" w:type="dxa"/>
              <w:left w:w="28" w:type="dxa"/>
              <w:bottom w:w="28" w:type="dxa"/>
              <w:right w:w="28" w:type="dxa"/>
            </w:tcMar>
            <w:vAlign w:val="center"/>
          </w:tcPr>
          <w:p>
            <w:pPr>
              <w:pStyle w:val="0"/>
              <w:jc w:val="right"/>
              <w:rPr>
                <w:rFonts w:hint="default"/>
              </w:rPr>
            </w:pPr>
            <w:r>
              <w:rPr>
                <w:rFonts w:hint="default"/>
              </w:rPr>
              <w:t>2.3%</w:t>
            </w:r>
          </w:p>
        </w:tc>
        <w:tc>
          <w:tcPr>
            <w:tcW w:w="331" w:type="pct"/>
            <w:tcMar>
              <w:top w:w="28" w:type="dxa"/>
              <w:left w:w="28" w:type="dxa"/>
              <w:bottom w:w="28" w:type="dxa"/>
              <w:right w:w="28" w:type="dxa"/>
            </w:tcMar>
            <w:vAlign w:val="center"/>
          </w:tcPr>
          <w:p>
            <w:pPr>
              <w:pStyle w:val="0"/>
              <w:jc w:val="right"/>
              <w:rPr>
                <w:rFonts w:hint="default"/>
              </w:rPr>
            </w:pPr>
            <w:r>
              <w:rPr>
                <w:rFonts w:hint="default"/>
              </w:rPr>
              <w:t>25.0%</w:t>
            </w:r>
          </w:p>
        </w:tc>
        <w:tc>
          <w:tcPr>
            <w:tcW w:w="331" w:type="pct"/>
            <w:tcMar>
              <w:top w:w="28" w:type="dxa"/>
              <w:left w:w="28" w:type="dxa"/>
              <w:bottom w:w="28" w:type="dxa"/>
              <w:right w:w="28" w:type="dxa"/>
            </w:tcMar>
            <w:vAlign w:val="center"/>
          </w:tcPr>
          <w:p>
            <w:pPr>
              <w:pStyle w:val="0"/>
              <w:jc w:val="right"/>
              <w:rPr>
                <w:rFonts w:hint="default"/>
              </w:rPr>
            </w:pPr>
            <w:r>
              <w:rPr>
                <w:rFonts w:hint="default"/>
              </w:rPr>
              <w:t>27.9%</w:t>
            </w:r>
          </w:p>
        </w:tc>
        <w:tc>
          <w:tcPr>
            <w:tcW w:w="331" w:type="pct"/>
            <w:tcMar>
              <w:top w:w="28" w:type="dxa"/>
              <w:left w:w="28" w:type="dxa"/>
              <w:bottom w:w="28" w:type="dxa"/>
              <w:right w:w="28" w:type="dxa"/>
            </w:tcMar>
            <w:vAlign w:val="center"/>
          </w:tcPr>
          <w:p>
            <w:pPr>
              <w:pStyle w:val="0"/>
              <w:jc w:val="right"/>
              <w:rPr>
                <w:rFonts w:hint="default"/>
              </w:rPr>
            </w:pPr>
            <w:r>
              <w:rPr>
                <w:rFonts w:hint="default"/>
              </w:rPr>
              <w:t>0.8%</w:t>
            </w:r>
          </w:p>
        </w:tc>
        <w:tc>
          <w:tcPr>
            <w:tcW w:w="331" w:type="pct"/>
            <w:tcMar>
              <w:top w:w="28" w:type="dxa"/>
              <w:left w:w="28" w:type="dxa"/>
              <w:bottom w:w="28" w:type="dxa"/>
              <w:right w:w="28" w:type="dxa"/>
            </w:tcMar>
            <w:vAlign w:val="center"/>
          </w:tcPr>
          <w:p>
            <w:pPr>
              <w:pStyle w:val="0"/>
              <w:jc w:val="right"/>
              <w:rPr>
                <w:rFonts w:hint="default"/>
              </w:rPr>
            </w:pPr>
            <w:r>
              <w:rPr>
                <w:rFonts w:hint="default"/>
              </w:rPr>
              <w:t>21.7%</w:t>
            </w:r>
          </w:p>
        </w:tc>
      </w:tr>
    </w:tbl>
    <w:p>
      <w:pPr>
        <w:pStyle w:val="44"/>
        <w:wordWrap w:val="0"/>
        <w:rPr>
          <w:rFonts w:hint="default"/>
        </w:rPr>
      </w:pPr>
      <w:r>
        <w:rPr>
          <w:rFonts w:hint="default"/>
        </w:rPr>
        <w:t>【出典】</w:t>
      </w:r>
      <w:r>
        <w:rPr>
          <w:rFonts w:hint="default"/>
        </w:rPr>
        <w:t>KDB</w:t>
      </w:r>
      <w:r>
        <w:rPr>
          <w:rFonts w:hint="default"/>
        </w:rPr>
        <w:t>帳票</w:t>
      </w:r>
      <w:r>
        <w:rPr>
          <w:rFonts w:hint="default"/>
        </w:rPr>
        <w:t xml:space="preserve"> S25_001-</w:t>
      </w:r>
      <w:r>
        <w:rPr>
          <w:rFonts w:hint="default"/>
        </w:rPr>
        <w:t>質問票調査の経年比較</w:t>
      </w:r>
      <w:r>
        <w:rPr>
          <w:rFonts w:hint="default"/>
        </w:rPr>
        <w:t xml:space="preserve"> </w:t>
      </w:r>
      <w:r>
        <w:rPr>
          <w:rFonts w:hint="eastAsia"/>
        </w:rPr>
        <w:t>令和</w:t>
      </w:r>
      <w:r>
        <w:rPr>
          <w:rFonts w:hint="eastAsia"/>
        </w:rPr>
        <w:t>4</w:t>
      </w:r>
      <w:r>
        <w:rPr>
          <w:rFonts w:hint="eastAsia"/>
        </w:rPr>
        <w:t>年度</w:t>
      </w:r>
      <w:r>
        <w:rPr>
          <w:rFonts w:hint="eastAsia"/>
        </w:rPr>
        <w:t xml:space="preserve"> </w:t>
      </w:r>
      <w:r>
        <w:rPr>
          <w:rFonts w:hint="eastAsia"/>
        </w:rPr>
        <w:t>年次</w:t>
      </w:r>
    </w:p>
    <w:p>
      <w:pPr>
        <w:pStyle w:val="0"/>
        <w:wordWrap w:val="0"/>
        <w:rPr>
          <w:rFonts w:hint="default"/>
          <w:color w:val="000000"/>
        </w:rPr>
      </w:pPr>
    </w:p>
    <w:p>
      <w:pPr>
        <w:pStyle w:val="38"/>
        <w:rPr>
          <w:rFonts w:hint="default"/>
        </w:rPr>
      </w:pPr>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r>
        <w:rPr>
          <w:rFonts w:hint="default"/>
        </w:rPr>
        <w:t>：</w:t>
      </w:r>
      <w:r>
        <w:rPr>
          <w:rFonts w:hint="default"/>
          <w:color w:val="000000"/>
        </w:rPr>
        <w:t>質問票項目別回答者の割合</w:t>
      </w:r>
      <w:r>
        <w:rPr>
          <w:rFonts w:hint="eastAsia"/>
          <w:color w:val="000000"/>
        </w:rPr>
        <w:t>の県との差</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97"/>
        <w:gridCol w:w="618"/>
        <w:gridCol w:w="620"/>
        <w:gridCol w:w="620"/>
        <w:gridCol w:w="620"/>
        <w:gridCol w:w="621"/>
        <w:gridCol w:w="621"/>
        <w:gridCol w:w="621"/>
        <w:gridCol w:w="619"/>
        <w:gridCol w:w="621"/>
        <w:gridCol w:w="621"/>
        <w:gridCol w:w="621"/>
        <w:gridCol w:w="621"/>
        <w:gridCol w:w="621"/>
        <w:gridCol w:w="613"/>
      </w:tblGrid>
      <w:tr>
        <w:trPr>
          <w:trHeight w:val="32" w:hRule="atLeast"/>
        </w:trPr>
        <w:tc>
          <w:tcPr>
            <w:tcW w:w="372" w:type="pct"/>
            <w:shd w:val="clear" w:color="auto" w:fill="CCD6FF"/>
            <w:tcMar>
              <w:top w:w="28" w:type="dxa"/>
              <w:left w:w="28" w:type="dxa"/>
              <w:bottom w:w="28" w:type="dxa"/>
              <w:right w:w="28" w:type="dxa"/>
            </w:tcMar>
            <w:vAlign w:val="center"/>
          </w:tcPr>
          <w:p>
            <w:pPr>
              <w:pStyle w:val="0"/>
              <w:rPr>
                <w:rFonts w:hint="default"/>
                <w:b w:val="1"/>
                <w:color w:val="000000"/>
              </w:rPr>
            </w:pPr>
            <w:r>
              <w:rPr>
                <w:rFonts w:hint="default"/>
                <w:b w:val="1"/>
                <w:color w:val="000000"/>
              </w:rPr>
              <w:t>八街市</w:t>
            </w:r>
          </w:p>
          <w:p>
            <w:pPr>
              <w:pStyle w:val="0"/>
              <w:rPr>
                <w:rFonts w:hint="default"/>
                <w:b w:val="1"/>
                <w:color w:val="000000"/>
                <w:sz w:val="14"/>
              </w:rPr>
            </w:pPr>
            <w:r>
              <w:rPr>
                <w:rFonts w:hint="eastAsia"/>
                <w:b w:val="1"/>
                <w:color w:val="000000"/>
              </w:rPr>
              <w:t>の方が</w:t>
            </w:r>
          </w:p>
        </w:tc>
        <w:tc>
          <w:tcPr>
            <w:tcW w:w="330"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喫煙</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20</w:t>
            </w:r>
            <w:r>
              <w:rPr>
                <w:rFonts w:hint="default"/>
                <w:b w:val="1"/>
                <w:color w:val="000000"/>
                <w:sz w:val="14"/>
              </w:rPr>
              <w:t>歳時</w:t>
            </w:r>
          </w:p>
          <w:p>
            <w:pPr>
              <w:pStyle w:val="0"/>
              <w:jc w:val="center"/>
              <w:rPr>
                <w:rFonts w:hint="default"/>
                <w:b w:val="1"/>
                <w:color w:val="000000"/>
                <w:sz w:val="14"/>
              </w:rPr>
            </w:pPr>
            <w:r>
              <w:rPr>
                <w:rFonts w:hint="default"/>
                <w:b w:val="1"/>
                <w:color w:val="000000"/>
                <w:sz w:val="14"/>
              </w:rPr>
              <w:t>体重から</w:t>
            </w:r>
          </w:p>
          <w:p>
            <w:pPr>
              <w:pStyle w:val="0"/>
              <w:jc w:val="center"/>
              <w:rPr>
                <w:rFonts w:hint="default"/>
                <w:b w:val="1"/>
                <w:color w:val="000000"/>
                <w:sz w:val="14"/>
              </w:rPr>
            </w:pPr>
            <w:r>
              <w:rPr>
                <w:rFonts w:hint="default"/>
                <w:b w:val="1"/>
                <w:color w:val="000000"/>
                <w:sz w:val="14"/>
              </w:rPr>
              <w:t>10kg</w:t>
            </w:r>
          </w:p>
          <w:p>
            <w:pPr>
              <w:pStyle w:val="0"/>
              <w:jc w:val="center"/>
              <w:rPr>
                <w:rFonts w:hint="default"/>
                <w:b w:val="1"/>
                <w:color w:val="000000"/>
                <w:sz w:val="14"/>
              </w:rPr>
            </w:pPr>
            <w:r>
              <w:rPr>
                <w:rFonts w:hint="default"/>
                <w:b w:val="1"/>
                <w:color w:val="000000"/>
                <w:sz w:val="14"/>
              </w:rPr>
              <w:t>以上増加</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1</w:t>
            </w:r>
            <w:r>
              <w:rPr>
                <w:rFonts w:hint="default"/>
                <w:b w:val="1"/>
                <w:color w:val="000000"/>
                <w:sz w:val="14"/>
              </w:rPr>
              <w:t>回</w:t>
            </w:r>
            <w:r>
              <w:rPr>
                <w:rFonts w:hint="default"/>
                <w:b w:val="1"/>
                <w:color w:val="000000"/>
                <w:sz w:val="14"/>
              </w:rPr>
              <w:t>30</w:t>
            </w:r>
            <w:r>
              <w:rPr>
                <w:rFonts w:hint="default"/>
                <w:b w:val="1"/>
                <w:color w:val="000000"/>
                <w:sz w:val="14"/>
              </w:rPr>
              <w:t>分以上の</w:t>
            </w:r>
          </w:p>
          <w:p>
            <w:pPr>
              <w:pStyle w:val="0"/>
              <w:jc w:val="center"/>
              <w:rPr>
                <w:rFonts w:hint="default"/>
                <w:b w:val="1"/>
                <w:color w:val="000000"/>
                <w:sz w:val="14"/>
              </w:rPr>
            </w:pPr>
            <w:r>
              <w:rPr>
                <w:rFonts w:hint="default"/>
                <w:b w:val="1"/>
                <w:color w:val="000000"/>
                <w:sz w:val="14"/>
              </w:rPr>
              <w:t>運動習慣</w:t>
            </w:r>
          </w:p>
          <w:p>
            <w:pPr>
              <w:pStyle w:val="0"/>
              <w:jc w:val="center"/>
              <w:rPr>
                <w:rFonts w:hint="default"/>
                <w:b w:val="1"/>
                <w:color w:val="000000"/>
                <w:sz w:val="14"/>
              </w:rPr>
            </w:pPr>
            <w:r>
              <w:rPr>
                <w:rFonts w:hint="default"/>
                <w:b w:val="1"/>
                <w:color w:val="000000"/>
                <w:sz w:val="14"/>
              </w:rPr>
              <w:t>なし</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1</w:t>
            </w:r>
            <w:r>
              <w:rPr>
                <w:rFonts w:hint="default"/>
                <w:b w:val="1"/>
                <w:color w:val="000000"/>
                <w:sz w:val="14"/>
              </w:rPr>
              <w:t>日</w:t>
            </w:r>
            <w:r>
              <w:rPr>
                <w:rFonts w:hint="default"/>
                <w:b w:val="1"/>
                <w:color w:val="000000"/>
                <w:sz w:val="14"/>
              </w:rPr>
              <w:t>1</w:t>
            </w:r>
            <w:r>
              <w:rPr>
                <w:rFonts w:hint="default"/>
                <w:b w:val="1"/>
                <w:color w:val="000000"/>
                <w:sz w:val="14"/>
              </w:rPr>
              <w:t>時間以上</w:t>
            </w:r>
          </w:p>
          <w:p>
            <w:pPr>
              <w:pStyle w:val="0"/>
              <w:jc w:val="center"/>
              <w:rPr>
                <w:rFonts w:hint="default"/>
                <w:b w:val="1"/>
                <w:color w:val="000000"/>
                <w:sz w:val="14"/>
              </w:rPr>
            </w:pPr>
            <w:r>
              <w:rPr>
                <w:rFonts w:hint="default"/>
                <w:b w:val="1"/>
                <w:color w:val="000000"/>
                <w:sz w:val="14"/>
              </w:rPr>
              <w:t>運動なし</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歩行速度</w:t>
            </w:r>
          </w:p>
          <w:p>
            <w:pPr>
              <w:pStyle w:val="0"/>
              <w:jc w:val="center"/>
              <w:rPr>
                <w:rFonts w:hint="default"/>
                <w:b w:val="1"/>
                <w:color w:val="000000"/>
                <w:sz w:val="14"/>
              </w:rPr>
            </w:pPr>
            <w:r>
              <w:rPr>
                <w:rFonts w:hint="default"/>
                <w:b w:val="1"/>
                <w:color w:val="000000"/>
                <w:sz w:val="14"/>
              </w:rPr>
              <w:t>遅い</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食べる</w:t>
            </w:r>
          </w:p>
          <w:p>
            <w:pPr>
              <w:pStyle w:val="0"/>
              <w:jc w:val="center"/>
              <w:rPr>
                <w:rFonts w:hint="default"/>
                <w:b w:val="1"/>
                <w:color w:val="000000"/>
                <w:sz w:val="14"/>
              </w:rPr>
            </w:pPr>
            <w:r>
              <w:rPr>
                <w:rFonts w:hint="default"/>
                <w:b w:val="1"/>
                <w:color w:val="000000"/>
                <w:sz w:val="14"/>
              </w:rPr>
              <w:t>速度が</w:t>
            </w:r>
          </w:p>
          <w:p>
            <w:pPr>
              <w:pStyle w:val="0"/>
              <w:jc w:val="center"/>
              <w:rPr>
                <w:rFonts w:hint="default"/>
                <w:b w:val="1"/>
                <w:color w:val="000000"/>
                <w:sz w:val="14"/>
              </w:rPr>
            </w:pPr>
            <w:r>
              <w:rPr>
                <w:rFonts w:hint="default"/>
                <w:b w:val="1"/>
                <w:color w:val="000000"/>
                <w:sz w:val="14"/>
              </w:rPr>
              <w:t>速い</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週</w:t>
            </w:r>
            <w:r>
              <w:rPr>
                <w:rFonts w:hint="default"/>
                <w:b w:val="1"/>
                <w:color w:val="000000"/>
                <w:sz w:val="14"/>
              </w:rPr>
              <w:t>3</w:t>
            </w:r>
            <w:r>
              <w:rPr>
                <w:rFonts w:hint="default"/>
                <w:b w:val="1"/>
                <w:color w:val="000000"/>
                <w:sz w:val="14"/>
              </w:rPr>
              <w:t>回</w:t>
            </w:r>
          </w:p>
          <w:p>
            <w:pPr>
              <w:pStyle w:val="0"/>
              <w:jc w:val="center"/>
              <w:rPr>
                <w:rFonts w:hint="default"/>
                <w:b w:val="1"/>
                <w:color w:val="000000"/>
                <w:sz w:val="14"/>
              </w:rPr>
            </w:pPr>
            <w:r>
              <w:rPr>
                <w:rFonts w:hint="default"/>
                <w:b w:val="1"/>
                <w:color w:val="000000"/>
                <w:sz w:val="14"/>
              </w:rPr>
              <w:t>以上</w:t>
            </w:r>
          </w:p>
          <w:p>
            <w:pPr>
              <w:pStyle w:val="0"/>
              <w:jc w:val="center"/>
              <w:rPr>
                <w:rFonts w:hint="default"/>
                <w:b w:val="1"/>
                <w:color w:val="000000"/>
                <w:sz w:val="14"/>
              </w:rPr>
            </w:pPr>
            <w:r>
              <w:rPr>
                <w:rFonts w:hint="default"/>
                <w:b w:val="1"/>
                <w:color w:val="000000"/>
                <w:sz w:val="14"/>
              </w:rPr>
              <w:t>就寝前</w:t>
            </w:r>
          </w:p>
          <w:p>
            <w:pPr>
              <w:pStyle w:val="0"/>
              <w:jc w:val="center"/>
              <w:rPr>
                <w:rFonts w:hint="default"/>
                <w:b w:val="1"/>
                <w:color w:val="000000"/>
                <w:sz w:val="14"/>
              </w:rPr>
            </w:pPr>
            <w:r>
              <w:rPr>
                <w:rFonts w:hint="default"/>
                <w:b w:val="1"/>
                <w:color w:val="000000"/>
                <w:sz w:val="14"/>
              </w:rPr>
              <w:t>夕食</w:t>
            </w:r>
          </w:p>
        </w:tc>
        <w:tc>
          <w:tcPr>
            <w:tcW w:w="330"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週</w:t>
            </w:r>
            <w:r>
              <w:rPr>
                <w:rFonts w:hint="default"/>
                <w:b w:val="1"/>
                <w:color w:val="000000"/>
                <w:sz w:val="14"/>
              </w:rPr>
              <w:t>3</w:t>
            </w:r>
            <w:r>
              <w:rPr>
                <w:rFonts w:hint="default"/>
                <w:b w:val="1"/>
                <w:color w:val="000000"/>
                <w:sz w:val="14"/>
              </w:rPr>
              <w:t>回</w:t>
            </w:r>
          </w:p>
          <w:p>
            <w:pPr>
              <w:pStyle w:val="0"/>
              <w:jc w:val="center"/>
              <w:rPr>
                <w:rFonts w:hint="default"/>
                <w:b w:val="1"/>
                <w:color w:val="000000"/>
                <w:sz w:val="14"/>
              </w:rPr>
            </w:pPr>
            <w:r>
              <w:rPr>
                <w:rFonts w:hint="default"/>
                <w:b w:val="1"/>
                <w:color w:val="000000"/>
                <w:sz w:val="14"/>
              </w:rPr>
              <w:t>以上</w:t>
            </w:r>
          </w:p>
          <w:p>
            <w:pPr>
              <w:pStyle w:val="0"/>
              <w:jc w:val="center"/>
              <w:rPr>
                <w:rFonts w:hint="default"/>
                <w:b w:val="1"/>
                <w:color w:val="000000"/>
                <w:sz w:val="14"/>
              </w:rPr>
            </w:pPr>
            <w:r>
              <w:rPr>
                <w:rFonts w:hint="default"/>
                <w:b w:val="1"/>
                <w:color w:val="000000"/>
                <w:sz w:val="14"/>
              </w:rPr>
              <w:t>朝食を</w:t>
            </w:r>
          </w:p>
          <w:p>
            <w:pPr>
              <w:pStyle w:val="0"/>
              <w:jc w:val="center"/>
              <w:rPr>
                <w:rFonts w:hint="default"/>
                <w:b w:val="1"/>
                <w:color w:val="000000"/>
                <w:sz w:val="14"/>
              </w:rPr>
            </w:pPr>
            <w:r>
              <w:rPr>
                <w:rFonts w:hint="default"/>
                <w:b w:val="1"/>
                <w:color w:val="000000"/>
                <w:sz w:val="14"/>
              </w:rPr>
              <w:t>抜く</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毎日</w:t>
            </w:r>
          </w:p>
          <w:p>
            <w:pPr>
              <w:pStyle w:val="0"/>
              <w:jc w:val="center"/>
              <w:rPr>
                <w:rFonts w:hint="default"/>
                <w:b w:val="1"/>
                <w:color w:val="000000"/>
                <w:sz w:val="14"/>
              </w:rPr>
            </w:pPr>
            <w:r>
              <w:rPr>
                <w:rFonts w:hint="default"/>
                <w:b w:val="1"/>
                <w:color w:val="000000"/>
                <w:sz w:val="14"/>
              </w:rPr>
              <w:t>飲酒</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eastAsia"/>
                <w:b w:val="1"/>
                <w:color w:val="000000"/>
                <w:sz w:val="14"/>
              </w:rPr>
              <w:t>1</w:t>
            </w:r>
            <w:r>
              <w:rPr>
                <w:rFonts w:hint="eastAsia"/>
                <w:b w:val="1"/>
                <w:color w:val="000000"/>
                <w:sz w:val="14"/>
              </w:rPr>
              <w:t>日</w:t>
            </w:r>
          </w:p>
          <w:p>
            <w:pPr>
              <w:pStyle w:val="0"/>
              <w:jc w:val="center"/>
              <w:rPr>
                <w:rFonts w:hint="default"/>
                <w:b w:val="1"/>
                <w:color w:val="000000"/>
                <w:sz w:val="14"/>
              </w:rPr>
            </w:pPr>
            <w:r>
              <w:rPr>
                <w:rFonts w:hint="default"/>
                <w:b w:val="1"/>
                <w:color w:val="000000"/>
                <w:sz w:val="14"/>
              </w:rPr>
              <w:t>3</w:t>
            </w:r>
            <w:r>
              <w:rPr>
                <w:rFonts w:hint="default"/>
                <w:b w:val="1"/>
                <w:color w:val="000000"/>
                <w:sz w:val="14"/>
              </w:rPr>
              <w:t>合</w:t>
            </w:r>
          </w:p>
          <w:p>
            <w:pPr>
              <w:pStyle w:val="0"/>
              <w:jc w:val="center"/>
              <w:rPr>
                <w:rFonts w:hint="default"/>
                <w:b w:val="1"/>
                <w:color w:val="000000"/>
                <w:sz w:val="14"/>
              </w:rPr>
            </w:pPr>
            <w:r>
              <w:rPr>
                <w:rFonts w:hint="default"/>
                <w:b w:val="1"/>
                <w:color w:val="000000"/>
                <w:sz w:val="14"/>
              </w:rPr>
              <w:t>以上</w:t>
            </w:r>
          </w:p>
          <w:p>
            <w:pPr>
              <w:pStyle w:val="0"/>
              <w:jc w:val="center"/>
              <w:rPr>
                <w:rFonts w:hint="default"/>
                <w:b w:val="1"/>
                <w:color w:val="000000"/>
                <w:sz w:val="14"/>
              </w:rPr>
            </w:pPr>
            <w:r>
              <w:rPr>
                <w:rFonts w:hint="eastAsia"/>
                <w:b w:val="1"/>
                <w:color w:val="000000"/>
                <w:sz w:val="14"/>
              </w:rPr>
              <w:t>飲酒</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睡眠不足</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生活改善</w:t>
            </w:r>
          </w:p>
          <w:p>
            <w:pPr>
              <w:pStyle w:val="0"/>
              <w:jc w:val="center"/>
              <w:rPr>
                <w:rFonts w:hint="default"/>
                <w:b w:val="1"/>
                <w:color w:val="000000"/>
                <w:sz w:val="14"/>
              </w:rPr>
            </w:pPr>
            <w:r>
              <w:rPr>
                <w:rFonts w:hint="default"/>
                <w:b w:val="1"/>
                <w:color w:val="000000"/>
                <w:sz w:val="14"/>
              </w:rPr>
              <w:t>意欲なし</w:t>
            </w:r>
          </w:p>
        </w:tc>
        <w:tc>
          <w:tcPr>
            <w:tcW w:w="331"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咀嚼</w:t>
            </w:r>
          </w:p>
          <w:p>
            <w:pPr>
              <w:pStyle w:val="0"/>
              <w:jc w:val="center"/>
              <w:rPr>
                <w:rFonts w:hint="default"/>
                <w:b w:val="1"/>
                <w:color w:val="000000"/>
                <w:sz w:val="14"/>
              </w:rPr>
            </w:pPr>
            <w:r>
              <w:rPr>
                <w:rFonts w:hint="default"/>
                <w:b w:val="1"/>
                <w:color w:val="000000"/>
                <w:sz w:val="14"/>
              </w:rPr>
              <w:t>ほとんど</w:t>
            </w:r>
          </w:p>
          <w:p>
            <w:pPr>
              <w:pStyle w:val="0"/>
              <w:jc w:val="center"/>
              <w:rPr>
                <w:rFonts w:hint="default"/>
                <w:b w:val="1"/>
                <w:color w:val="000000"/>
                <w:sz w:val="14"/>
              </w:rPr>
            </w:pPr>
            <w:r>
              <w:rPr>
                <w:rFonts w:hint="default"/>
                <w:b w:val="1"/>
                <w:color w:val="000000"/>
                <w:sz w:val="14"/>
              </w:rPr>
              <w:t>かめない</w:t>
            </w:r>
          </w:p>
        </w:tc>
        <w:tc>
          <w:tcPr>
            <w:tcW w:w="327" w:type="pct"/>
            <w:shd w:val="clear" w:color="auto" w:fill="CCD6FF"/>
            <w:tcMar>
              <w:top w:w="28" w:type="dxa"/>
              <w:left w:w="28" w:type="dxa"/>
              <w:bottom w:w="28" w:type="dxa"/>
              <w:right w:w="28" w:type="dxa"/>
            </w:tcMar>
            <w:vAlign w:val="center"/>
          </w:tcPr>
          <w:p>
            <w:pPr>
              <w:pStyle w:val="0"/>
              <w:jc w:val="center"/>
              <w:rPr>
                <w:rFonts w:hint="default"/>
                <w:b w:val="1"/>
                <w:color w:val="000000"/>
                <w:sz w:val="14"/>
              </w:rPr>
            </w:pPr>
            <w:r>
              <w:rPr>
                <w:rFonts w:hint="default"/>
                <w:b w:val="1"/>
                <w:color w:val="000000"/>
                <w:sz w:val="14"/>
              </w:rPr>
              <w:t>間食</w:t>
            </w:r>
          </w:p>
          <w:p>
            <w:pPr>
              <w:pStyle w:val="0"/>
              <w:jc w:val="center"/>
              <w:rPr>
                <w:rFonts w:hint="default"/>
                <w:b w:val="1"/>
                <w:color w:val="000000"/>
                <w:sz w:val="14"/>
              </w:rPr>
            </w:pPr>
            <w:r>
              <w:rPr>
                <w:rFonts w:hint="default"/>
                <w:b w:val="1"/>
                <w:color w:val="000000"/>
                <w:sz w:val="14"/>
              </w:rPr>
              <w:t>毎日</w:t>
            </w:r>
          </w:p>
        </w:tc>
      </w:tr>
      <w:tr>
        <w:trPr>
          <w:trHeight w:val="193" w:hRule="atLeast"/>
        </w:trPr>
        <w:tc>
          <w:tcPr>
            <w:tcW w:w="372" w:type="pct"/>
            <w:tcMar>
              <w:top w:w="28" w:type="dxa"/>
              <w:left w:w="28" w:type="dxa"/>
              <w:bottom w:w="28" w:type="dxa"/>
              <w:right w:w="28" w:type="dxa"/>
            </w:tcMar>
            <w:vAlign w:val="center"/>
          </w:tcPr>
          <w:p>
            <w:pPr>
              <w:pStyle w:val="0"/>
              <w:rPr>
                <w:rFonts w:hint="default"/>
                <w:color w:val="000000"/>
              </w:rPr>
            </w:pPr>
            <w:r>
              <w:rPr>
                <w:rFonts w:hint="eastAsia"/>
                <w:color w:val="000000"/>
              </w:rPr>
              <w:t>高い</w:t>
            </w:r>
          </w:p>
        </w:tc>
        <w:tc>
          <w:tcPr>
            <w:tcW w:w="330" w:type="pct"/>
            <w:tcMar>
              <w:top w:w="28" w:type="dxa"/>
              <w:left w:w="28" w:type="dxa"/>
              <w:bottom w:w="28" w:type="dxa"/>
              <w:right w:w="28" w:type="dxa"/>
            </w:tcMar>
            <w:vAlign w:val="top"/>
          </w:tcPr>
          <w:p>
            <w:pPr>
              <w:pStyle w:val="0"/>
              <w:jc w:val="center"/>
              <w:rPr>
                <w:rFonts w:hint="default"/>
                <w:color w:val="000000"/>
              </w:rPr>
            </w:pPr>
            <w:r>
              <w:rPr>
                <w:rFonts w:hint="eastAsia"/>
                <w:color w:val="000000"/>
              </w:rPr>
              <w:t>3.1</w:t>
            </w:r>
            <w:r>
              <w:rPr>
                <w:rFonts w:hint="default"/>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1.7%</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1.3%</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3.2%</w:t>
            </w:r>
          </w:p>
        </w:tc>
        <w:tc>
          <w:tcPr>
            <w:tcW w:w="330" w:type="pct"/>
            <w:tcMar>
              <w:top w:w="28" w:type="dxa"/>
              <w:left w:w="28" w:type="dxa"/>
              <w:bottom w:w="28" w:type="dxa"/>
              <w:right w:w="28" w:type="dxa"/>
            </w:tcMar>
            <w:vAlign w:val="top"/>
          </w:tcPr>
          <w:p>
            <w:pPr>
              <w:pStyle w:val="0"/>
              <w:jc w:val="center"/>
              <w:rPr>
                <w:rFonts w:hint="default"/>
                <w:color w:val="000000"/>
              </w:rPr>
            </w:pPr>
            <w:r>
              <w:rPr>
                <w:rFonts w:hint="eastAsia"/>
                <w:color w:val="000000"/>
              </w:rPr>
              <w:t>0.8%</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1.5%</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2.1%</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5</w:t>
            </w:r>
            <w:r>
              <w:rPr>
                <w:rFonts w:hint="default"/>
                <w:color w:val="000000"/>
              </w:rPr>
              <w:t>.0</w:t>
            </w: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27" w:type="pct"/>
            <w:tcMar>
              <w:top w:w="28" w:type="dxa"/>
              <w:left w:w="28" w:type="dxa"/>
              <w:bottom w:w="28" w:type="dxa"/>
              <w:right w:w="28" w:type="dxa"/>
            </w:tcMar>
            <w:vAlign w:val="top"/>
          </w:tcPr>
          <w:p>
            <w:pPr>
              <w:pStyle w:val="0"/>
              <w:jc w:val="center"/>
              <w:rPr>
                <w:rFonts w:hint="default"/>
                <w:color w:val="000000"/>
              </w:rPr>
            </w:pPr>
            <w:r>
              <w:rPr>
                <w:rFonts w:hint="eastAsia"/>
                <w:color w:val="000000"/>
              </w:rPr>
              <w:t>1.4%</w:t>
            </w:r>
          </w:p>
        </w:tc>
      </w:tr>
      <w:tr>
        <w:trPr>
          <w:trHeight w:val="193" w:hRule="atLeast"/>
        </w:trPr>
        <w:tc>
          <w:tcPr>
            <w:tcW w:w="372" w:type="pct"/>
            <w:tcMar>
              <w:top w:w="28" w:type="dxa"/>
              <w:left w:w="28" w:type="dxa"/>
              <w:bottom w:w="28" w:type="dxa"/>
              <w:right w:w="28" w:type="dxa"/>
            </w:tcMar>
            <w:vAlign w:val="center"/>
          </w:tcPr>
          <w:p>
            <w:pPr>
              <w:pStyle w:val="0"/>
              <w:rPr>
                <w:rFonts w:hint="default"/>
                <w:color w:val="000000"/>
              </w:rPr>
            </w:pPr>
            <w:r>
              <w:rPr>
                <w:rFonts w:hint="eastAsia"/>
                <w:color w:val="000000"/>
              </w:rPr>
              <w:t>低い</w:t>
            </w:r>
          </w:p>
        </w:tc>
        <w:tc>
          <w:tcPr>
            <w:tcW w:w="330"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-21.7%</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-1.5%</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-4.2%</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0"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0.4%</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31"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c>
          <w:tcPr>
            <w:tcW w:w="327" w:type="pct"/>
            <w:tcMar>
              <w:top w:w="28" w:type="dxa"/>
              <w:left w:w="28" w:type="dxa"/>
              <w:bottom w:w="28" w:type="dxa"/>
              <w:right w:w="28" w:type="dxa"/>
            </w:tcMar>
            <w:vAlign w:val="top"/>
          </w:tcPr>
          <w:p>
            <w:pPr>
              <w:pStyle w:val="0"/>
              <w:jc w:val="center"/>
              <w:rPr>
                <w:rFonts w:hint="default"/>
                <w:color w:val="000000"/>
              </w:rPr>
            </w:pPr>
            <w:r>
              <w:rPr>
                <w:rFonts w:hint="eastAsia"/>
                <w:color w:val="000000"/>
              </w:rPr>
              <w:t>-</w:t>
            </w:r>
          </w:p>
        </w:tc>
      </w:tr>
    </w:tbl>
    <w:p>
      <w:pPr>
        <w:pStyle w:val="0"/>
        <w:rPr>
          <w:rFonts w:hint="default"/>
        </w:rPr>
      </w:pPr>
    </w:p>
    <w:p>
      <w:pPr>
        <w:pStyle w:val="0"/>
        <w:rPr>
          <w:rFonts w:hint="default"/>
          <w:b w:val="1"/>
          <w:sz w:val="22"/>
        </w:rPr>
      </w:pPr>
      <w:r>
        <w:rPr>
          <w:rFonts w:hint="default"/>
        </w:rPr>
        <w:br w:type="page"/>
      </w:r>
    </w:p>
    <w:p>
      <w:pPr>
        <w:pStyle w:val="4"/>
        <w:rPr>
          <w:rFonts w:hint="default"/>
        </w:rPr>
      </w:pPr>
      <w:r>
        <w:rPr>
          <w:rFonts w:hint="eastAsia"/>
        </w:rPr>
        <w:t>特定健診受診者における年代別質問票の回答状況と標準化比</w:t>
      </w:r>
    </w:p>
    <w:p>
      <w:pPr>
        <w:pStyle w:val="39"/>
        <w:ind w:firstLine="200"/>
        <w:rPr>
          <w:rFonts w:hint="default"/>
        </w:rPr>
      </w:pPr>
      <w:r>
        <w:rPr>
          <w:rFonts w:hint="default"/>
        </w:rPr>
        <w:t>さらに、</w:t>
      </w:r>
      <w:r>
        <w:rPr>
          <w:rFonts w:hint="eastAsia"/>
        </w:rPr>
        <w:t>国における各設問への回答者割合を</w:t>
      </w:r>
      <w:r>
        <w:rPr>
          <w:rFonts w:hint="eastAsia"/>
        </w:rPr>
        <w:t>100</w:t>
      </w:r>
      <w:r>
        <w:rPr>
          <w:rFonts w:hint="eastAsia"/>
        </w:rPr>
        <w:t>とした</w:t>
      </w:r>
      <w:r>
        <w:rPr>
          <w:rFonts w:hint="default"/>
        </w:rPr>
        <w:t>標準化比</w:t>
      </w:r>
      <w:r>
        <w:rPr>
          <w:rFonts w:hint="eastAsia"/>
        </w:rPr>
        <w:t>を国立保健医療科学院のツールを使って算出し、年代別の回答者割合を国と比較すると</w:t>
      </w:r>
      <w:r>
        <w:rPr>
          <w:rFonts w:hint="default"/>
        </w:rPr>
        <w:t>（</w:t>
      </w:r>
      <w:r>
        <w:rPr>
          <w:rFonts w:hint="eastAsia"/>
        </w:rPr>
        <w:fldChar w:fldCharType="begin"/>
      </w:r>
      <w:r>
        <w:rPr>
          <w:rFonts w:hint="eastAsia"/>
        </w:rPr>
        <w:instrText xml:space="preserve">REF _Ref122541713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6</w:t>
      </w:r>
      <w:r>
        <w:rPr>
          <w:rFonts w:hint="eastAsia"/>
        </w:rPr>
        <w:t>-</w:t>
      </w:r>
      <w:r>
        <w:rPr>
          <w:rFonts w:hint="default"/>
        </w:rPr>
        <w:t>3</w:t>
      </w:r>
      <w:r>
        <w:rPr>
          <w:rFonts w:hint="eastAsia"/>
        </w:rPr>
        <w:fldChar w:fldCharType="end"/>
      </w:r>
      <w:r>
        <w:rPr>
          <w:rFonts w:hint="eastAsia"/>
        </w:rPr>
        <w:t>・</w:t>
      </w:r>
      <w:r>
        <w:rPr>
          <w:rFonts w:hint="eastAsia"/>
        </w:rPr>
        <w:fldChar w:fldCharType="begin"/>
      </w:r>
      <w:r>
        <w:rPr>
          <w:rFonts w:hint="eastAsia"/>
        </w:rPr>
        <w:instrText xml:space="preserve">REF _Ref122541742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6</w:t>
      </w:r>
      <w:r>
        <w:rPr>
          <w:rFonts w:hint="eastAsia"/>
        </w:rPr>
        <w:t>-</w:t>
      </w:r>
      <w:r>
        <w:rPr>
          <w:rFonts w:hint="default"/>
        </w:rPr>
        <w:t>4</w:t>
      </w:r>
      <w:r>
        <w:rPr>
          <w:rFonts w:hint="eastAsia"/>
        </w:rPr>
        <w:fldChar w:fldCharType="end"/>
      </w:r>
      <w:r>
        <w:rPr>
          <w:rFonts w:hint="default"/>
        </w:rPr>
        <w:t>）、</w:t>
      </w:r>
      <w:r>
        <w:rPr>
          <w:rFonts w:hint="eastAsia"/>
        </w:rPr>
        <w:t>男性では</w:t>
      </w:r>
      <w:r>
        <w:rPr>
          <w:rFonts w:hint="default"/>
        </w:rPr>
        <w:t>「週</w:t>
      </w:r>
      <w:r>
        <w:rPr>
          <w:rFonts w:hint="default"/>
        </w:rPr>
        <w:t>3</w:t>
      </w:r>
      <w:r>
        <w:rPr>
          <w:rFonts w:hint="default"/>
        </w:rPr>
        <w:t>回以上就寝前夕食」「生活改善意欲なし」「</w:t>
      </w:r>
      <w:r>
        <w:rPr>
          <w:rFonts w:hint="default"/>
        </w:rPr>
        <w:t>3</w:t>
      </w:r>
      <w:r>
        <w:rPr>
          <w:rFonts w:hint="default"/>
        </w:rPr>
        <w:t>食以外間食</w:t>
      </w:r>
      <w:r>
        <w:rPr>
          <w:rFonts w:hint="default"/>
        </w:rPr>
        <w:t>_</w:t>
      </w:r>
      <w:r>
        <w:rPr>
          <w:rFonts w:hint="default"/>
        </w:rPr>
        <w:t>毎日」の標準化比がいずれの年代においても高</w:t>
      </w:r>
      <w:r>
        <w:rPr>
          <w:rFonts w:hint="eastAsia"/>
        </w:rPr>
        <w:t>く、女性では</w:t>
      </w:r>
      <w:r>
        <w:rPr>
          <w:rFonts w:hint="default"/>
        </w:rPr>
        <w:t>「週</w:t>
      </w:r>
      <w:r>
        <w:rPr>
          <w:rFonts w:hint="default"/>
        </w:rPr>
        <w:t>3</w:t>
      </w:r>
      <w:r>
        <w:rPr>
          <w:rFonts w:hint="default"/>
        </w:rPr>
        <w:t>回以上朝食を抜く」「週</w:t>
      </w:r>
      <w:r>
        <w:rPr>
          <w:rFonts w:hint="default"/>
        </w:rPr>
        <w:t>3</w:t>
      </w:r>
      <w:r>
        <w:rPr>
          <w:rFonts w:hint="default"/>
        </w:rPr>
        <w:t>回以上就寝前夕食」「喫煙」の標準化比がいずれの年代においても高</w:t>
      </w:r>
      <w:r>
        <w:rPr>
          <w:rFonts w:hint="eastAsia"/>
        </w:rPr>
        <w:t>い。</w:t>
      </w:r>
    </w:p>
    <w:p>
      <w:pPr>
        <w:pStyle w:val="0"/>
        <w:rPr>
          <w:rFonts w:hint="default"/>
        </w:rPr>
      </w:pPr>
    </w:p>
    <w:p>
      <w:pPr>
        <w:pStyle w:val="38"/>
        <w:rPr>
          <w:rFonts w:hint="default"/>
        </w:rPr>
      </w:pPr>
      <w:bookmarkStart w:id="88" w:name="_Ref122541713"/>
      <w:bookmarkStart w:id="89" w:name="_Toc12493684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88"/>
      <w:r>
        <w:rPr>
          <w:rFonts w:hint="default"/>
        </w:rPr>
        <w:t>：特定健診受診者における年代別質問項目回答者の割合</w:t>
      </w:r>
      <w:r>
        <w:rPr>
          <w:rFonts w:hint="eastAsia"/>
        </w:rPr>
        <w:t>・</w:t>
      </w:r>
      <w:r>
        <w:rPr>
          <w:rFonts w:hint="default"/>
        </w:rPr>
        <w:t>標準化比</w:t>
      </w:r>
      <w:r>
        <w:rPr>
          <w:rFonts w:hint="default"/>
        </w:rPr>
        <w:t>_</w:t>
      </w:r>
      <w:r>
        <w:rPr>
          <w:rFonts w:hint="default"/>
        </w:rPr>
        <w:t>男性</w:t>
      </w:r>
      <w:bookmarkEnd w:id="89"/>
    </w:p>
    <w:p>
      <w:pPr>
        <w:pStyle w:val="0"/>
        <w:jc w:val="center"/>
        <w:rPr>
          <w:rFonts w:hint="default"/>
          <w:b w:val="1"/>
          <w:sz w:val="22"/>
        </w:rPr>
      </w:pPr>
      <w:r>
        <w:rPr>
          <w:rFonts w:hint="eastAsia"/>
        </w:rPr>
        <w:drawing>
          <wp:inline distT="0" distB="0" distL="0" distR="0">
            <wp:extent cx="5900420" cy="2042795"/>
            <wp:effectExtent l="0" t="0" r="0" b="0"/>
            <wp:docPr id="1082" name="オブジェクト 0"/>
            <a:graphic xmlns:a="http://schemas.openxmlformats.org/drawingml/2006/main">
              <a:graphicData uri="http://schemas.openxmlformats.org/drawingml/2006/chart">
                <c:chart xmlns:c="http://schemas.openxmlformats.org/drawingml/2006/chart" r:id="rId37"/>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92"/>
        <w:gridCol w:w="636"/>
        <w:gridCol w:w="581"/>
        <w:gridCol w:w="583"/>
        <w:gridCol w:w="581"/>
        <w:gridCol w:w="583"/>
        <w:gridCol w:w="583"/>
        <w:gridCol w:w="581"/>
        <w:gridCol w:w="583"/>
        <w:gridCol w:w="583"/>
        <w:gridCol w:w="581"/>
        <w:gridCol w:w="583"/>
        <w:gridCol w:w="583"/>
        <w:gridCol w:w="581"/>
        <w:gridCol w:w="583"/>
        <w:gridCol w:w="578"/>
      </w:tblGrid>
      <w:tr>
        <w:trPr>
          <w:trHeight w:val="20" w:hRule="atLeast"/>
        </w:trPr>
        <w:tc>
          <w:tcPr>
            <w:tcW w:w="653" w:type="pct"/>
            <w:gridSpan w:val="2"/>
            <w:shd w:val="clear" w:color="auto" w:fill="CCD6FF"/>
            <w:tcMar>
              <w:top w:w="28" w:type="dxa"/>
              <w:left w:w="28" w:type="dxa"/>
              <w:bottom w:w="28" w:type="dxa"/>
              <w:right w:w="28" w:type="dxa"/>
            </w:tcMar>
            <w:vAlign w:val="center"/>
          </w:tcPr>
          <w:p>
            <w:pPr>
              <w:pStyle w:val="0"/>
              <w:jc w:val="center"/>
              <w:rPr>
                <w:rFonts w:hint="default"/>
                <w:b w:val="1"/>
                <w:sz w:val="14"/>
              </w:rPr>
            </w:pPr>
          </w:p>
        </w:tc>
        <w:tc>
          <w:tcPr>
            <w:tcW w:w="31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喫煙</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20</w:t>
            </w:r>
            <w:r>
              <w:rPr>
                <w:rFonts w:hint="default"/>
                <w:b w:val="1"/>
                <w:sz w:val="12"/>
              </w:rPr>
              <w:t>歳時</w:t>
            </w:r>
          </w:p>
          <w:p>
            <w:pPr>
              <w:pStyle w:val="0"/>
              <w:jc w:val="center"/>
              <w:rPr>
                <w:rFonts w:hint="default"/>
                <w:b w:val="1"/>
                <w:sz w:val="12"/>
              </w:rPr>
            </w:pPr>
            <w:r>
              <w:rPr>
                <w:rFonts w:hint="default"/>
                <w:b w:val="1"/>
                <w:sz w:val="12"/>
              </w:rPr>
              <w:t>体重から</w:t>
            </w:r>
          </w:p>
          <w:p>
            <w:pPr>
              <w:pStyle w:val="0"/>
              <w:jc w:val="center"/>
              <w:rPr>
                <w:rFonts w:hint="default"/>
                <w:b w:val="1"/>
                <w:sz w:val="12"/>
              </w:rPr>
            </w:pPr>
            <w:r>
              <w:rPr>
                <w:rFonts w:hint="default"/>
                <w:b w:val="1"/>
                <w:sz w:val="12"/>
              </w:rPr>
              <w:t>10kg</w:t>
            </w:r>
          </w:p>
          <w:p>
            <w:pPr>
              <w:pStyle w:val="0"/>
              <w:jc w:val="center"/>
              <w:rPr>
                <w:rFonts w:hint="default"/>
                <w:b w:val="1"/>
                <w:sz w:val="12"/>
              </w:rPr>
            </w:pPr>
            <w:r>
              <w:rPr>
                <w:rFonts w:hint="default"/>
                <w:b w:val="1"/>
                <w:sz w:val="12"/>
              </w:rPr>
              <w:t>以上増加</w:t>
            </w:r>
          </w:p>
        </w:tc>
        <w:tc>
          <w:tcPr>
            <w:tcW w:w="310"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1</w:t>
            </w:r>
            <w:r>
              <w:rPr>
                <w:rFonts w:hint="default"/>
                <w:b w:val="1"/>
                <w:sz w:val="12"/>
              </w:rPr>
              <w:t>回</w:t>
            </w:r>
            <w:r>
              <w:rPr>
                <w:rFonts w:hint="default"/>
                <w:b w:val="1"/>
                <w:sz w:val="12"/>
              </w:rPr>
              <w:t>30</w:t>
            </w:r>
            <w:r>
              <w:rPr>
                <w:rFonts w:hint="default"/>
                <w:b w:val="1"/>
                <w:sz w:val="12"/>
              </w:rPr>
              <w:t>分以上の</w:t>
            </w:r>
          </w:p>
          <w:p>
            <w:pPr>
              <w:pStyle w:val="0"/>
              <w:jc w:val="center"/>
              <w:rPr>
                <w:rFonts w:hint="default"/>
                <w:b w:val="1"/>
                <w:sz w:val="12"/>
              </w:rPr>
            </w:pPr>
            <w:r>
              <w:rPr>
                <w:rFonts w:hint="default"/>
                <w:b w:val="1"/>
                <w:sz w:val="12"/>
              </w:rPr>
              <w:t>運動習慣</w:t>
            </w:r>
          </w:p>
          <w:p>
            <w:pPr>
              <w:pStyle w:val="0"/>
              <w:jc w:val="center"/>
              <w:rPr>
                <w:rFonts w:hint="default"/>
                <w:b w:val="1"/>
                <w:sz w:val="12"/>
              </w:rPr>
            </w:pPr>
            <w:r>
              <w:rPr>
                <w:rFonts w:hint="default"/>
                <w:b w:val="1"/>
                <w:sz w:val="12"/>
              </w:rPr>
              <w:t>なし</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1</w:t>
            </w:r>
            <w:r>
              <w:rPr>
                <w:rFonts w:hint="default"/>
                <w:b w:val="1"/>
                <w:sz w:val="12"/>
              </w:rPr>
              <w:t>日</w:t>
            </w:r>
          </w:p>
          <w:p>
            <w:pPr>
              <w:pStyle w:val="0"/>
              <w:jc w:val="center"/>
              <w:rPr>
                <w:rFonts w:hint="default"/>
                <w:b w:val="1"/>
                <w:sz w:val="12"/>
              </w:rPr>
            </w:pPr>
            <w:r>
              <w:rPr>
                <w:rFonts w:hint="default"/>
                <w:b w:val="1"/>
                <w:sz w:val="12"/>
              </w:rPr>
              <w:t>1</w:t>
            </w:r>
            <w:r>
              <w:rPr>
                <w:rFonts w:hint="default"/>
                <w:b w:val="1"/>
                <w:sz w:val="12"/>
              </w:rPr>
              <w:t>時間</w:t>
            </w:r>
          </w:p>
          <w:p>
            <w:pPr>
              <w:pStyle w:val="0"/>
              <w:jc w:val="center"/>
              <w:rPr>
                <w:rFonts w:hint="default"/>
                <w:b w:val="1"/>
                <w:sz w:val="12"/>
              </w:rPr>
            </w:pPr>
            <w:r>
              <w:rPr>
                <w:rFonts w:hint="default"/>
                <w:b w:val="1"/>
                <w:sz w:val="12"/>
              </w:rPr>
              <w:t>以上</w:t>
            </w:r>
          </w:p>
          <w:p>
            <w:pPr>
              <w:pStyle w:val="0"/>
              <w:jc w:val="center"/>
              <w:rPr>
                <w:rFonts w:hint="default"/>
                <w:b w:val="1"/>
                <w:sz w:val="12"/>
              </w:rPr>
            </w:pPr>
            <w:r>
              <w:rPr>
                <w:rFonts w:hint="default"/>
                <w:b w:val="1"/>
                <w:sz w:val="12"/>
              </w:rPr>
              <w:t>運動なし</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歩行速度遅い</w:t>
            </w:r>
          </w:p>
        </w:tc>
        <w:tc>
          <w:tcPr>
            <w:tcW w:w="31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食べる</w:t>
            </w:r>
          </w:p>
          <w:p>
            <w:pPr>
              <w:pStyle w:val="0"/>
              <w:jc w:val="center"/>
              <w:rPr>
                <w:rFonts w:hint="default"/>
                <w:b w:val="1"/>
                <w:sz w:val="14"/>
              </w:rPr>
            </w:pPr>
            <w:r>
              <w:rPr>
                <w:rFonts w:hint="default"/>
                <w:b w:val="1"/>
                <w:sz w:val="14"/>
              </w:rPr>
              <w:t>速度が</w:t>
            </w:r>
          </w:p>
          <w:p>
            <w:pPr>
              <w:pStyle w:val="0"/>
              <w:jc w:val="center"/>
              <w:rPr>
                <w:rFonts w:hint="default"/>
                <w:b w:val="1"/>
                <w:sz w:val="14"/>
              </w:rPr>
            </w:pPr>
            <w:r>
              <w:rPr>
                <w:rFonts w:hint="default"/>
                <w:b w:val="1"/>
                <w:sz w:val="14"/>
              </w:rPr>
              <w:t>速い</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週</w:t>
            </w:r>
            <w:r>
              <w:rPr>
                <w:rFonts w:hint="default"/>
                <w:b w:val="1"/>
                <w:sz w:val="12"/>
              </w:rPr>
              <w:t>3</w:t>
            </w:r>
            <w:r>
              <w:rPr>
                <w:rFonts w:hint="default"/>
                <w:b w:val="1"/>
                <w:sz w:val="12"/>
              </w:rPr>
              <w:t>回</w:t>
            </w:r>
          </w:p>
          <w:p>
            <w:pPr>
              <w:pStyle w:val="0"/>
              <w:jc w:val="center"/>
              <w:rPr>
                <w:rFonts w:hint="default"/>
                <w:b w:val="1"/>
                <w:sz w:val="12"/>
              </w:rPr>
            </w:pPr>
            <w:r>
              <w:rPr>
                <w:rFonts w:hint="default"/>
                <w:b w:val="1"/>
                <w:sz w:val="12"/>
              </w:rPr>
              <w:t>以上</w:t>
            </w:r>
          </w:p>
          <w:p>
            <w:pPr>
              <w:pStyle w:val="0"/>
              <w:jc w:val="center"/>
              <w:rPr>
                <w:rFonts w:hint="default"/>
                <w:b w:val="1"/>
                <w:sz w:val="12"/>
              </w:rPr>
            </w:pPr>
            <w:r>
              <w:rPr>
                <w:rFonts w:hint="default"/>
                <w:b w:val="1"/>
                <w:sz w:val="12"/>
              </w:rPr>
              <w:t>就寝前</w:t>
            </w:r>
          </w:p>
          <w:p>
            <w:pPr>
              <w:pStyle w:val="0"/>
              <w:jc w:val="center"/>
              <w:rPr>
                <w:rFonts w:hint="default"/>
                <w:b w:val="1"/>
                <w:sz w:val="12"/>
              </w:rPr>
            </w:pPr>
            <w:r>
              <w:rPr>
                <w:rFonts w:hint="default"/>
                <w:b w:val="1"/>
                <w:sz w:val="12"/>
              </w:rPr>
              <w:t>夕食</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週</w:t>
            </w:r>
            <w:r>
              <w:rPr>
                <w:rFonts w:hint="default"/>
                <w:b w:val="1"/>
                <w:sz w:val="12"/>
              </w:rPr>
              <w:t>3</w:t>
            </w:r>
            <w:r>
              <w:rPr>
                <w:rFonts w:hint="default"/>
                <w:b w:val="1"/>
                <w:sz w:val="12"/>
              </w:rPr>
              <w:t>回</w:t>
            </w:r>
          </w:p>
          <w:p>
            <w:pPr>
              <w:pStyle w:val="0"/>
              <w:jc w:val="center"/>
              <w:rPr>
                <w:rFonts w:hint="default"/>
                <w:b w:val="1"/>
                <w:sz w:val="12"/>
              </w:rPr>
            </w:pPr>
            <w:r>
              <w:rPr>
                <w:rFonts w:hint="default"/>
                <w:b w:val="1"/>
                <w:sz w:val="12"/>
              </w:rPr>
              <w:t>以上</w:t>
            </w:r>
          </w:p>
          <w:p>
            <w:pPr>
              <w:pStyle w:val="0"/>
              <w:jc w:val="center"/>
              <w:rPr>
                <w:rFonts w:hint="default"/>
                <w:b w:val="1"/>
                <w:sz w:val="12"/>
              </w:rPr>
            </w:pPr>
            <w:r>
              <w:rPr>
                <w:rFonts w:hint="default"/>
                <w:b w:val="1"/>
                <w:sz w:val="12"/>
              </w:rPr>
              <w:t>朝食を</w:t>
            </w:r>
          </w:p>
          <w:p>
            <w:pPr>
              <w:pStyle w:val="0"/>
              <w:jc w:val="center"/>
              <w:rPr>
                <w:rFonts w:hint="default"/>
                <w:b w:val="1"/>
                <w:sz w:val="12"/>
              </w:rPr>
            </w:pPr>
            <w:r>
              <w:rPr>
                <w:rFonts w:hint="default"/>
                <w:b w:val="1"/>
                <w:sz w:val="12"/>
              </w:rPr>
              <w:t>抜く</w:t>
            </w:r>
          </w:p>
        </w:tc>
        <w:tc>
          <w:tcPr>
            <w:tcW w:w="31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毎日</w:t>
            </w:r>
          </w:p>
          <w:p>
            <w:pPr>
              <w:pStyle w:val="0"/>
              <w:jc w:val="center"/>
              <w:rPr>
                <w:rFonts w:hint="default"/>
                <w:b w:val="1"/>
                <w:sz w:val="14"/>
              </w:rPr>
            </w:pPr>
            <w:r>
              <w:rPr>
                <w:rFonts w:hint="default"/>
                <w:b w:val="1"/>
                <w:sz w:val="14"/>
              </w:rPr>
              <w:t>飲酒</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eastAsia"/>
                <w:b w:val="1"/>
                <w:sz w:val="12"/>
              </w:rPr>
              <w:t>1</w:t>
            </w:r>
            <w:r>
              <w:rPr>
                <w:rFonts w:hint="eastAsia"/>
                <w:b w:val="1"/>
                <w:sz w:val="12"/>
              </w:rPr>
              <w:t>日</w:t>
            </w:r>
          </w:p>
          <w:p>
            <w:pPr>
              <w:pStyle w:val="0"/>
              <w:jc w:val="center"/>
              <w:rPr>
                <w:rFonts w:hint="default"/>
                <w:b w:val="1"/>
                <w:sz w:val="12"/>
              </w:rPr>
            </w:pPr>
            <w:r>
              <w:rPr>
                <w:rFonts w:hint="default"/>
                <w:b w:val="1"/>
                <w:sz w:val="12"/>
              </w:rPr>
              <w:t>3</w:t>
            </w:r>
            <w:r>
              <w:rPr>
                <w:rFonts w:hint="default"/>
                <w:b w:val="1"/>
                <w:sz w:val="12"/>
              </w:rPr>
              <w:t>合</w:t>
            </w:r>
          </w:p>
          <w:p>
            <w:pPr>
              <w:pStyle w:val="0"/>
              <w:jc w:val="center"/>
              <w:rPr>
                <w:rFonts w:hint="default"/>
                <w:b w:val="1"/>
                <w:sz w:val="12"/>
              </w:rPr>
            </w:pPr>
            <w:r>
              <w:rPr>
                <w:rFonts w:hint="default"/>
                <w:b w:val="1"/>
                <w:sz w:val="12"/>
              </w:rPr>
              <w:t>以上</w:t>
            </w:r>
          </w:p>
          <w:p>
            <w:pPr>
              <w:pStyle w:val="0"/>
              <w:jc w:val="center"/>
              <w:rPr>
                <w:rFonts w:hint="default"/>
                <w:b w:val="1"/>
                <w:sz w:val="14"/>
              </w:rPr>
            </w:pPr>
            <w:r>
              <w:rPr>
                <w:rFonts w:hint="eastAsia"/>
                <w:b w:val="1"/>
                <w:sz w:val="12"/>
              </w:rPr>
              <w:t>飲酒</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睡眠</w:t>
            </w:r>
          </w:p>
          <w:p>
            <w:pPr>
              <w:pStyle w:val="0"/>
              <w:jc w:val="center"/>
              <w:rPr>
                <w:rFonts w:hint="default"/>
                <w:b w:val="1"/>
                <w:sz w:val="14"/>
              </w:rPr>
            </w:pPr>
            <w:r>
              <w:rPr>
                <w:rFonts w:hint="default"/>
                <w:b w:val="1"/>
                <w:sz w:val="14"/>
              </w:rPr>
              <w:t>不足</w:t>
            </w:r>
          </w:p>
        </w:tc>
        <w:tc>
          <w:tcPr>
            <w:tcW w:w="310"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eastAsia"/>
                <w:b w:val="1"/>
                <w:sz w:val="12"/>
              </w:rPr>
              <w:t>生活</w:t>
            </w:r>
          </w:p>
          <w:p>
            <w:pPr>
              <w:pStyle w:val="0"/>
              <w:jc w:val="center"/>
              <w:rPr>
                <w:rFonts w:hint="default"/>
                <w:b w:val="1"/>
                <w:sz w:val="12"/>
              </w:rPr>
            </w:pPr>
            <w:r>
              <w:rPr>
                <w:rFonts w:hint="default"/>
                <w:b w:val="1"/>
                <w:sz w:val="12"/>
              </w:rPr>
              <w:t>改善</w:t>
            </w:r>
          </w:p>
          <w:p>
            <w:pPr>
              <w:pStyle w:val="0"/>
              <w:jc w:val="center"/>
              <w:rPr>
                <w:rFonts w:hint="default"/>
                <w:b w:val="1"/>
                <w:sz w:val="12"/>
              </w:rPr>
            </w:pPr>
            <w:r>
              <w:rPr>
                <w:rFonts w:hint="default"/>
                <w:b w:val="1"/>
                <w:sz w:val="12"/>
              </w:rPr>
              <w:t>意欲</w:t>
            </w:r>
          </w:p>
          <w:p>
            <w:pPr>
              <w:pStyle w:val="0"/>
              <w:jc w:val="center"/>
              <w:rPr>
                <w:rFonts w:hint="default"/>
                <w:b w:val="1"/>
                <w:sz w:val="12"/>
              </w:rPr>
            </w:pPr>
            <w:r>
              <w:rPr>
                <w:rFonts w:hint="default"/>
                <w:b w:val="1"/>
                <w:sz w:val="12"/>
              </w:rPr>
              <w:t>なし</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咀嚼</w:t>
            </w:r>
          </w:p>
          <w:p>
            <w:pPr>
              <w:pStyle w:val="0"/>
              <w:jc w:val="center"/>
              <w:rPr>
                <w:rFonts w:hint="default"/>
                <w:b w:val="1"/>
                <w:sz w:val="12"/>
              </w:rPr>
            </w:pPr>
            <w:r>
              <w:rPr>
                <w:rFonts w:hint="default"/>
                <w:b w:val="1"/>
                <w:sz w:val="12"/>
              </w:rPr>
              <w:t>ほとんど</w:t>
            </w:r>
          </w:p>
          <w:p>
            <w:pPr>
              <w:pStyle w:val="0"/>
              <w:jc w:val="center"/>
              <w:rPr>
                <w:rFonts w:hint="default"/>
                <w:b w:val="1"/>
                <w:sz w:val="12"/>
              </w:rPr>
            </w:pPr>
            <w:r>
              <w:rPr>
                <w:rFonts w:hint="default"/>
                <w:b w:val="1"/>
                <w:sz w:val="12"/>
              </w:rPr>
              <w:t>かめない</w:t>
            </w:r>
          </w:p>
        </w:tc>
        <w:tc>
          <w:tcPr>
            <w:tcW w:w="31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間食</w:t>
            </w:r>
          </w:p>
          <w:p>
            <w:pPr>
              <w:pStyle w:val="0"/>
              <w:jc w:val="center"/>
              <w:rPr>
                <w:rFonts w:hint="default"/>
                <w:b w:val="1"/>
                <w:sz w:val="14"/>
              </w:rPr>
            </w:pPr>
            <w:r>
              <w:rPr>
                <w:rFonts w:hint="default"/>
                <w:b w:val="1"/>
                <w:sz w:val="14"/>
              </w:rPr>
              <w:t>毎日</w:t>
            </w:r>
          </w:p>
        </w:tc>
      </w:tr>
      <w:tr>
        <w:trPr>
          <w:trHeight w:val="20" w:hRule="atLeast"/>
        </w:trPr>
        <w:tc>
          <w:tcPr>
            <w:tcW w:w="315"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40-</w:t>
            </w:r>
          </w:p>
          <w:p>
            <w:pPr>
              <w:pStyle w:val="0"/>
              <w:rPr>
                <w:rFonts w:hint="default"/>
              </w:rPr>
            </w:pPr>
            <w:r>
              <w:rPr>
                <w:rFonts w:hint="default"/>
              </w:rPr>
              <w:t>64</w:t>
            </w:r>
            <w:r>
              <w:rPr>
                <w:rFonts w:hint="default"/>
              </w:rPr>
              <w:t>歳</w:t>
            </w:r>
          </w:p>
        </w:tc>
        <w:tc>
          <w:tcPr>
            <w:tcW w:w="339"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回答割合</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34.0%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46.0%</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66.2%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26.0%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43.8%</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32.6%</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33.0%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22.4%</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37.1%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6.3%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28.7%</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33.5%</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20.2%</w:t>
            </w:r>
          </w:p>
        </w:tc>
      </w:tr>
      <w:tr>
        <w:trPr>
          <w:trHeight w:val="20" w:hRule="atLeast"/>
        </w:trPr>
        <w:tc>
          <w:tcPr>
            <w:tcW w:w="315" w:type="pct"/>
            <w:vMerge w:val="continue"/>
            <w:shd w:val="clear" w:color="auto" w:fill="auto"/>
            <w:tcMar>
              <w:top w:w="28" w:type="dxa"/>
              <w:left w:w="28" w:type="dxa"/>
              <w:bottom w:w="28" w:type="dxa"/>
              <w:right w:w="28" w:type="dxa"/>
            </w:tcMar>
            <w:vAlign w:val="center"/>
          </w:tcPr>
          <w:p>
            <w:pPr>
              <w:pStyle w:val="0"/>
              <w:rPr>
                <w:rFonts w:hint="default"/>
              </w:rPr>
            </w:pPr>
          </w:p>
        </w:tc>
        <w:tc>
          <w:tcPr>
            <w:tcW w:w="339"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標準化比</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114.0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94.3</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101.3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52.5</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86.3</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87.6</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114.1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93.9</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104.7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80.1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108.5</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125.7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132.4</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120.6</w:t>
            </w:r>
          </w:p>
        </w:tc>
      </w:tr>
      <w:tr>
        <w:trPr>
          <w:trHeight w:val="20" w:hRule="atLeast"/>
        </w:trPr>
        <w:tc>
          <w:tcPr>
            <w:tcW w:w="315"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65-</w:t>
            </w:r>
          </w:p>
          <w:p>
            <w:pPr>
              <w:pStyle w:val="0"/>
              <w:rPr>
                <w:rFonts w:hint="default"/>
              </w:rPr>
            </w:pPr>
            <w:r>
              <w:rPr>
                <w:rFonts w:hint="default"/>
              </w:rPr>
              <w:t>74</w:t>
            </w:r>
            <w:r>
              <w:rPr>
                <w:rFonts w:hint="default"/>
              </w:rPr>
              <w:t>歳</w:t>
            </w:r>
          </w:p>
        </w:tc>
        <w:tc>
          <w:tcPr>
            <w:tcW w:w="339"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回答割合</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18.7%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45.7%</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52.2%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32.9%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46.3%</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20.9%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21.2%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7.8%</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42.2%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20.9%</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41.2%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15.8%</w:t>
            </w:r>
          </w:p>
        </w:tc>
      </w:tr>
      <w:tr>
        <w:trPr>
          <w:trHeight w:val="20" w:hRule="atLeast"/>
        </w:trPr>
        <w:tc>
          <w:tcPr>
            <w:tcW w:w="315" w:type="pct"/>
            <w:vMerge w:val="continue"/>
            <w:shd w:val="clear" w:color="auto" w:fill="auto"/>
            <w:tcMar>
              <w:top w:w="28" w:type="dxa"/>
              <w:left w:w="28" w:type="dxa"/>
              <w:bottom w:w="28" w:type="dxa"/>
              <w:right w:w="28" w:type="dxa"/>
            </w:tcMar>
            <w:vAlign w:val="center"/>
          </w:tcPr>
          <w:p>
            <w:pPr>
              <w:pStyle w:val="0"/>
              <w:rPr>
                <w:rFonts w:hint="default"/>
              </w:rPr>
            </w:pPr>
          </w:p>
        </w:tc>
        <w:tc>
          <w:tcPr>
            <w:tcW w:w="339"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標準化比</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99.2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105.8</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98.2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68.8</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93.6</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76.0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126.5</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102.7</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95.2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70.1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99.2</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123.3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96.9</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118.3</w:t>
            </w:r>
          </w:p>
        </w:tc>
      </w:tr>
    </w:tbl>
    <w:p>
      <w:pPr>
        <w:pStyle w:val="44"/>
        <w:rPr>
          <w:rFonts w:hint="default"/>
        </w:rPr>
      </w:pPr>
      <w:r>
        <w:rPr>
          <w:rFonts w:hint="default"/>
        </w:rPr>
        <w:t>【出典】</w:t>
      </w:r>
      <w:r>
        <w:rPr>
          <w:rFonts w:hint="default"/>
        </w:rPr>
        <w:t>KDB</w:t>
      </w:r>
      <w:r>
        <w:rPr>
          <w:rFonts w:hint="default"/>
        </w:rPr>
        <w:t>帳票</w:t>
      </w:r>
      <w:r>
        <w:rPr>
          <w:rFonts w:hint="default"/>
        </w:rPr>
        <w:t xml:space="preserve"> </w:t>
      </w:r>
      <w:r>
        <w:rPr>
          <w:rFonts w:hint="default"/>
          <w:color w:val="1D1C1D"/>
        </w:rPr>
        <w:t>S21_007-</w:t>
      </w:r>
      <w:r>
        <w:rPr>
          <w:rFonts w:hint="default"/>
          <w:color w:val="1D1C1D"/>
        </w:rPr>
        <w:t>質問票調査の状況</w:t>
      </w:r>
      <w:r>
        <w:rPr>
          <w:rFonts w:hint="default"/>
        </w:rPr>
        <w:t xml:space="preserve"> </w:t>
      </w:r>
      <w:r>
        <w:rPr>
          <w:rFonts w:hint="eastAsia"/>
        </w:rPr>
        <w:t>令和</w:t>
      </w:r>
      <w:r>
        <w:rPr>
          <w:rFonts w:hint="eastAsia"/>
        </w:rPr>
        <w:t>4</w:t>
      </w:r>
      <w:r>
        <w:rPr>
          <w:rFonts w:hint="eastAsia"/>
        </w:rPr>
        <w:t>年度</w:t>
      </w:r>
      <w:r>
        <w:rPr>
          <w:rFonts w:hint="eastAsia"/>
        </w:rPr>
        <w:t xml:space="preserve"> </w:t>
      </w:r>
      <w:r>
        <w:rPr>
          <w:rFonts w:hint="eastAsia"/>
        </w:rPr>
        <w:t>累計</w:t>
      </w:r>
    </w:p>
    <w:p>
      <w:pPr>
        <w:pStyle w:val="0"/>
        <w:rPr>
          <w:rFonts w:hint="default"/>
        </w:rPr>
      </w:pPr>
    </w:p>
    <w:p>
      <w:pPr>
        <w:pStyle w:val="38"/>
        <w:rPr>
          <w:rFonts w:hint="default"/>
        </w:rPr>
      </w:pPr>
      <w:bookmarkStart w:id="90" w:name="_Ref122541742"/>
      <w:bookmarkStart w:id="91" w:name="_Toc12493684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90"/>
      <w:r>
        <w:rPr>
          <w:rFonts w:hint="default"/>
        </w:rPr>
        <w:t>：特定健診受診者</w:t>
      </w:r>
      <w:r>
        <w:rPr>
          <w:rFonts w:hint="eastAsia"/>
        </w:rPr>
        <w:t>における</w:t>
      </w:r>
      <w:r>
        <w:rPr>
          <w:rFonts w:hint="default"/>
        </w:rPr>
        <w:t>年代別質問項目回答者の割合</w:t>
      </w:r>
      <w:r>
        <w:rPr>
          <w:rFonts w:hint="eastAsia"/>
        </w:rPr>
        <w:t>・</w:t>
      </w:r>
      <w:r>
        <w:rPr>
          <w:rFonts w:hint="default"/>
        </w:rPr>
        <w:t>標準化比</w:t>
      </w:r>
      <w:r>
        <w:rPr>
          <w:rFonts w:hint="default"/>
        </w:rPr>
        <w:t>_</w:t>
      </w:r>
      <w:r>
        <w:rPr>
          <w:rFonts w:hint="default"/>
        </w:rPr>
        <w:t>女性</w:t>
      </w:r>
      <w:bookmarkEnd w:id="91"/>
    </w:p>
    <w:p>
      <w:pPr>
        <w:pStyle w:val="0"/>
        <w:jc w:val="center"/>
        <w:rPr>
          <w:rFonts w:hint="default"/>
        </w:rPr>
      </w:pPr>
      <w:r>
        <w:rPr>
          <w:rFonts w:hint="eastAsia"/>
        </w:rPr>
        <w:drawing>
          <wp:inline distT="0" distB="0" distL="0" distR="0">
            <wp:extent cx="5939790" cy="1977390"/>
            <wp:effectExtent l="0" t="0" r="0" b="0"/>
            <wp:docPr id="1083" name="オブジェクト 0"/>
            <a:graphic xmlns:a="http://schemas.openxmlformats.org/drawingml/2006/main">
              <a:graphicData uri="http://schemas.openxmlformats.org/drawingml/2006/chart">
                <c:chart xmlns:c="http://schemas.openxmlformats.org/drawingml/2006/chart" r:id="rId38"/>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90"/>
        <w:gridCol w:w="634"/>
        <w:gridCol w:w="583"/>
        <w:gridCol w:w="583"/>
        <w:gridCol w:w="583"/>
        <w:gridCol w:w="583"/>
        <w:gridCol w:w="583"/>
        <w:gridCol w:w="583"/>
        <w:gridCol w:w="583"/>
        <w:gridCol w:w="581"/>
        <w:gridCol w:w="583"/>
        <w:gridCol w:w="583"/>
        <w:gridCol w:w="583"/>
        <w:gridCol w:w="583"/>
        <w:gridCol w:w="583"/>
        <w:gridCol w:w="574"/>
      </w:tblGrid>
      <w:tr>
        <w:trPr>
          <w:trHeight w:val="20" w:hRule="atLeast"/>
        </w:trPr>
        <w:tc>
          <w:tcPr>
            <w:tcW w:w="652" w:type="pct"/>
            <w:gridSpan w:val="2"/>
            <w:shd w:val="clear" w:color="auto" w:fill="CCD6FF"/>
            <w:tcMar>
              <w:top w:w="28" w:type="dxa"/>
              <w:left w:w="28" w:type="dxa"/>
              <w:bottom w:w="28" w:type="dxa"/>
              <w:right w:w="28" w:type="dxa"/>
            </w:tcMar>
            <w:vAlign w:val="center"/>
          </w:tcPr>
          <w:p>
            <w:pPr>
              <w:pStyle w:val="0"/>
              <w:jc w:val="center"/>
              <w:rPr>
                <w:rFonts w:hint="default"/>
                <w:b w:val="1"/>
                <w:sz w:val="14"/>
              </w:rPr>
            </w:pP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喫煙</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20</w:t>
            </w:r>
            <w:r>
              <w:rPr>
                <w:rFonts w:hint="default"/>
                <w:b w:val="1"/>
                <w:sz w:val="12"/>
              </w:rPr>
              <w:t>歳時</w:t>
            </w:r>
          </w:p>
          <w:p>
            <w:pPr>
              <w:pStyle w:val="0"/>
              <w:jc w:val="center"/>
              <w:rPr>
                <w:rFonts w:hint="default"/>
                <w:b w:val="1"/>
                <w:sz w:val="12"/>
              </w:rPr>
            </w:pPr>
            <w:r>
              <w:rPr>
                <w:rFonts w:hint="default"/>
                <w:b w:val="1"/>
                <w:sz w:val="12"/>
              </w:rPr>
              <w:t>体重から</w:t>
            </w:r>
          </w:p>
          <w:p>
            <w:pPr>
              <w:pStyle w:val="0"/>
              <w:jc w:val="center"/>
              <w:rPr>
                <w:rFonts w:hint="default"/>
                <w:b w:val="1"/>
                <w:sz w:val="12"/>
              </w:rPr>
            </w:pPr>
            <w:r>
              <w:rPr>
                <w:rFonts w:hint="default"/>
                <w:b w:val="1"/>
                <w:sz w:val="12"/>
              </w:rPr>
              <w:t>10kg</w:t>
            </w:r>
          </w:p>
          <w:p>
            <w:pPr>
              <w:pStyle w:val="0"/>
              <w:jc w:val="center"/>
              <w:rPr>
                <w:rFonts w:hint="default"/>
                <w:b w:val="1"/>
                <w:sz w:val="12"/>
              </w:rPr>
            </w:pPr>
            <w:r>
              <w:rPr>
                <w:rFonts w:hint="default"/>
                <w:b w:val="1"/>
                <w:sz w:val="12"/>
              </w:rPr>
              <w:t>以上増加</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1</w:t>
            </w:r>
            <w:r>
              <w:rPr>
                <w:rFonts w:hint="default"/>
                <w:b w:val="1"/>
                <w:sz w:val="12"/>
              </w:rPr>
              <w:t>回</w:t>
            </w:r>
            <w:r>
              <w:rPr>
                <w:rFonts w:hint="default"/>
                <w:b w:val="1"/>
                <w:sz w:val="12"/>
              </w:rPr>
              <w:t>30</w:t>
            </w:r>
            <w:r>
              <w:rPr>
                <w:rFonts w:hint="default"/>
                <w:b w:val="1"/>
                <w:sz w:val="12"/>
              </w:rPr>
              <w:t>分以上の運動習慣</w:t>
            </w:r>
          </w:p>
          <w:p>
            <w:pPr>
              <w:pStyle w:val="0"/>
              <w:jc w:val="center"/>
              <w:rPr>
                <w:rFonts w:hint="default"/>
                <w:b w:val="1"/>
                <w:sz w:val="12"/>
              </w:rPr>
            </w:pPr>
            <w:r>
              <w:rPr>
                <w:rFonts w:hint="default"/>
                <w:b w:val="1"/>
                <w:sz w:val="12"/>
              </w:rPr>
              <w:t>なし</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1</w:t>
            </w:r>
            <w:r>
              <w:rPr>
                <w:rFonts w:hint="default"/>
                <w:b w:val="1"/>
                <w:sz w:val="12"/>
              </w:rPr>
              <w:t>日</w:t>
            </w:r>
          </w:p>
          <w:p>
            <w:pPr>
              <w:pStyle w:val="0"/>
              <w:jc w:val="center"/>
              <w:rPr>
                <w:rFonts w:hint="default"/>
                <w:b w:val="1"/>
                <w:sz w:val="12"/>
              </w:rPr>
            </w:pPr>
            <w:r>
              <w:rPr>
                <w:rFonts w:hint="default"/>
                <w:b w:val="1"/>
                <w:sz w:val="12"/>
              </w:rPr>
              <w:t>1</w:t>
            </w:r>
            <w:r>
              <w:rPr>
                <w:rFonts w:hint="default"/>
                <w:b w:val="1"/>
                <w:sz w:val="12"/>
              </w:rPr>
              <w:t>時間</w:t>
            </w:r>
          </w:p>
          <w:p>
            <w:pPr>
              <w:pStyle w:val="0"/>
              <w:jc w:val="center"/>
              <w:rPr>
                <w:rFonts w:hint="default"/>
                <w:b w:val="1"/>
                <w:sz w:val="12"/>
              </w:rPr>
            </w:pPr>
            <w:r>
              <w:rPr>
                <w:rFonts w:hint="default"/>
                <w:b w:val="1"/>
                <w:sz w:val="12"/>
              </w:rPr>
              <w:t>以上</w:t>
            </w:r>
          </w:p>
          <w:p>
            <w:pPr>
              <w:pStyle w:val="0"/>
              <w:jc w:val="center"/>
              <w:rPr>
                <w:rFonts w:hint="default"/>
                <w:b w:val="1"/>
                <w:sz w:val="12"/>
              </w:rPr>
            </w:pPr>
            <w:r>
              <w:rPr>
                <w:rFonts w:hint="default"/>
                <w:b w:val="1"/>
                <w:sz w:val="12"/>
              </w:rPr>
              <w:t>運動なし</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歩行速度遅い</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食べる</w:t>
            </w:r>
          </w:p>
          <w:p>
            <w:pPr>
              <w:pStyle w:val="0"/>
              <w:jc w:val="center"/>
              <w:rPr>
                <w:rFonts w:hint="default"/>
                <w:b w:val="1"/>
                <w:sz w:val="14"/>
              </w:rPr>
            </w:pPr>
            <w:r>
              <w:rPr>
                <w:rFonts w:hint="default"/>
                <w:b w:val="1"/>
                <w:sz w:val="14"/>
              </w:rPr>
              <w:t>速度が</w:t>
            </w:r>
          </w:p>
          <w:p>
            <w:pPr>
              <w:pStyle w:val="0"/>
              <w:jc w:val="center"/>
              <w:rPr>
                <w:rFonts w:hint="default"/>
                <w:b w:val="1"/>
                <w:sz w:val="14"/>
              </w:rPr>
            </w:pPr>
            <w:r>
              <w:rPr>
                <w:rFonts w:hint="default"/>
                <w:b w:val="1"/>
                <w:sz w:val="14"/>
              </w:rPr>
              <w:t>速い</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週</w:t>
            </w:r>
            <w:r>
              <w:rPr>
                <w:rFonts w:hint="default"/>
                <w:b w:val="1"/>
                <w:sz w:val="12"/>
              </w:rPr>
              <w:t>3</w:t>
            </w:r>
            <w:r>
              <w:rPr>
                <w:rFonts w:hint="default"/>
                <w:b w:val="1"/>
                <w:sz w:val="12"/>
              </w:rPr>
              <w:t>回</w:t>
            </w:r>
          </w:p>
          <w:p>
            <w:pPr>
              <w:pStyle w:val="0"/>
              <w:jc w:val="center"/>
              <w:rPr>
                <w:rFonts w:hint="default"/>
                <w:b w:val="1"/>
                <w:sz w:val="12"/>
              </w:rPr>
            </w:pPr>
            <w:r>
              <w:rPr>
                <w:rFonts w:hint="default"/>
                <w:b w:val="1"/>
                <w:sz w:val="12"/>
              </w:rPr>
              <w:t>以上</w:t>
            </w:r>
          </w:p>
          <w:p>
            <w:pPr>
              <w:pStyle w:val="0"/>
              <w:jc w:val="center"/>
              <w:rPr>
                <w:rFonts w:hint="default"/>
                <w:b w:val="1"/>
                <w:sz w:val="12"/>
              </w:rPr>
            </w:pPr>
            <w:r>
              <w:rPr>
                <w:rFonts w:hint="default"/>
                <w:b w:val="1"/>
                <w:sz w:val="12"/>
              </w:rPr>
              <w:t>就寝前</w:t>
            </w:r>
          </w:p>
          <w:p>
            <w:pPr>
              <w:pStyle w:val="0"/>
              <w:jc w:val="center"/>
              <w:rPr>
                <w:rFonts w:hint="default"/>
                <w:b w:val="1"/>
                <w:sz w:val="12"/>
              </w:rPr>
            </w:pPr>
            <w:r>
              <w:rPr>
                <w:rFonts w:hint="default"/>
                <w:b w:val="1"/>
                <w:sz w:val="12"/>
              </w:rPr>
              <w:t>夕食</w:t>
            </w:r>
          </w:p>
        </w:tc>
        <w:tc>
          <w:tcPr>
            <w:tcW w:w="310"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週</w:t>
            </w:r>
            <w:r>
              <w:rPr>
                <w:rFonts w:hint="default"/>
                <w:b w:val="1"/>
                <w:sz w:val="12"/>
              </w:rPr>
              <w:t>3</w:t>
            </w:r>
            <w:r>
              <w:rPr>
                <w:rFonts w:hint="default"/>
                <w:b w:val="1"/>
                <w:sz w:val="12"/>
              </w:rPr>
              <w:t>回</w:t>
            </w:r>
          </w:p>
          <w:p>
            <w:pPr>
              <w:pStyle w:val="0"/>
              <w:jc w:val="center"/>
              <w:rPr>
                <w:rFonts w:hint="default"/>
                <w:b w:val="1"/>
                <w:sz w:val="12"/>
              </w:rPr>
            </w:pPr>
            <w:r>
              <w:rPr>
                <w:rFonts w:hint="default"/>
                <w:b w:val="1"/>
                <w:sz w:val="12"/>
              </w:rPr>
              <w:t>以上</w:t>
            </w:r>
          </w:p>
          <w:p>
            <w:pPr>
              <w:pStyle w:val="0"/>
              <w:jc w:val="center"/>
              <w:rPr>
                <w:rFonts w:hint="default"/>
                <w:b w:val="1"/>
                <w:sz w:val="12"/>
              </w:rPr>
            </w:pPr>
            <w:r>
              <w:rPr>
                <w:rFonts w:hint="default"/>
                <w:b w:val="1"/>
                <w:sz w:val="12"/>
              </w:rPr>
              <w:t>朝食を</w:t>
            </w:r>
          </w:p>
          <w:p>
            <w:pPr>
              <w:pStyle w:val="0"/>
              <w:jc w:val="center"/>
              <w:rPr>
                <w:rFonts w:hint="default"/>
                <w:b w:val="1"/>
                <w:sz w:val="12"/>
              </w:rPr>
            </w:pPr>
            <w:r>
              <w:rPr>
                <w:rFonts w:hint="default"/>
                <w:b w:val="1"/>
                <w:sz w:val="12"/>
              </w:rPr>
              <w:t>抜く</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毎日</w:t>
            </w:r>
          </w:p>
          <w:p>
            <w:pPr>
              <w:pStyle w:val="0"/>
              <w:jc w:val="center"/>
              <w:rPr>
                <w:rFonts w:hint="default"/>
                <w:b w:val="1"/>
                <w:sz w:val="14"/>
              </w:rPr>
            </w:pPr>
            <w:r>
              <w:rPr>
                <w:rFonts w:hint="default"/>
                <w:b w:val="1"/>
                <w:sz w:val="14"/>
              </w:rPr>
              <w:t>飲酒</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eastAsia"/>
                <w:b w:val="1"/>
                <w:sz w:val="12"/>
              </w:rPr>
              <w:t>1</w:t>
            </w:r>
            <w:r>
              <w:rPr>
                <w:rFonts w:hint="eastAsia"/>
                <w:b w:val="1"/>
                <w:sz w:val="12"/>
              </w:rPr>
              <w:t>日</w:t>
            </w:r>
          </w:p>
          <w:p>
            <w:pPr>
              <w:pStyle w:val="0"/>
              <w:jc w:val="center"/>
              <w:rPr>
                <w:rFonts w:hint="default"/>
                <w:b w:val="1"/>
                <w:sz w:val="12"/>
              </w:rPr>
            </w:pPr>
            <w:r>
              <w:rPr>
                <w:rFonts w:hint="default"/>
                <w:b w:val="1"/>
                <w:sz w:val="12"/>
              </w:rPr>
              <w:t>3</w:t>
            </w:r>
            <w:r>
              <w:rPr>
                <w:rFonts w:hint="default"/>
                <w:b w:val="1"/>
                <w:sz w:val="12"/>
              </w:rPr>
              <w:t>合</w:t>
            </w:r>
          </w:p>
          <w:p>
            <w:pPr>
              <w:pStyle w:val="0"/>
              <w:jc w:val="center"/>
              <w:rPr>
                <w:rFonts w:hint="default"/>
                <w:b w:val="1"/>
                <w:sz w:val="12"/>
              </w:rPr>
            </w:pPr>
            <w:r>
              <w:rPr>
                <w:rFonts w:hint="default"/>
                <w:b w:val="1"/>
                <w:sz w:val="12"/>
              </w:rPr>
              <w:t>以上</w:t>
            </w:r>
          </w:p>
          <w:p>
            <w:pPr>
              <w:pStyle w:val="0"/>
              <w:jc w:val="center"/>
              <w:rPr>
                <w:rFonts w:hint="default"/>
                <w:b w:val="1"/>
                <w:sz w:val="14"/>
              </w:rPr>
            </w:pPr>
            <w:r>
              <w:rPr>
                <w:rFonts w:hint="eastAsia"/>
                <w:b w:val="1"/>
                <w:sz w:val="12"/>
              </w:rPr>
              <w:t>飲酒</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睡眠</w:t>
            </w:r>
          </w:p>
          <w:p>
            <w:pPr>
              <w:pStyle w:val="0"/>
              <w:jc w:val="center"/>
              <w:rPr>
                <w:rFonts w:hint="default"/>
                <w:b w:val="1"/>
                <w:sz w:val="14"/>
              </w:rPr>
            </w:pPr>
            <w:r>
              <w:rPr>
                <w:rFonts w:hint="default"/>
                <w:b w:val="1"/>
                <w:sz w:val="14"/>
              </w:rPr>
              <w:t>不足</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eastAsia"/>
                <w:b w:val="1"/>
                <w:sz w:val="12"/>
              </w:rPr>
              <w:t>生活</w:t>
            </w:r>
          </w:p>
          <w:p>
            <w:pPr>
              <w:pStyle w:val="0"/>
              <w:jc w:val="center"/>
              <w:rPr>
                <w:rFonts w:hint="default"/>
                <w:b w:val="1"/>
                <w:sz w:val="12"/>
              </w:rPr>
            </w:pPr>
            <w:r>
              <w:rPr>
                <w:rFonts w:hint="default"/>
                <w:b w:val="1"/>
                <w:sz w:val="12"/>
              </w:rPr>
              <w:t>改善</w:t>
            </w:r>
          </w:p>
          <w:p>
            <w:pPr>
              <w:pStyle w:val="0"/>
              <w:jc w:val="center"/>
              <w:rPr>
                <w:rFonts w:hint="default"/>
                <w:b w:val="1"/>
                <w:sz w:val="12"/>
              </w:rPr>
            </w:pPr>
            <w:r>
              <w:rPr>
                <w:rFonts w:hint="default"/>
                <w:b w:val="1"/>
                <w:sz w:val="12"/>
              </w:rPr>
              <w:t>意欲</w:t>
            </w:r>
          </w:p>
          <w:p>
            <w:pPr>
              <w:pStyle w:val="0"/>
              <w:jc w:val="center"/>
              <w:rPr>
                <w:rFonts w:hint="default"/>
                <w:b w:val="1"/>
                <w:sz w:val="14"/>
              </w:rPr>
            </w:pPr>
            <w:r>
              <w:rPr>
                <w:rFonts w:hint="default"/>
                <w:b w:val="1"/>
                <w:sz w:val="12"/>
              </w:rPr>
              <w:t>なし</w:t>
            </w:r>
          </w:p>
        </w:tc>
        <w:tc>
          <w:tcPr>
            <w:tcW w:w="311" w:type="pct"/>
            <w:shd w:val="clear" w:color="auto" w:fill="CCD6FF"/>
            <w:tcMar>
              <w:top w:w="28" w:type="dxa"/>
              <w:left w:w="28" w:type="dxa"/>
              <w:bottom w:w="28" w:type="dxa"/>
              <w:right w:w="28" w:type="dxa"/>
            </w:tcMar>
            <w:vAlign w:val="center"/>
          </w:tcPr>
          <w:p>
            <w:pPr>
              <w:pStyle w:val="0"/>
              <w:jc w:val="center"/>
              <w:rPr>
                <w:rFonts w:hint="default"/>
                <w:b w:val="1"/>
                <w:sz w:val="12"/>
              </w:rPr>
            </w:pPr>
            <w:r>
              <w:rPr>
                <w:rFonts w:hint="default"/>
                <w:b w:val="1"/>
                <w:sz w:val="12"/>
              </w:rPr>
              <w:t>咀嚼</w:t>
            </w:r>
          </w:p>
          <w:p>
            <w:pPr>
              <w:pStyle w:val="0"/>
              <w:jc w:val="center"/>
              <w:rPr>
                <w:rFonts w:hint="default"/>
                <w:b w:val="1"/>
                <w:sz w:val="12"/>
              </w:rPr>
            </w:pPr>
            <w:r>
              <w:rPr>
                <w:rFonts w:hint="default"/>
                <w:b w:val="1"/>
                <w:sz w:val="12"/>
              </w:rPr>
              <w:t>ほとんど</w:t>
            </w:r>
          </w:p>
          <w:p>
            <w:pPr>
              <w:pStyle w:val="0"/>
              <w:jc w:val="center"/>
              <w:rPr>
                <w:rFonts w:hint="default"/>
                <w:b w:val="1"/>
                <w:sz w:val="14"/>
              </w:rPr>
            </w:pPr>
            <w:r>
              <w:rPr>
                <w:rFonts w:hint="default"/>
                <w:b w:val="1"/>
                <w:sz w:val="12"/>
              </w:rPr>
              <w:t>かめない</w:t>
            </w:r>
          </w:p>
        </w:tc>
        <w:tc>
          <w:tcPr>
            <w:tcW w:w="308"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間食</w:t>
            </w:r>
          </w:p>
          <w:p>
            <w:pPr>
              <w:pStyle w:val="0"/>
              <w:jc w:val="center"/>
              <w:rPr>
                <w:rFonts w:hint="default"/>
                <w:b w:val="1"/>
                <w:sz w:val="14"/>
              </w:rPr>
            </w:pPr>
            <w:r>
              <w:rPr>
                <w:rFonts w:hint="default"/>
                <w:b w:val="1"/>
                <w:sz w:val="14"/>
              </w:rPr>
              <w:t>毎日</w:t>
            </w:r>
          </w:p>
        </w:tc>
      </w:tr>
      <w:tr>
        <w:trPr>
          <w:trHeight w:val="20" w:hRule="atLeast"/>
        </w:trPr>
        <w:tc>
          <w:tcPr>
            <w:tcW w:w="314"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40-</w:t>
            </w:r>
          </w:p>
          <w:p>
            <w:pPr>
              <w:pStyle w:val="0"/>
              <w:rPr>
                <w:rFonts w:hint="default"/>
              </w:rPr>
            </w:pPr>
            <w:r>
              <w:rPr>
                <w:rFonts w:hint="default"/>
              </w:rPr>
              <w:t>64</w:t>
            </w:r>
            <w:r>
              <w:rPr>
                <w:rFonts w:hint="default"/>
              </w:rPr>
              <w:t>歳</w:t>
            </w:r>
          </w:p>
        </w:tc>
        <w:tc>
          <w:tcPr>
            <w:tcW w:w="338"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回答割合</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14.3%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34.0%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68.4%</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17.5%</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51.3%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21.6%</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17.0%</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15.9%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14.2%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31.4%</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26.4%</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308" w:type="pct"/>
            <w:shd w:val="clear" w:color="auto" w:fill="auto"/>
            <w:tcMar>
              <w:top w:w="28" w:type="dxa"/>
              <w:left w:w="28" w:type="dxa"/>
              <w:bottom w:w="28" w:type="dxa"/>
              <w:right w:w="28" w:type="dxa"/>
            </w:tcMar>
            <w:vAlign w:val="center"/>
          </w:tcPr>
          <w:p>
            <w:pPr>
              <w:pStyle w:val="0"/>
              <w:jc w:val="right"/>
              <w:rPr>
                <w:rFonts w:hint="default"/>
              </w:rPr>
            </w:pPr>
            <w:r>
              <w:rPr>
                <w:rFonts w:hint="default"/>
              </w:rPr>
              <w:t>30.5%</w:t>
            </w:r>
          </w:p>
        </w:tc>
      </w:tr>
      <w:tr>
        <w:trPr>
          <w:trHeight w:val="20" w:hRule="atLeast"/>
        </w:trPr>
        <w:tc>
          <w:tcPr>
            <w:tcW w:w="314" w:type="pct"/>
            <w:vMerge w:val="continue"/>
            <w:shd w:val="clear" w:color="auto" w:fill="auto"/>
            <w:tcMar>
              <w:top w:w="28" w:type="dxa"/>
              <w:left w:w="28" w:type="dxa"/>
              <w:bottom w:w="28" w:type="dxa"/>
              <w:right w:w="28" w:type="dxa"/>
            </w:tcMar>
            <w:vAlign w:val="center"/>
          </w:tcPr>
          <w:p>
            <w:pPr>
              <w:pStyle w:val="0"/>
              <w:rPr>
                <w:rFonts w:hint="default"/>
              </w:rPr>
            </w:pPr>
          </w:p>
        </w:tc>
        <w:tc>
          <w:tcPr>
            <w:tcW w:w="338"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標準化比</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138.6</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116.7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95.3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35.7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93.4</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83.9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111.1</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102.0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92.7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61.5</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104.9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132.0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104.0</w:t>
            </w:r>
          </w:p>
        </w:tc>
        <w:tc>
          <w:tcPr>
            <w:tcW w:w="308" w:type="pct"/>
            <w:shd w:val="clear" w:color="auto" w:fill="auto"/>
            <w:tcMar>
              <w:top w:w="28" w:type="dxa"/>
              <w:left w:w="28" w:type="dxa"/>
              <w:bottom w:w="28" w:type="dxa"/>
              <w:right w:w="28" w:type="dxa"/>
            </w:tcMar>
            <w:vAlign w:val="center"/>
          </w:tcPr>
          <w:p>
            <w:pPr>
              <w:pStyle w:val="0"/>
              <w:jc w:val="right"/>
              <w:rPr>
                <w:rFonts w:hint="default"/>
              </w:rPr>
            </w:pPr>
            <w:r>
              <w:rPr>
                <w:rFonts w:hint="default"/>
              </w:rPr>
              <w:t>103.2</w:t>
            </w:r>
          </w:p>
        </w:tc>
      </w:tr>
      <w:tr>
        <w:trPr>
          <w:trHeight w:val="20" w:hRule="atLeast"/>
        </w:trPr>
        <w:tc>
          <w:tcPr>
            <w:tcW w:w="314"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65-</w:t>
            </w:r>
          </w:p>
          <w:p>
            <w:pPr>
              <w:pStyle w:val="0"/>
              <w:rPr>
                <w:rFonts w:hint="default"/>
              </w:rPr>
            </w:pPr>
            <w:r>
              <w:rPr>
                <w:rFonts w:hint="default"/>
              </w:rPr>
              <w:t>74</w:t>
            </w:r>
            <w:r>
              <w:rPr>
                <w:rFonts w:hint="default"/>
              </w:rPr>
              <w:t>歳</w:t>
            </w:r>
          </w:p>
        </w:tc>
        <w:tc>
          <w:tcPr>
            <w:tcW w:w="338" w:type="pct"/>
            <w:shd w:val="clear" w:color="auto" w:fill="auto"/>
            <w:tcMar>
              <w:top w:w="28" w:type="dxa"/>
              <w:left w:w="28" w:type="dxa"/>
              <w:bottom w:w="28" w:type="dxa"/>
              <w:right w:w="28" w:type="dxa"/>
            </w:tcMar>
            <w:vAlign w:val="center"/>
          </w:tcPr>
          <w:p>
            <w:pPr>
              <w:pStyle w:val="0"/>
              <w:rPr>
                <w:rFonts w:hint="default"/>
                <w:sz w:val="14"/>
              </w:rPr>
            </w:pPr>
            <w:r>
              <w:rPr>
                <w:rFonts w:hint="default"/>
                <w:sz w:val="14"/>
              </w:rPr>
              <w:t>回答割合</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27.1%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54.9%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15.1%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42.7%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16.8%</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6.3%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26.4%</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29.6%</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308" w:type="pct"/>
            <w:shd w:val="clear" w:color="auto" w:fill="auto"/>
            <w:tcMar>
              <w:top w:w="28" w:type="dxa"/>
              <w:left w:w="28" w:type="dxa"/>
              <w:bottom w:w="28" w:type="dxa"/>
              <w:right w:w="28" w:type="dxa"/>
            </w:tcMar>
            <w:vAlign w:val="center"/>
          </w:tcPr>
          <w:p>
            <w:pPr>
              <w:pStyle w:val="0"/>
              <w:jc w:val="right"/>
              <w:rPr>
                <w:rFonts w:hint="default"/>
              </w:rPr>
            </w:pPr>
            <w:r>
              <w:rPr>
                <w:rFonts w:hint="default"/>
              </w:rPr>
              <w:t>25.7%</w:t>
            </w:r>
          </w:p>
        </w:tc>
      </w:tr>
      <w:tr>
        <w:trPr>
          <w:trHeight w:val="20" w:hRule="atLeast"/>
        </w:trPr>
        <w:tc>
          <w:tcPr>
            <w:tcW w:w="314" w:type="pct"/>
            <w:vMerge w:val="continue"/>
            <w:shd w:val="clear" w:color="auto" w:fill="auto"/>
            <w:tcMar>
              <w:top w:w="28" w:type="dxa"/>
              <w:left w:w="28" w:type="dxa"/>
              <w:bottom w:w="28" w:type="dxa"/>
              <w:right w:w="28" w:type="dxa"/>
            </w:tcMar>
            <w:vAlign w:val="center"/>
          </w:tcPr>
          <w:p>
            <w:pPr>
              <w:pStyle w:val="0"/>
              <w:rPr>
                <w:rFonts w:hint="default"/>
              </w:rPr>
            </w:pPr>
          </w:p>
        </w:tc>
        <w:tc>
          <w:tcPr>
            <w:tcW w:w="338" w:type="pct"/>
            <w:shd w:val="clear" w:color="auto" w:fill="auto"/>
            <w:tcMar>
              <w:top w:w="28" w:type="dxa"/>
              <w:left w:w="28" w:type="dxa"/>
              <w:bottom w:w="28" w:type="dxa"/>
              <w:right w:w="28" w:type="dxa"/>
            </w:tcMar>
            <w:vAlign w:val="center"/>
          </w:tcPr>
          <w:p>
            <w:pPr>
              <w:pStyle w:val="0"/>
              <w:rPr>
                <w:rFonts w:hint="default"/>
              </w:rPr>
            </w:pPr>
            <w:r>
              <w:rPr>
                <w:rFonts w:hint="default"/>
                <w:sz w:val="14"/>
              </w:rPr>
              <w:t>標準化比</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129.5</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103.9</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96.0</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32.7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86.7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74.1</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132.7</w:t>
            </w:r>
          </w:p>
        </w:tc>
        <w:tc>
          <w:tcPr>
            <w:tcW w:w="310" w:type="pct"/>
            <w:shd w:val="clear" w:color="auto" w:fill="auto"/>
            <w:tcMar>
              <w:top w:w="28" w:type="dxa"/>
              <w:left w:w="28" w:type="dxa"/>
              <w:bottom w:w="28" w:type="dxa"/>
              <w:right w:w="28" w:type="dxa"/>
            </w:tcMar>
            <w:vAlign w:val="center"/>
          </w:tcPr>
          <w:p>
            <w:pPr>
              <w:pStyle w:val="0"/>
              <w:jc w:val="right"/>
              <w:rPr>
                <w:rFonts w:hint="default"/>
              </w:rPr>
            </w:pPr>
            <w:r>
              <w:rPr>
                <w:rFonts w:hint="default"/>
              </w:rPr>
              <w:t>134.2</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99.4</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55.3</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104.7</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113.6</w:t>
            </w:r>
          </w:p>
        </w:tc>
        <w:tc>
          <w:tcPr>
            <w:tcW w:w="311" w:type="pct"/>
            <w:shd w:val="clear" w:color="auto" w:fill="auto"/>
            <w:tcMar>
              <w:top w:w="28" w:type="dxa"/>
              <w:left w:w="28" w:type="dxa"/>
              <w:bottom w:w="28" w:type="dxa"/>
              <w:right w:w="28" w:type="dxa"/>
            </w:tcMar>
            <w:vAlign w:val="center"/>
          </w:tcPr>
          <w:p>
            <w:pPr>
              <w:pStyle w:val="0"/>
              <w:jc w:val="right"/>
              <w:rPr>
                <w:rFonts w:hint="default"/>
              </w:rPr>
            </w:pPr>
            <w:r>
              <w:rPr>
                <w:rFonts w:hint="default"/>
              </w:rPr>
              <w:t>15.4</w:t>
            </w:r>
          </w:p>
        </w:tc>
        <w:tc>
          <w:tcPr>
            <w:tcW w:w="308" w:type="pct"/>
            <w:shd w:val="clear" w:color="auto" w:fill="auto"/>
            <w:tcMar>
              <w:top w:w="28" w:type="dxa"/>
              <w:left w:w="28" w:type="dxa"/>
              <w:bottom w:w="28" w:type="dxa"/>
              <w:right w:w="28" w:type="dxa"/>
            </w:tcMar>
            <w:vAlign w:val="center"/>
          </w:tcPr>
          <w:p>
            <w:pPr>
              <w:pStyle w:val="0"/>
              <w:jc w:val="right"/>
              <w:rPr>
                <w:rFonts w:hint="default"/>
              </w:rPr>
            </w:pPr>
            <w:r>
              <w:rPr>
                <w:rFonts w:hint="default"/>
              </w:rPr>
              <w:t>97.4</w:t>
            </w:r>
          </w:p>
        </w:tc>
      </w:tr>
    </w:tbl>
    <w:p>
      <w:pPr>
        <w:pStyle w:val="44"/>
        <w:rPr>
          <w:rFonts w:hint="default"/>
        </w:rPr>
      </w:pPr>
      <w:r>
        <w:rPr>
          <w:rFonts w:hint="default"/>
        </w:rPr>
        <w:t>【出典】</w:t>
      </w:r>
      <w:r>
        <w:rPr>
          <w:rFonts w:hint="default"/>
        </w:rPr>
        <w:t>KDB</w:t>
      </w:r>
      <w:r>
        <w:rPr>
          <w:rFonts w:hint="default"/>
        </w:rPr>
        <w:t>帳票</w:t>
      </w:r>
      <w:r>
        <w:rPr>
          <w:rFonts w:hint="default"/>
        </w:rPr>
        <w:t xml:space="preserve"> </w:t>
      </w:r>
      <w:r>
        <w:rPr>
          <w:rFonts w:hint="default"/>
          <w:color w:val="1D1C1D"/>
        </w:rPr>
        <w:t>S21_007-</w:t>
      </w:r>
      <w:r>
        <w:rPr>
          <w:rFonts w:hint="default"/>
          <w:color w:val="1D1C1D"/>
        </w:rPr>
        <w:t>質問票調査の状況</w:t>
      </w:r>
      <w:r>
        <w:rPr>
          <w:rFonts w:hint="default"/>
        </w:rPr>
        <w:t xml:space="preserve"> </w:t>
      </w:r>
      <w:r>
        <w:rPr>
          <w:rFonts w:hint="eastAsia"/>
        </w:rPr>
        <w:t>令和</w:t>
      </w:r>
      <w:r>
        <w:rPr>
          <w:rFonts w:hint="eastAsia"/>
        </w:rPr>
        <w:t>4</w:t>
      </w:r>
      <w:r>
        <w:rPr>
          <w:rFonts w:hint="eastAsia"/>
        </w:rPr>
        <w:t>年度</w:t>
      </w:r>
      <w:r>
        <w:rPr>
          <w:rFonts w:hint="eastAsia"/>
        </w:rPr>
        <w:t xml:space="preserve"> </w:t>
      </w:r>
      <w:r>
        <w:rPr>
          <w:rFonts w:hint="eastAsia"/>
        </w:rPr>
        <w:t>累計</w:t>
      </w:r>
    </w:p>
    <w:p>
      <w:pPr>
        <w:pStyle w:val="3"/>
        <w:rPr>
          <w:rFonts w:hint="default"/>
        </w:rPr>
      </w:pPr>
      <w:bookmarkStart w:id="92" w:name="_Toc162548693"/>
      <w:r>
        <w:rPr>
          <w:rFonts w:hint="default"/>
        </w:rPr>
        <w:t>5</w:t>
      </w:r>
      <w:r>
        <w:rPr>
          <w:rFonts w:hint="default"/>
        </w:rPr>
        <w:t>がん（胃がん・肺がん・大腸がん・子宮</w:t>
      </w:r>
      <w:r>
        <w:rPr>
          <w:rFonts w:hint="eastAsia"/>
        </w:rPr>
        <w:t>頸</w:t>
      </w:r>
      <w:r>
        <w:rPr>
          <w:rFonts w:hint="default"/>
        </w:rPr>
        <w:t>がん・乳がん）検診の受診</w:t>
      </w:r>
      <w:r>
        <w:rPr>
          <w:rFonts w:hint="eastAsia"/>
        </w:rPr>
        <w:t>状況</w:t>
      </w:r>
      <w:bookmarkEnd w:id="92"/>
    </w:p>
    <w:p>
      <w:pPr>
        <w:pStyle w:val="4"/>
        <w:rPr>
          <w:rFonts w:hint="default"/>
        </w:rPr>
      </w:pPr>
      <w:bookmarkStart w:id="93" w:name="_Toc155684656"/>
      <w:r>
        <w:rPr>
          <w:rFonts w:hint="eastAsia"/>
        </w:rPr>
        <w:t>肺がん検診</w:t>
      </w:r>
      <w:r>
        <w:rPr>
          <w:rFonts w:hint="default"/>
        </w:rPr>
        <w:t>の受診</w:t>
      </w:r>
      <w:r>
        <w:rPr>
          <w:rFonts w:hint="eastAsia"/>
        </w:rPr>
        <w:t>状況</w:t>
      </w:r>
      <w:bookmarkEnd w:id="93"/>
    </w:p>
    <w:p>
      <w:pPr>
        <w:pStyle w:val="39"/>
        <w:ind w:firstLine="200"/>
        <w:rPr>
          <w:rFonts w:hint="default"/>
        </w:rPr>
      </w:pPr>
      <w:r>
        <w:rPr>
          <w:rFonts w:hint="eastAsia"/>
        </w:rPr>
        <w:t>肺がん検診の受診状況</w:t>
      </w:r>
      <w:r>
        <w:rPr>
          <w:rFonts w:hint="default"/>
        </w:rPr>
        <w:t>をみると</w:t>
      </w:r>
      <w:r>
        <w:rPr>
          <w:rFonts w:hint="eastAsia"/>
        </w:rPr>
        <w:t>(</w:t>
      </w:r>
      <w:r>
        <w:rPr>
          <w:rFonts w:hint="eastAsia"/>
        </w:rPr>
        <w:fldChar w:fldCharType="begin"/>
      </w:r>
      <w:r>
        <w:rPr>
          <w:rFonts w:hint="eastAsia"/>
        </w:rPr>
        <w:instrText xml:space="preserve">REF _Ref130887366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1</w:t>
      </w:r>
      <w:r>
        <w:rPr>
          <w:rFonts w:hint="eastAsia"/>
        </w:rPr>
        <w:fldChar w:fldCharType="end"/>
      </w:r>
      <w:r>
        <w:rPr>
          <w:rFonts w:hint="eastAsia"/>
        </w:rPr>
        <w:t>)</w:t>
      </w:r>
      <w:r>
        <w:rPr>
          <w:rFonts w:hint="default"/>
        </w:rPr>
        <w:t>、</w:t>
      </w:r>
      <w:r>
        <w:rPr>
          <w:rFonts w:hint="eastAsia"/>
        </w:rPr>
        <w:t>八街市全体の受診率は令和</w:t>
      </w:r>
      <w:r>
        <w:rPr>
          <w:rFonts w:hint="eastAsia"/>
        </w:rPr>
        <w:t>3</w:t>
      </w:r>
      <w:r>
        <w:rPr>
          <w:rFonts w:hint="eastAsia"/>
        </w:rPr>
        <w:t>年度が</w:t>
      </w:r>
      <w:r>
        <w:rPr>
          <w:rFonts w:hint="eastAsia"/>
        </w:rPr>
        <w:t>7</w:t>
      </w:r>
      <w:r>
        <w:rPr>
          <w:rFonts w:hint="default"/>
        </w:rPr>
        <w:t>.5</w:t>
      </w:r>
      <w:r>
        <w:rPr>
          <w:rFonts w:hint="eastAsia"/>
        </w:rPr>
        <w:t>%</w:t>
      </w:r>
      <w:r>
        <w:rPr>
          <w:rFonts w:hint="eastAsia"/>
        </w:rPr>
        <w:t>で、令和</w:t>
      </w:r>
      <w:r>
        <w:rPr>
          <w:rFonts w:hint="eastAsia"/>
        </w:rPr>
        <w:t>1</w:t>
      </w:r>
      <w:r>
        <w:rPr>
          <w:rFonts w:hint="eastAsia"/>
        </w:rPr>
        <w:t>年度と比較して</w:t>
      </w:r>
      <w:r>
        <w:rPr>
          <w:rFonts w:hint="eastAsia"/>
        </w:rPr>
        <w:t>1</w:t>
      </w:r>
      <w:r>
        <w:rPr>
          <w:rFonts w:hint="default"/>
        </w:rPr>
        <w:t>.8</w:t>
      </w:r>
      <w:r>
        <w:rPr>
          <w:rFonts w:hint="eastAsia"/>
        </w:rPr>
        <w:t>ポイント低下している。国保被保険者の受診状況についてみると、令和</w:t>
      </w:r>
      <w:r>
        <w:rPr>
          <w:rFonts w:hint="eastAsia"/>
        </w:rPr>
        <w:t>3</w:t>
      </w:r>
      <w:r>
        <w:rPr>
          <w:rFonts w:hint="eastAsia"/>
        </w:rPr>
        <w:t>年度が</w:t>
      </w:r>
      <w:r>
        <w:rPr>
          <w:rFonts w:hint="eastAsia"/>
        </w:rPr>
        <w:t>1</w:t>
      </w:r>
      <w:r>
        <w:rPr>
          <w:rFonts w:hint="default"/>
        </w:rPr>
        <w:t>2.0</w:t>
      </w:r>
      <w:r>
        <w:rPr>
          <w:rFonts w:hint="eastAsia"/>
        </w:rPr>
        <w:t>%</w:t>
      </w:r>
      <w:r>
        <w:rPr>
          <w:rFonts w:hint="eastAsia"/>
        </w:rPr>
        <w:t>で、令和</w:t>
      </w:r>
      <w:r>
        <w:rPr>
          <w:rFonts w:hint="eastAsia"/>
        </w:rPr>
        <w:t>1</w:t>
      </w:r>
      <w:r>
        <w:rPr>
          <w:rFonts w:hint="eastAsia"/>
        </w:rPr>
        <w:t>年度と比較して</w:t>
      </w:r>
      <w:r>
        <w:rPr>
          <w:rFonts w:hint="eastAsia"/>
        </w:rPr>
        <w:t>4</w:t>
      </w:r>
      <w:r>
        <w:rPr>
          <w:rFonts w:hint="default"/>
        </w:rPr>
        <w:t>.0</w:t>
      </w:r>
      <w:r>
        <w:rPr>
          <w:rFonts w:hint="eastAsia"/>
        </w:rPr>
        <w:t>ポイント低下している。</w:t>
      </w:r>
    </w:p>
    <w:p>
      <w:pPr>
        <w:pStyle w:val="0"/>
        <w:rPr>
          <w:rFonts w:hint="default"/>
        </w:rPr>
      </w:pPr>
    </w:p>
    <w:p>
      <w:pPr>
        <w:pStyle w:val="38"/>
        <w:rPr>
          <w:rFonts w:hint="default"/>
        </w:rPr>
      </w:pPr>
      <w:bookmarkStart w:id="94" w:name="_Ref13088736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94"/>
      <w:r>
        <w:rPr>
          <w:rFonts w:hint="default"/>
        </w:rPr>
        <w:t>：</w:t>
      </w:r>
      <w:r>
        <w:rPr>
          <w:rFonts w:hint="eastAsia"/>
        </w:rPr>
        <w:t>肺</w:t>
      </w:r>
      <w:r>
        <w:rPr>
          <w:rFonts w:hint="default"/>
        </w:rPr>
        <w:t>がん検診の受診状況</w:t>
      </w:r>
    </w:p>
    <w:p>
      <w:pPr>
        <w:pStyle w:val="0"/>
        <w:jc w:val="center"/>
        <w:rPr>
          <w:rFonts w:hint="default"/>
        </w:rPr>
      </w:pPr>
      <w:r>
        <w:rPr>
          <w:rFonts w:hint="default"/>
        </w:rPr>
        <w:drawing>
          <wp:inline distT="0" distB="0" distL="0" distR="0">
            <wp:extent cx="5939790" cy="3239770"/>
            <wp:effectExtent l="0" t="0" r="0" b="0"/>
            <wp:docPr id="1084" name="オブジェクト 0"/>
            <a:graphic xmlns:a="http://schemas.openxmlformats.org/drawingml/2006/main">
              <a:graphicData uri="http://schemas.openxmlformats.org/drawingml/2006/chart">
                <c:chart xmlns:c="http://schemas.openxmlformats.org/drawingml/2006/chart" r:id="rId39"/>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49"/>
        <w:gridCol w:w="2244"/>
        <w:gridCol w:w="2194"/>
        <w:gridCol w:w="2194"/>
        <w:gridCol w:w="2194"/>
      </w:tblGrid>
      <w:tr>
        <w:trPr>
          <w:trHeight w:val="20" w:hRule="atLeast"/>
        </w:trPr>
        <w:tc>
          <w:tcPr>
            <w:tcW w:w="1490" w:type="pct"/>
            <w:gridSpan w:val="2"/>
            <w:shd w:val="clear" w:color="auto" w:fill="CCD6FF"/>
            <w:tcMar>
              <w:top w:w="28" w:type="dxa"/>
              <w:left w:w="28" w:type="dxa"/>
              <w:bottom w:w="28" w:type="dxa"/>
              <w:right w:w="28" w:type="dxa"/>
            </w:tcMar>
            <w:vAlign w:val="center"/>
          </w:tcPr>
          <w:p>
            <w:pPr>
              <w:pStyle w:val="0"/>
              <w:widowControl w:val="0"/>
              <w:rPr>
                <w:rFonts w:hint="default"/>
                <w:b w:val="1"/>
              </w:rPr>
            </w:pP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1</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2</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3</w:t>
            </w:r>
            <w:r>
              <w:rPr>
                <w:rFonts w:hint="default"/>
                <w:b w:val="1"/>
              </w:rPr>
              <w:t>年度</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対象者数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30,786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30,085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29,468</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受診者数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2,874</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2,435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2,205</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八街市</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7.5%</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国</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5.5%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6.0%</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県</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7.6%</w:t>
            </w:r>
          </w:p>
        </w:tc>
      </w:tr>
      <w:tr>
        <w:trPr>
          <w:trHeight w:val="20" w:hRule="atLeast"/>
        </w:trPr>
        <w:tc>
          <w:tcPr>
            <w:tcW w:w="293" w:type="pct"/>
            <w:vMerge w:val="restart"/>
            <w:tcMar>
              <w:top w:w="28" w:type="dxa"/>
              <w:left w:w="28" w:type="dxa"/>
              <w:bottom w:w="28" w:type="dxa"/>
              <w:right w:w="28" w:type="dxa"/>
            </w:tcMar>
            <w:vAlign w:val="center"/>
          </w:tcPr>
          <w:p>
            <w:pPr>
              <w:pStyle w:val="0"/>
              <w:widowControl w:val="0"/>
              <w:jc w:val="center"/>
              <w:rPr>
                <w:rFonts w:hint="default"/>
              </w:rPr>
            </w:pPr>
            <w:r>
              <w:rPr>
                <w:rFonts w:hint="eastAsia"/>
              </w:rPr>
              <w:t>国保</w:t>
            </w:r>
          </w:p>
        </w:tc>
        <w:tc>
          <w:tcPr>
            <w:tcW w:w="1196" w:type="pct"/>
            <w:tcMar>
              <w:top w:w="28" w:type="dxa"/>
              <w:left w:w="28" w:type="dxa"/>
              <w:bottom w:w="28" w:type="dxa"/>
              <w:right w:w="28" w:type="dxa"/>
            </w:tcMar>
            <w:vAlign w:val="center"/>
          </w:tcPr>
          <w:p>
            <w:pPr>
              <w:pStyle w:val="0"/>
              <w:widowControl w:val="0"/>
              <w:rPr>
                <w:rFonts w:hint="default"/>
              </w:rPr>
            </w:pPr>
            <w:r>
              <w:rPr>
                <w:rFonts w:hint="default"/>
              </w:rPr>
              <w:t>対象者数（国保）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10,083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10,005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9,755</w:t>
            </w:r>
          </w:p>
        </w:tc>
      </w:tr>
      <w:tr>
        <w:trPr>
          <w:trHeight w:val="20" w:hRule="atLeast"/>
        </w:trPr>
        <w:tc>
          <w:tcPr>
            <w:tcW w:w="293"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受診者数（国保）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1,612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1,346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1,166</w:t>
            </w:r>
          </w:p>
        </w:tc>
      </w:tr>
      <w:tr>
        <w:trPr>
          <w:trHeight w:val="20" w:hRule="atLeast"/>
        </w:trPr>
        <w:tc>
          <w:tcPr>
            <w:tcW w:w="293"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八街市（国保）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13.5%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12.0%</w:t>
            </w:r>
          </w:p>
        </w:tc>
      </w:tr>
      <w:tr>
        <w:trPr>
          <w:trHeight w:val="20" w:hRule="atLeast"/>
        </w:trPr>
        <w:tc>
          <w:tcPr>
            <w:tcW w:w="293"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国（国保）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13.4%</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15.2%</w:t>
            </w:r>
          </w:p>
        </w:tc>
      </w:tr>
      <w:tr>
        <w:trPr>
          <w:trHeight w:val="20" w:hRule="atLeast"/>
        </w:trPr>
        <w:tc>
          <w:tcPr>
            <w:tcW w:w="293"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県（国保）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20.5%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17.4%</w:t>
            </w:r>
          </w:p>
        </w:tc>
      </w:tr>
    </w:tbl>
    <w:p>
      <w:pPr>
        <w:pStyle w:val="40"/>
        <w:rPr>
          <w:rFonts w:hint="default"/>
        </w:rPr>
      </w:pPr>
      <w:r>
        <w:rPr>
          <w:rFonts w:hint="default"/>
        </w:rPr>
        <w:t>【出典】厚生労働省</w:t>
      </w:r>
      <w:r>
        <w:rPr>
          <w:rFonts w:hint="default"/>
        </w:rPr>
        <w:t xml:space="preserve"> </w:t>
      </w:r>
      <w:r>
        <w:rPr>
          <w:rFonts w:hint="default"/>
        </w:rPr>
        <w:t>地域保健・健康増進事業報告</w:t>
      </w:r>
      <w:r>
        <w:rPr>
          <w:rFonts w:hint="eastAsia"/>
        </w:rPr>
        <w:t>_</w:t>
      </w:r>
      <w:r>
        <w:rPr>
          <w:rFonts w:hint="eastAsia"/>
        </w:rPr>
        <w:t>令和</w:t>
      </w:r>
      <w:r>
        <w:rPr>
          <w:rFonts w:hint="eastAsia"/>
        </w:rPr>
        <w:t>1</w:t>
      </w:r>
      <w:r>
        <w:rPr>
          <w:rFonts w:hint="eastAsia"/>
        </w:rPr>
        <w:t>年度から令和</w:t>
      </w:r>
      <w:r>
        <w:rPr>
          <w:rFonts w:hint="eastAsia"/>
        </w:rPr>
        <w:t>3</w:t>
      </w:r>
      <w:r>
        <w:rPr>
          <w:rFonts w:hint="eastAsia"/>
        </w:rPr>
        <w:t>年度</w:t>
      </w:r>
      <w:r>
        <w:rPr>
          <w:rFonts w:hint="default"/>
        </w:rPr>
        <w:br w:type="textWrapping" w:clear="none"/>
      </w:r>
    </w:p>
    <w:p>
      <w:pPr>
        <w:pStyle w:val="0"/>
        <w:rPr>
          <w:rFonts w:hint="default"/>
        </w:rPr>
      </w:pPr>
      <w:r>
        <w:rPr>
          <w:rFonts w:hint="default"/>
        </w:rPr>
        <w:br w:type="page"/>
      </w:r>
    </w:p>
    <w:p>
      <w:pPr>
        <w:pStyle w:val="4"/>
        <w:rPr>
          <w:rFonts w:hint="default"/>
        </w:rPr>
      </w:pPr>
      <w:r>
        <w:rPr>
          <w:rFonts w:hint="eastAsia"/>
        </w:rPr>
        <w:t>大腸がん検診</w:t>
      </w:r>
      <w:r>
        <w:rPr>
          <w:rFonts w:hint="default"/>
        </w:rPr>
        <w:t>の受診</w:t>
      </w:r>
      <w:r>
        <w:rPr>
          <w:rFonts w:hint="eastAsia"/>
        </w:rPr>
        <w:t>状況</w:t>
      </w:r>
    </w:p>
    <w:p>
      <w:pPr>
        <w:pStyle w:val="39"/>
        <w:ind w:firstLine="200"/>
        <w:rPr>
          <w:rFonts w:hint="default"/>
          <w:color w:val="FF0000"/>
        </w:rPr>
      </w:pPr>
      <w:r>
        <w:rPr>
          <w:rFonts w:hint="eastAsia"/>
        </w:rPr>
        <w:t>大腸がん検診の受診状況</w:t>
      </w:r>
      <w:r>
        <w:rPr>
          <w:rFonts w:hint="default"/>
        </w:rPr>
        <w:t>をみると</w:t>
      </w:r>
      <w:r>
        <w:rPr>
          <w:rFonts w:hint="eastAsia"/>
        </w:rPr>
        <w:t>(</w:t>
      </w:r>
      <w:r>
        <w:rPr>
          <w:rFonts w:hint="eastAsia"/>
        </w:rPr>
        <w:fldChar w:fldCharType="begin"/>
      </w:r>
      <w:r>
        <w:rPr>
          <w:rFonts w:hint="eastAsia"/>
        </w:rPr>
        <w:instrText xml:space="preserve">REF _Ref130887198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2</w:t>
      </w:r>
      <w:r>
        <w:rPr>
          <w:rFonts w:hint="eastAsia"/>
        </w:rPr>
        <w:fldChar w:fldCharType="end"/>
      </w:r>
      <w:r>
        <w:rPr>
          <w:rFonts w:hint="eastAsia"/>
        </w:rPr>
        <w:t>)</w:t>
      </w:r>
      <w:r>
        <w:rPr>
          <w:rFonts w:hint="default"/>
        </w:rPr>
        <w:t>、</w:t>
      </w:r>
      <w:r>
        <w:rPr>
          <w:rFonts w:hint="eastAsia"/>
        </w:rPr>
        <w:t>八街市全体の受診率は令和</w:t>
      </w:r>
      <w:r>
        <w:rPr>
          <w:rFonts w:hint="eastAsia"/>
        </w:rPr>
        <w:t>3</w:t>
      </w:r>
      <w:r>
        <w:rPr>
          <w:rFonts w:hint="eastAsia"/>
        </w:rPr>
        <w:t>年度が</w:t>
      </w:r>
      <w:r>
        <w:rPr>
          <w:rFonts w:hint="eastAsia"/>
        </w:rPr>
        <w:t>8</w:t>
      </w:r>
      <w:r>
        <w:rPr>
          <w:rFonts w:hint="default"/>
        </w:rPr>
        <w:t>.9</w:t>
      </w:r>
      <w:r>
        <w:rPr>
          <w:rFonts w:hint="eastAsia"/>
        </w:rPr>
        <w:t>%</w:t>
      </w:r>
      <w:r>
        <w:rPr>
          <w:rFonts w:hint="eastAsia"/>
        </w:rPr>
        <w:t>で、令和</w:t>
      </w:r>
      <w:r>
        <w:rPr>
          <w:rFonts w:hint="eastAsia"/>
        </w:rPr>
        <w:t>1</w:t>
      </w:r>
      <w:r>
        <w:rPr>
          <w:rFonts w:hint="eastAsia"/>
        </w:rPr>
        <w:t>年度と比較して</w:t>
      </w:r>
      <w:r>
        <w:rPr>
          <w:rFonts w:hint="eastAsia"/>
        </w:rPr>
        <w:t>2</w:t>
      </w:r>
      <w:r>
        <w:rPr>
          <w:rFonts w:hint="default"/>
        </w:rPr>
        <w:t>.4</w:t>
      </w:r>
      <w:r>
        <w:rPr>
          <w:rFonts w:hint="eastAsia"/>
        </w:rPr>
        <w:t>ポイント低下している。国保被保険者の受診状況についてみると、令和</w:t>
      </w:r>
      <w:r>
        <w:rPr>
          <w:rFonts w:hint="eastAsia"/>
        </w:rPr>
        <w:t>3</w:t>
      </w:r>
      <w:r>
        <w:rPr>
          <w:rFonts w:hint="eastAsia"/>
        </w:rPr>
        <w:t>年度が</w:t>
      </w:r>
      <w:r>
        <w:rPr>
          <w:rFonts w:hint="eastAsia"/>
        </w:rPr>
        <w:t>1</w:t>
      </w:r>
      <w:r>
        <w:rPr>
          <w:rFonts w:hint="default"/>
        </w:rPr>
        <w:t>2.8</w:t>
      </w:r>
      <w:r>
        <w:rPr>
          <w:rFonts w:hint="eastAsia"/>
        </w:rPr>
        <w:t>%</w:t>
      </w:r>
      <w:r>
        <w:rPr>
          <w:rFonts w:hint="eastAsia"/>
        </w:rPr>
        <w:t>で、令和</w:t>
      </w:r>
      <w:r>
        <w:rPr>
          <w:rFonts w:hint="eastAsia"/>
        </w:rPr>
        <w:t>1</w:t>
      </w:r>
      <w:r>
        <w:rPr>
          <w:rFonts w:hint="eastAsia"/>
        </w:rPr>
        <w:t>年度と比較して</w:t>
      </w:r>
      <w:r>
        <w:rPr>
          <w:rFonts w:hint="eastAsia"/>
        </w:rPr>
        <w:t>4</w:t>
      </w:r>
      <w:r>
        <w:rPr>
          <w:rFonts w:hint="default"/>
        </w:rPr>
        <w:t>.0</w:t>
      </w:r>
      <w:r>
        <w:rPr>
          <w:rFonts w:hint="eastAsia"/>
        </w:rPr>
        <w:t>ポイント低下している。</w:t>
      </w:r>
    </w:p>
    <w:p>
      <w:pPr>
        <w:pStyle w:val="0"/>
        <w:rPr>
          <w:rFonts w:hint="default"/>
          <w:color w:val="FF0000"/>
        </w:rPr>
      </w:pPr>
    </w:p>
    <w:p>
      <w:pPr>
        <w:pStyle w:val="38"/>
        <w:rPr>
          <w:rFonts w:hint="default"/>
        </w:rPr>
      </w:pPr>
      <w:bookmarkStart w:id="95" w:name="_Ref13088719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95"/>
      <w:r>
        <w:rPr>
          <w:rFonts w:hint="default"/>
        </w:rPr>
        <w:t>：</w:t>
      </w:r>
      <w:r>
        <w:rPr>
          <w:rFonts w:hint="eastAsia"/>
        </w:rPr>
        <w:t>大腸</w:t>
      </w:r>
      <w:r>
        <w:rPr>
          <w:rFonts w:hint="default"/>
        </w:rPr>
        <w:t>がん検診の受診状況</w:t>
      </w:r>
    </w:p>
    <w:p>
      <w:pPr>
        <w:pStyle w:val="0"/>
        <w:jc w:val="center"/>
        <w:rPr>
          <w:rFonts w:hint="default"/>
        </w:rPr>
      </w:pPr>
      <w:r>
        <w:rPr>
          <w:rFonts w:hint="default"/>
        </w:rPr>
        <w:drawing>
          <wp:inline distT="0" distB="0" distL="0" distR="0">
            <wp:extent cx="5959475" cy="2979420"/>
            <wp:effectExtent l="0" t="0" r="0" b="0"/>
            <wp:docPr id="1085" name="オブジェクト 0"/>
            <a:graphic xmlns:a="http://schemas.openxmlformats.org/drawingml/2006/main">
              <a:graphicData uri="http://schemas.openxmlformats.org/drawingml/2006/chart">
                <c:chart xmlns:c="http://schemas.openxmlformats.org/drawingml/2006/chart" r:id="rId40"/>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50"/>
        <w:gridCol w:w="2243"/>
        <w:gridCol w:w="2194"/>
        <w:gridCol w:w="2194"/>
        <w:gridCol w:w="2194"/>
      </w:tblGrid>
      <w:tr>
        <w:trPr>
          <w:trHeight w:val="20" w:hRule="atLeast"/>
        </w:trPr>
        <w:tc>
          <w:tcPr>
            <w:tcW w:w="1490" w:type="pct"/>
            <w:gridSpan w:val="2"/>
            <w:shd w:val="clear" w:color="auto" w:fill="CCD6FF"/>
            <w:tcMar>
              <w:top w:w="28" w:type="dxa"/>
              <w:left w:w="28" w:type="dxa"/>
              <w:bottom w:w="28" w:type="dxa"/>
              <w:right w:w="28" w:type="dxa"/>
            </w:tcMar>
            <w:vAlign w:val="center"/>
          </w:tcPr>
          <w:p>
            <w:pPr>
              <w:pStyle w:val="0"/>
              <w:widowControl w:val="0"/>
              <w:rPr>
                <w:rFonts w:hint="default"/>
                <w:b w:val="1"/>
              </w:rPr>
            </w:pP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1</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2</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3</w:t>
            </w:r>
            <w:r>
              <w:rPr>
                <w:rFonts w:hint="default"/>
                <w:b w:val="1"/>
              </w:rPr>
              <w:t>年度</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対象者数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30,786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30,085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29,468</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受診者数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3,470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2,973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2,614</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八街市</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11.3%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9.9%</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8.9%</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国</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7.0%</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県</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7.8%</w:t>
            </w:r>
          </w:p>
        </w:tc>
      </w:tr>
      <w:tr>
        <w:trPr>
          <w:trHeight w:val="20" w:hRule="atLeast"/>
        </w:trPr>
        <w:tc>
          <w:tcPr>
            <w:tcW w:w="294" w:type="pct"/>
            <w:vMerge w:val="restart"/>
            <w:tcMar>
              <w:top w:w="28" w:type="dxa"/>
              <w:left w:w="28" w:type="dxa"/>
              <w:bottom w:w="28" w:type="dxa"/>
              <w:right w:w="28" w:type="dxa"/>
            </w:tcMar>
            <w:vAlign w:val="center"/>
          </w:tcPr>
          <w:p>
            <w:pPr>
              <w:pStyle w:val="0"/>
              <w:widowControl w:val="0"/>
              <w:jc w:val="center"/>
              <w:rPr>
                <w:rFonts w:hint="default"/>
              </w:rPr>
            </w:pPr>
            <w:r>
              <w:rPr>
                <w:rFonts w:hint="eastAsia"/>
              </w:rPr>
              <w:t>国保</w:t>
            </w:r>
          </w:p>
        </w:tc>
        <w:tc>
          <w:tcPr>
            <w:tcW w:w="1196" w:type="pct"/>
            <w:tcMar>
              <w:top w:w="28" w:type="dxa"/>
              <w:left w:w="28" w:type="dxa"/>
              <w:bottom w:w="28" w:type="dxa"/>
              <w:right w:w="28" w:type="dxa"/>
            </w:tcMar>
            <w:vAlign w:val="center"/>
          </w:tcPr>
          <w:p>
            <w:pPr>
              <w:pStyle w:val="0"/>
              <w:widowControl w:val="0"/>
              <w:rPr>
                <w:rFonts w:hint="default"/>
              </w:rPr>
            </w:pPr>
            <w:r>
              <w:rPr>
                <w:rFonts w:hint="default"/>
              </w:rPr>
              <w:t>対象者数（国保）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10,083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10,005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9,755</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受診者数（国保）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1,698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1,491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1,249</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八街市（国保）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14.9%</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12.8%</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国（国保）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17.1%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16.0%</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県（国保）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18.0%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16.1%</w:t>
            </w:r>
          </w:p>
        </w:tc>
      </w:tr>
    </w:tbl>
    <w:p>
      <w:pPr>
        <w:pStyle w:val="40"/>
        <w:rPr>
          <w:rFonts w:hint="default"/>
        </w:rPr>
      </w:pPr>
      <w:r>
        <w:rPr>
          <w:rFonts w:hint="default"/>
        </w:rPr>
        <w:t>【出典】厚生労働省</w:t>
      </w:r>
      <w:r>
        <w:rPr>
          <w:rFonts w:hint="default"/>
        </w:rPr>
        <w:t xml:space="preserve"> </w:t>
      </w:r>
      <w:r>
        <w:rPr>
          <w:rFonts w:hint="default"/>
        </w:rPr>
        <w:t>地域保健・健康増進事業報告</w:t>
      </w:r>
      <w:r>
        <w:rPr>
          <w:rFonts w:hint="eastAsia"/>
        </w:rPr>
        <w:t>_</w:t>
      </w:r>
      <w:r>
        <w:rPr>
          <w:rFonts w:hint="eastAsia"/>
        </w:rPr>
        <w:t>令和</w:t>
      </w:r>
      <w:r>
        <w:rPr>
          <w:rFonts w:hint="eastAsia"/>
        </w:rPr>
        <w:t>1</w:t>
      </w:r>
      <w:r>
        <w:rPr>
          <w:rFonts w:hint="eastAsia"/>
        </w:rPr>
        <w:t>年度から令和</w:t>
      </w:r>
      <w:r>
        <w:rPr>
          <w:rFonts w:hint="eastAsia"/>
        </w:rPr>
        <w:t>3</w:t>
      </w:r>
      <w:r>
        <w:rPr>
          <w:rFonts w:hint="eastAsia"/>
        </w:rPr>
        <w:t>年度</w:t>
      </w:r>
    </w:p>
    <w:p>
      <w:pPr>
        <w:pStyle w:val="0"/>
        <w:rPr>
          <w:rFonts w:hint="default"/>
        </w:rPr>
      </w:pPr>
      <w:r>
        <w:rPr>
          <w:rFonts w:hint="default"/>
        </w:rPr>
        <w:br w:type="page"/>
      </w:r>
    </w:p>
    <w:p>
      <w:pPr>
        <w:pStyle w:val="4"/>
        <w:rPr>
          <w:rFonts w:hint="default"/>
        </w:rPr>
      </w:pPr>
      <w:r>
        <w:rPr>
          <w:rFonts w:hint="eastAsia"/>
        </w:rPr>
        <w:t>胃がん検診</w:t>
      </w:r>
      <w:r>
        <w:rPr>
          <w:rFonts w:hint="default"/>
        </w:rPr>
        <w:t>の受診</w:t>
      </w:r>
      <w:r>
        <w:rPr>
          <w:rFonts w:hint="eastAsia"/>
        </w:rPr>
        <w:t>状況</w:t>
      </w:r>
    </w:p>
    <w:p>
      <w:pPr>
        <w:pStyle w:val="39"/>
        <w:ind w:firstLine="200"/>
        <w:rPr>
          <w:rFonts w:hint="default"/>
          <w:color w:val="FF0000"/>
        </w:rPr>
      </w:pPr>
      <w:r>
        <w:rPr>
          <w:rFonts w:hint="eastAsia"/>
        </w:rPr>
        <w:t>胃がん検診の受診状況</w:t>
      </w:r>
      <w:r>
        <w:rPr>
          <w:rFonts w:hint="default"/>
        </w:rPr>
        <w:t>をみると</w:t>
      </w:r>
      <w:r>
        <w:rPr>
          <w:rFonts w:hint="eastAsia"/>
        </w:rPr>
        <w:t>(</w:t>
      </w:r>
      <w:r>
        <w:rPr>
          <w:rFonts w:hint="eastAsia"/>
        </w:rPr>
        <w:fldChar w:fldCharType="begin"/>
      </w:r>
      <w:r>
        <w:rPr>
          <w:rFonts w:hint="eastAsia"/>
        </w:rPr>
        <w:instrText xml:space="preserve">REF _Ref130887199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3</w:t>
      </w:r>
      <w:r>
        <w:rPr>
          <w:rFonts w:hint="eastAsia"/>
        </w:rPr>
        <w:fldChar w:fldCharType="end"/>
      </w:r>
      <w:r>
        <w:rPr>
          <w:rFonts w:hint="eastAsia"/>
        </w:rPr>
        <w:t>)</w:t>
      </w:r>
      <w:r>
        <w:rPr>
          <w:rFonts w:hint="default"/>
        </w:rPr>
        <w:t>、</w:t>
      </w:r>
      <w:r>
        <w:rPr>
          <w:rFonts w:hint="eastAsia"/>
        </w:rPr>
        <w:t>八街市全体の受診率は令和</w:t>
      </w:r>
      <w:r>
        <w:rPr>
          <w:rFonts w:hint="eastAsia"/>
        </w:rPr>
        <w:t>3</w:t>
      </w:r>
      <w:r>
        <w:rPr>
          <w:rFonts w:hint="eastAsia"/>
        </w:rPr>
        <w:t>年度が</w:t>
      </w:r>
      <w:r>
        <w:rPr>
          <w:rFonts w:hint="eastAsia"/>
        </w:rPr>
        <w:t>8</w:t>
      </w:r>
      <w:r>
        <w:rPr>
          <w:rFonts w:hint="default"/>
        </w:rPr>
        <w:t>.0</w:t>
      </w:r>
      <w:r>
        <w:rPr>
          <w:rFonts w:hint="eastAsia"/>
        </w:rPr>
        <w:t>%</w:t>
      </w:r>
      <w:r>
        <w:rPr>
          <w:rFonts w:hint="eastAsia"/>
        </w:rPr>
        <w:t>で、令和</w:t>
      </w:r>
      <w:r>
        <w:rPr>
          <w:rFonts w:hint="eastAsia"/>
        </w:rPr>
        <w:t>1</w:t>
      </w:r>
      <w:r>
        <w:rPr>
          <w:rFonts w:hint="eastAsia"/>
        </w:rPr>
        <w:t>年度と比較して</w:t>
      </w:r>
      <w:r>
        <w:rPr>
          <w:rFonts w:hint="eastAsia"/>
        </w:rPr>
        <w:t>1</w:t>
      </w:r>
      <w:r>
        <w:rPr>
          <w:rFonts w:hint="default"/>
        </w:rPr>
        <w:t>.3</w:t>
      </w:r>
      <w:r>
        <w:rPr>
          <w:rFonts w:hint="eastAsia"/>
        </w:rPr>
        <w:t>ポイント低下している。国保被保険者の受診状況についてみると、令和</w:t>
      </w:r>
      <w:r>
        <w:rPr>
          <w:rFonts w:hint="eastAsia"/>
        </w:rPr>
        <w:t>3</w:t>
      </w:r>
      <w:r>
        <w:rPr>
          <w:rFonts w:hint="eastAsia"/>
        </w:rPr>
        <w:t>年度が</w:t>
      </w:r>
      <w:r>
        <w:rPr>
          <w:rFonts w:hint="eastAsia"/>
        </w:rPr>
        <w:t>1</w:t>
      </w:r>
      <w:r>
        <w:rPr>
          <w:rFonts w:hint="default"/>
        </w:rPr>
        <w:t>2.4</w:t>
      </w:r>
      <w:r>
        <w:rPr>
          <w:rFonts w:hint="eastAsia"/>
        </w:rPr>
        <w:t>%</w:t>
      </w:r>
      <w:r>
        <w:rPr>
          <w:rFonts w:hint="eastAsia"/>
        </w:rPr>
        <w:t>で、令和</w:t>
      </w:r>
      <w:r>
        <w:rPr>
          <w:rFonts w:hint="eastAsia"/>
        </w:rPr>
        <w:t>1</w:t>
      </w:r>
      <w:r>
        <w:rPr>
          <w:rFonts w:hint="eastAsia"/>
        </w:rPr>
        <w:t>年度と比較して</w:t>
      </w:r>
      <w:r>
        <w:rPr>
          <w:rFonts w:hint="default"/>
        </w:rPr>
        <w:t>2.2</w:t>
      </w:r>
      <w:r>
        <w:rPr>
          <w:rFonts w:hint="eastAsia"/>
        </w:rPr>
        <w:t>ポイント低下している。</w:t>
      </w:r>
    </w:p>
    <w:p>
      <w:pPr>
        <w:pStyle w:val="0"/>
        <w:rPr>
          <w:rFonts w:hint="default"/>
        </w:rPr>
      </w:pPr>
    </w:p>
    <w:p>
      <w:pPr>
        <w:pStyle w:val="38"/>
        <w:rPr>
          <w:rFonts w:hint="default"/>
        </w:rPr>
      </w:pPr>
      <w:bookmarkStart w:id="96" w:name="_Ref13088719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96"/>
      <w:r>
        <w:rPr>
          <w:rFonts w:hint="default"/>
        </w:rPr>
        <w:t>：</w:t>
      </w:r>
      <w:r>
        <w:rPr>
          <w:rFonts w:hint="eastAsia"/>
        </w:rPr>
        <w:t>胃</w:t>
      </w:r>
      <w:r>
        <w:rPr>
          <w:rFonts w:hint="default"/>
        </w:rPr>
        <w:t>がん検診の受診状況</w:t>
      </w:r>
    </w:p>
    <w:p>
      <w:pPr>
        <w:pStyle w:val="0"/>
        <w:jc w:val="center"/>
        <w:rPr>
          <w:rFonts w:hint="default"/>
        </w:rPr>
      </w:pPr>
      <w:r>
        <w:rPr>
          <w:rFonts w:hint="default"/>
        </w:rPr>
        <w:drawing>
          <wp:inline distT="0" distB="0" distL="0" distR="0">
            <wp:extent cx="5959475" cy="2979420"/>
            <wp:effectExtent l="0" t="0" r="0" b="0"/>
            <wp:docPr id="1086" name="オブジェクト 0"/>
            <a:graphic xmlns:a="http://schemas.openxmlformats.org/drawingml/2006/main">
              <a:graphicData uri="http://schemas.openxmlformats.org/drawingml/2006/chart">
                <c:chart xmlns:c="http://schemas.openxmlformats.org/drawingml/2006/chart" r:id="rId41"/>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50"/>
        <w:gridCol w:w="2243"/>
        <w:gridCol w:w="2194"/>
        <w:gridCol w:w="2194"/>
        <w:gridCol w:w="2194"/>
      </w:tblGrid>
      <w:tr>
        <w:trPr>
          <w:trHeight w:val="20" w:hRule="atLeast"/>
        </w:trPr>
        <w:tc>
          <w:tcPr>
            <w:tcW w:w="1490" w:type="pct"/>
            <w:gridSpan w:val="2"/>
            <w:shd w:val="clear" w:color="auto" w:fill="CCD6FF"/>
            <w:tcMar>
              <w:top w:w="28" w:type="dxa"/>
              <w:left w:w="28" w:type="dxa"/>
              <w:bottom w:w="28" w:type="dxa"/>
              <w:right w:w="28" w:type="dxa"/>
            </w:tcMar>
            <w:vAlign w:val="center"/>
          </w:tcPr>
          <w:p>
            <w:pPr>
              <w:pStyle w:val="0"/>
              <w:widowControl w:val="0"/>
              <w:rPr>
                <w:rFonts w:hint="default"/>
                <w:b w:val="1"/>
              </w:rPr>
            </w:pP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1</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2</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3</w:t>
            </w:r>
            <w:r>
              <w:rPr>
                <w:rFonts w:hint="default"/>
                <w:b w:val="1"/>
              </w:rPr>
              <w:t>年度</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対象者数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21,455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21,151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20,912</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受診者数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1,580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1,303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1,307</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八街市</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8.0%</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国</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6.5%</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県</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5.7%</w:t>
            </w:r>
          </w:p>
        </w:tc>
      </w:tr>
      <w:tr>
        <w:trPr>
          <w:trHeight w:val="20" w:hRule="atLeast"/>
        </w:trPr>
        <w:tc>
          <w:tcPr>
            <w:tcW w:w="294" w:type="pct"/>
            <w:vMerge w:val="restart"/>
            <w:tcMar>
              <w:top w:w="28" w:type="dxa"/>
              <w:left w:w="28" w:type="dxa"/>
              <w:bottom w:w="28" w:type="dxa"/>
              <w:right w:w="28" w:type="dxa"/>
            </w:tcMar>
            <w:vAlign w:val="center"/>
          </w:tcPr>
          <w:p>
            <w:pPr>
              <w:pStyle w:val="0"/>
              <w:widowControl w:val="0"/>
              <w:jc w:val="center"/>
              <w:rPr>
                <w:rFonts w:hint="default"/>
              </w:rPr>
            </w:pPr>
            <w:r>
              <w:rPr>
                <w:rFonts w:hint="eastAsia"/>
              </w:rPr>
              <w:t>国保</w:t>
            </w:r>
          </w:p>
        </w:tc>
        <w:tc>
          <w:tcPr>
            <w:tcW w:w="1196" w:type="pct"/>
            <w:tcMar>
              <w:top w:w="28" w:type="dxa"/>
              <w:left w:w="28" w:type="dxa"/>
              <w:bottom w:w="28" w:type="dxa"/>
              <w:right w:w="28" w:type="dxa"/>
            </w:tcMar>
            <w:vAlign w:val="center"/>
          </w:tcPr>
          <w:p>
            <w:pPr>
              <w:pStyle w:val="0"/>
              <w:widowControl w:val="0"/>
              <w:rPr>
                <w:rFonts w:hint="default"/>
              </w:rPr>
            </w:pPr>
            <w:r>
              <w:rPr>
                <w:rFonts w:hint="default"/>
              </w:rPr>
              <w:t>対象者数（国保）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7,952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7,811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7,602</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受診者数（国保）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900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731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689</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八街市（国保）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13.8%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12.4%</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国（国保）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12.9%</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12.1%</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県（国保）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12.4%</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9.7%</w:t>
            </w:r>
          </w:p>
        </w:tc>
      </w:tr>
    </w:tbl>
    <w:p>
      <w:pPr>
        <w:pStyle w:val="40"/>
        <w:rPr>
          <w:rFonts w:hint="default"/>
        </w:rPr>
      </w:pPr>
      <w:r>
        <w:rPr>
          <w:rFonts w:hint="default"/>
        </w:rPr>
        <w:t>【出典】厚生労働省</w:t>
      </w:r>
      <w:r>
        <w:rPr>
          <w:rFonts w:hint="default"/>
        </w:rPr>
        <w:t xml:space="preserve"> </w:t>
      </w:r>
      <w:r>
        <w:rPr>
          <w:rFonts w:hint="default"/>
        </w:rPr>
        <w:t>地域保健・健康増進事業報告</w:t>
      </w:r>
      <w:r>
        <w:rPr>
          <w:rFonts w:hint="eastAsia"/>
        </w:rPr>
        <w:t>_</w:t>
      </w:r>
      <w:r>
        <w:rPr>
          <w:rFonts w:hint="eastAsia"/>
        </w:rPr>
        <w:t>令和</w:t>
      </w:r>
      <w:r>
        <w:rPr>
          <w:rFonts w:hint="eastAsia"/>
        </w:rPr>
        <w:t>1</w:t>
      </w:r>
      <w:r>
        <w:rPr>
          <w:rFonts w:hint="eastAsia"/>
        </w:rPr>
        <w:t>年度から令和</w:t>
      </w:r>
      <w:r>
        <w:rPr>
          <w:rFonts w:hint="eastAsia"/>
        </w:rPr>
        <w:t>3</w:t>
      </w:r>
      <w:r>
        <w:rPr>
          <w:rFonts w:hint="eastAsia"/>
        </w:rPr>
        <w:t>年度</w:t>
      </w:r>
    </w:p>
    <w:p>
      <w:pPr>
        <w:pStyle w:val="0"/>
        <w:rPr>
          <w:rFonts w:hint="default"/>
        </w:rPr>
      </w:pPr>
      <w:r>
        <w:rPr>
          <w:rFonts w:hint="default"/>
        </w:rPr>
        <w:br w:type="page"/>
      </w:r>
    </w:p>
    <w:p>
      <w:pPr>
        <w:pStyle w:val="4"/>
        <w:rPr>
          <w:rFonts w:hint="default"/>
        </w:rPr>
      </w:pPr>
      <w:r>
        <w:rPr>
          <w:rFonts w:hint="eastAsia"/>
        </w:rPr>
        <w:t>子宮がん検診</w:t>
      </w:r>
      <w:r>
        <w:rPr>
          <w:rFonts w:hint="default"/>
        </w:rPr>
        <w:t>の受診</w:t>
      </w:r>
      <w:r>
        <w:rPr>
          <w:rFonts w:hint="eastAsia"/>
        </w:rPr>
        <w:t>状況</w:t>
      </w:r>
    </w:p>
    <w:p>
      <w:pPr>
        <w:pStyle w:val="39"/>
        <w:ind w:firstLine="200"/>
        <w:rPr>
          <w:rFonts w:hint="default"/>
          <w:color w:val="FF0000"/>
        </w:rPr>
      </w:pPr>
      <w:r>
        <w:rPr>
          <w:rFonts w:hint="eastAsia"/>
        </w:rPr>
        <w:t>子宮がん検診の受診状況</w:t>
      </w:r>
      <w:r>
        <w:rPr>
          <w:rFonts w:hint="default"/>
        </w:rPr>
        <w:t>をみると</w:t>
      </w:r>
      <w:r>
        <w:rPr>
          <w:rFonts w:hint="eastAsia"/>
        </w:rPr>
        <w:t>(</w:t>
      </w:r>
      <w:r>
        <w:rPr>
          <w:rFonts w:hint="eastAsia"/>
        </w:rPr>
        <w:fldChar w:fldCharType="begin"/>
      </w:r>
      <w:r>
        <w:rPr>
          <w:rFonts w:hint="eastAsia"/>
        </w:rPr>
        <w:instrText xml:space="preserve">REF _Ref130885016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4</w:t>
      </w:r>
      <w:r>
        <w:rPr>
          <w:rFonts w:hint="eastAsia"/>
        </w:rPr>
        <w:fldChar w:fldCharType="end"/>
      </w:r>
      <w:r>
        <w:rPr>
          <w:rFonts w:hint="eastAsia"/>
        </w:rPr>
        <w:t>)</w:t>
      </w:r>
      <w:r>
        <w:rPr>
          <w:rFonts w:hint="default"/>
        </w:rPr>
        <w:t>、</w:t>
      </w:r>
      <w:r>
        <w:rPr>
          <w:rFonts w:hint="eastAsia"/>
        </w:rPr>
        <w:t>八街市全体の受診率は令和</w:t>
      </w:r>
      <w:r>
        <w:rPr>
          <w:rFonts w:hint="eastAsia"/>
        </w:rPr>
        <w:t>3</w:t>
      </w:r>
      <w:r>
        <w:rPr>
          <w:rFonts w:hint="eastAsia"/>
        </w:rPr>
        <w:t>年度が</w:t>
      </w:r>
      <w:r>
        <w:rPr>
          <w:rFonts w:hint="eastAsia"/>
        </w:rPr>
        <w:t>1</w:t>
      </w:r>
      <w:r>
        <w:rPr>
          <w:rFonts w:hint="default"/>
        </w:rPr>
        <w:t>0.2</w:t>
      </w:r>
      <w:r>
        <w:rPr>
          <w:rFonts w:hint="eastAsia"/>
        </w:rPr>
        <w:t>%</w:t>
      </w:r>
      <w:r>
        <w:rPr>
          <w:rFonts w:hint="eastAsia"/>
        </w:rPr>
        <w:t>で、令和</w:t>
      </w:r>
      <w:r>
        <w:rPr>
          <w:rFonts w:hint="eastAsia"/>
        </w:rPr>
        <w:t>1</w:t>
      </w:r>
      <w:r>
        <w:rPr>
          <w:rFonts w:hint="eastAsia"/>
        </w:rPr>
        <w:t>年度と比較して</w:t>
      </w:r>
      <w:r>
        <w:rPr>
          <w:rFonts w:hint="default"/>
        </w:rPr>
        <w:t>0.5</w:t>
      </w:r>
      <w:r>
        <w:rPr>
          <w:rFonts w:hint="eastAsia"/>
        </w:rPr>
        <w:t>ポイント低下している。国保被保険者の受診状況についてみると、令和</w:t>
      </w:r>
      <w:r>
        <w:rPr>
          <w:rFonts w:hint="eastAsia"/>
        </w:rPr>
        <w:t>3</w:t>
      </w:r>
      <w:r>
        <w:rPr>
          <w:rFonts w:hint="eastAsia"/>
        </w:rPr>
        <w:t>年度が</w:t>
      </w:r>
      <w:r>
        <w:rPr>
          <w:rFonts w:hint="eastAsia"/>
        </w:rPr>
        <w:t>1</w:t>
      </w:r>
      <w:r>
        <w:rPr>
          <w:rFonts w:hint="default"/>
        </w:rPr>
        <w:t>0.0</w:t>
      </w:r>
      <w:r>
        <w:rPr>
          <w:rFonts w:hint="eastAsia"/>
        </w:rPr>
        <w:t>%</w:t>
      </w:r>
      <w:r>
        <w:rPr>
          <w:rFonts w:hint="eastAsia"/>
        </w:rPr>
        <w:t>で、令和</w:t>
      </w:r>
      <w:r>
        <w:rPr>
          <w:rFonts w:hint="eastAsia"/>
        </w:rPr>
        <w:t>1</w:t>
      </w:r>
      <w:r>
        <w:rPr>
          <w:rFonts w:hint="eastAsia"/>
        </w:rPr>
        <w:t>年度と比較して</w:t>
      </w:r>
      <w:r>
        <w:rPr>
          <w:rFonts w:hint="default"/>
        </w:rPr>
        <w:t>0.9</w:t>
      </w:r>
      <w:r>
        <w:rPr>
          <w:rFonts w:hint="eastAsia"/>
        </w:rPr>
        <w:t>ポイント低下している。</w:t>
      </w:r>
    </w:p>
    <w:p>
      <w:pPr>
        <w:pStyle w:val="0"/>
        <w:rPr>
          <w:rFonts w:hint="default"/>
          <w:color w:val="FF0000"/>
        </w:rPr>
      </w:pPr>
    </w:p>
    <w:p>
      <w:pPr>
        <w:pStyle w:val="38"/>
        <w:rPr>
          <w:rFonts w:hint="default"/>
        </w:rPr>
      </w:pPr>
      <w:bookmarkStart w:id="97" w:name="_Ref13088501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97"/>
      <w:r>
        <w:rPr>
          <w:rFonts w:hint="default"/>
        </w:rPr>
        <w:t>：</w:t>
      </w:r>
      <w:r>
        <w:rPr>
          <w:rFonts w:hint="eastAsia"/>
        </w:rPr>
        <w:t>子宮</w:t>
      </w:r>
      <w:r>
        <w:rPr>
          <w:rFonts w:hint="default"/>
        </w:rPr>
        <w:t>がん検診の受診状況</w:t>
      </w:r>
    </w:p>
    <w:p>
      <w:pPr>
        <w:pStyle w:val="0"/>
        <w:jc w:val="center"/>
        <w:rPr>
          <w:rFonts w:hint="default"/>
        </w:rPr>
      </w:pPr>
      <w:r>
        <w:rPr>
          <w:rFonts w:hint="default"/>
        </w:rPr>
        <w:drawing>
          <wp:inline distT="0" distB="0" distL="0" distR="0">
            <wp:extent cx="5959475" cy="2979420"/>
            <wp:effectExtent l="0" t="0" r="0" b="0"/>
            <wp:docPr id="1087" name="オブジェクト 0"/>
            <a:graphic xmlns:a="http://schemas.openxmlformats.org/drawingml/2006/main">
              <a:graphicData uri="http://schemas.openxmlformats.org/drawingml/2006/chart">
                <c:chart xmlns:c="http://schemas.openxmlformats.org/drawingml/2006/chart" r:id="rId42"/>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50"/>
        <w:gridCol w:w="2243"/>
        <w:gridCol w:w="2194"/>
        <w:gridCol w:w="2194"/>
        <w:gridCol w:w="2194"/>
      </w:tblGrid>
      <w:tr>
        <w:trPr>
          <w:trHeight w:val="20" w:hRule="atLeast"/>
        </w:trPr>
        <w:tc>
          <w:tcPr>
            <w:tcW w:w="1490" w:type="pct"/>
            <w:gridSpan w:val="2"/>
            <w:shd w:val="clear" w:color="auto" w:fill="CCD6FF"/>
            <w:tcMar>
              <w:top w:w="28" w:type="dxa"/>
              <w:left w:w="28" w:type="dxa"/>
              <w:bottom w:w="28" w:type="dxa"/>
              <w:right w:w="28" w:type="dxa"/>
            </w:tcMar>
            <w:vAlign w:val="center"/>
          </w:tcPr>
          <w:p>
            <w:pPr>
              <w:pStyle w:val="0"/>
              <w:widowControl w:val="0"/>
              <w:rPr>
                <w:rFonts w:hint="default"/>
                <w:b w:val="1"/>
              </w:rPr>
            </w:pP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1</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2</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3</w:t>
            </w:r>
            <w:r>
              <w:rPr>
                <w:rFonts w:hint="default"/>
                <w:b w:val="1"/>
              </w:rPr>
              <w:t>年度</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対象者数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20,890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20,326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19,847</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受診者数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1,065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994</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1,042</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八街市</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10.2%</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国</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15.4%</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県</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17.8%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16.7%</w:t>
            </w:r>
          </w:p>
        </w:tc>
      </w:tr>
      <w:tr>
        <w:trPr>
          <w:trHeight w:val="20" w:hRule="atLeast"/>
        </w:trPr>
        <w:tc>
          <w:tcPr>
            <w:tcW w:w="294" w:type="pct"/>
            <w:vMerge w:val="restart"/>
            <w:tcMar>
              <w:top w:w="28" w:type="dxa"/>
              <w:left w:w="28" w:type="dxa"/>
              <w:bottom w:w="28" w:type="dxa"/>
              <w:right w:w="28" w:type="dxa"/>
            </w:tcMar>
            <w:vAlign w:val="center"/>
          </w:tcPr>
          <w:p>
            <w:pPr>
              <w:pStyle w:val="0"/>
              <w:widowControl w:val="0"/>
              <w:jc w:val="center"/>
              <w:rPr>
                <w:rFonts w:hint="default"/>
              </w:rPr>
            </w:pPr>
            <w:r>
              <w:rPr>
                <w:rFonts w:hint="eastAsia"/>
              </w:rPr>
              <w:t>国保</w:t>
            </w:r>
          </w:p>
        </w:tc>
        <w:tc>
          <w:tcPr>
            <w:tcW w:w="1196" w:type="pct"/>
            <w:tcMar>
              <w:top w:w="28" w:type="dxa"/>
              <w:left w:w="28" w:type="dxa"/>
              <w:bottom w:w="28" w:type="dxa"/>
              <w:right w:w="28" w:type="dxa"/>
            </w:tcMar>
            <w:vAlign w:val="center"/>
          </w:tcPr>
          <w:p>
            <w:pPr>
              <w:pStyle w:val="0"/>
              <w:widowControl w:val="0"/>
              <w:rPr>
                <w:rFonts w:hint="default"/>
              </w:rPr>
            </w:pPr>
            <w:r>
              <w:rPr>
                <w:rFonts w:hint="default"/>
              </w:rPr>
              <w:t>対象者数（国保）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6,228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6,058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5,743</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受診者数（国保）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325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280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294</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八街市（国保）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10.9%</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10.0%</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国（国保）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17.2%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16.2%</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県（国保）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18.6%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17.1%</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16.8%</w:t>
            </w:r>
          </w:p>
        </w:tc>
      </w:tr>
    </w:tbl>
    <w:p>
      <w:pPr>
        <w:pStyle w:val="40"/>
        <w:rPr>
          <w:rFonts w:hint="default"/>
        </w:rPr>
      </w:pPr>
      <w:r>
        <w:rPr>
          <w:rFonts w:hint="default"/>
        </w:rPr>
        <w:t>【出典】厚生労働省</w:t>
      </w:r>
      <w:r>
        <w:rPr>
          <w:rFonts w:hint="default"/>
        </w:rPr>
        <w:t xml:space="preserve"> </w:t>
      </w:r>
      <w:r>
        <w:rPr>
          <w:rFonts w:hint="default"/>
        </w:rPr>
        <w:t>地域保健・健康増進事業報告</w:t>
      </w:r>
      <w:r>
        <w:rPr>
          <w:rFonts w:hint="eastAsia"/>
        </w:rPr>
        <w:t>_</w:t>
      </w:r>
      <w:r>
        <w:rPr>
          <w:rFonts w:hint="eastAsia"/>
        </w:rPr>
        <w:t>令和</w:t>
      </w:r>
      <w:r>
        <w:rPr>
          <w:rFonts w:hint="eastAsia"/>
        </w:rPr>
        <w:t>1</w:t>
      </w:r>
      <w:r>
        <w:rPr>
          <w:rFonts w:hint="eastAsia"/>
        </w:rPr>
        <w:t>年度から令和</w:t>
      </w:r>
      <w:r>
        <w:rPr>
          <w:rFonts w:hint="eastAsia"/>
        </w:rPr>
        <w:t>3</w:t>
      </w:r>
      <w:r>
        <w:rPr>
          <w:rFonts w:hint="eastAsia"/>
        </w:rPr>
        <w:t>年度</w:t>
      </w:r>
    </w:p>
    <w:p>
      <w:pPr>
        <w:pStyle w:val="0"/>
        <w:rPr>
          <w:rFonts w:hint="default"/>
        </w:rPr>
      </w:pPr>
      <w:r>
        <w:rPr>
          <w:rFonts w:hint="default"/>
        </w:rPr>
        <w:br w:type="page"/>
      </w:r>
    </w:p>
    <w:p>
      <w:pPr>
        <w:pStyle w:val="4"/>
        <w:rPr>
          <w:rFonts w:hint="default"/>
        </w:rPr>
      </w:pPr>
      <w:r>
        <w:rPr>
          <w:rFonts w:hint="eastAsia"/>
        </w:rPr>
        <w:t>乳がん検診</w:t>
      </w:r>
      <w:r>
        <w:rPr>
          <w:rFonts w:hint="default"/>
        </w:rPr>
        <w:t>の受診</w:t>
      </w:r>
      <w:r>
        <w:rPr>
          <w:rFonts w:hint="eastAsia"/>
        </w:rPr>
        <w:t>状況</w:t>
      </w:r>
    </w:p>
    <w:p>
      <w:pPr>
        <w:pStyle w:val="39"/>
        <w:ind w:firstLine="200"/>
        <w:rPr>
          <w:rFonts w:hint="default"/>
          <w:color w:val="FF0000"/>
        </w:rPr>
      </w:pPr>
      <w:r>
        <w:rPr>
          <w:rFonts w:hint="eastAsia"/>
        </w:rPr>
        <w:t>乳がん検診の受診状況</w:t>
      </w:r>
      <w:r>
        <w:rPr>
          <w:rFonts w:hint="default"/>
        </w:rPr>
        <w:t>をみると</w:t>
      </w:r>
      <w:r>
        <w:rPr>
          <w:rFonts w:hint="eastAsia"/>
        </w:rPr>
        <w:t>(</w:t>
      </w:r>
      <w:r>
        <w:rPr>
          <w:rFonts w:hint="eastAsia"/>
        </w:rPr>
        <w:fldChar w:fldCharType="begin"/>
      </w:r>
      <w:r>
        <w:rPr>
          <w:rFonts w:hint="eastAsia"/>
        </w:rPr>
        <w:instrText xml:space="preserve">REF _Ref131184559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5</w:t>
      </w:r>
      <w:r>
        <w:rPr>
          <w:rFonts w:hint="eastAsia"/>
        </w:rPr>
        <w:fldChar w:fldCharType="end"/>
      </w:r>
      <w:r>
        <w:rPr>
          <w:rFonts w:hint="eastAsia"/>
        </w:rPr>
        <w:t>)</w:t>
      </w:r>
      <w:r>
        <w:rPr>
          <w:rFonts w:hint="default"/>
        </w:rPr>
        <w:t>、</w:t>
      </w:r>
      <w:r>
        <w:rPr>
          <w:rFonts w:hint="eastAsia"/>
        </w:rPr>
        <w:t>八街市全体の受診率は令和</w:t>
      </w:r>
      <w:r>
        <w:rPr>
          <w:rFonts w:hint="eastAsia"/>
        </w:rPr>
        <w:t>3</w:t>
      </w:r>
      <w:r>
        <w:rPr>
          <w:rFonts w:hint="eastAsia"/>
        </w:rPr>
        <w:t>年度が</w:t>
      </w:r>
      <w:r>
        <w:rPr>
          <w:rFonts w:hint="default"/>
        </w:rPr>
        <w:t>22.6</w:t>
      </w:r>
      <w:r>
        <w:rPr>
          <w:rFonts w:hint="eastAsia"/>
        </w:rPr>
        <w:t>%</w:t>
      </w:r>
      <w:r>
        <w:rPr>
          <w:rFonts w:hint="eastAsia"/>
        </w:rPr>
        <w:t>で、令和</w:t>
      </w:r>
      <w:r>
        <w:rPr>
          <w:rFonts w:hint="eastAsia"/>
        </w:rPr>
        <w:t>1</w:t>
      </w:r>
      <w:r>
        <w:rPr>
          <w:rFonts w:hint="eastAsia"/>
        </w:rPr>
        <w:t>年度と比較して</w:t>
      </w:r>
      <w:r>
        <w:rPr>
          <w:rFonts w:hint="default"/>
        </w:rPr>
        <w:t>3.3</w:t>
      </w:r>
      <w:r>
        <w:rPr>
          <w:rFonts w:hint="eastAsia"/>
        </w:rPr>
        <w:t>ポイント低下している。国保被保険者の受診状況についてみると、令和</w:t>
      </w:r>
      <w:r>
        <w:rPr>
          <w:rFonts w:hint="eastAsia"/>
        </w:rPr>
        <w:t>3</w:t>
      </w:r>
      <w:r>
        <w:rPr>
          <w:rFonts w:hint="eastAsia"/>
        </w:rPr>
        <w:t>年度が</w:t>
      </w:r>
      <w:r>
        <w:rPr>
          <w:rFonts w:hint="eastAsia"/>
        </w:rPr>
        <w:t>2</w:t>
      </w:r>
      <w:r>
        <w:rPr>
          <w:rFonts w:hint="default"/>
        </w:rPr>
        <w:t>2.6</w:t>
      </w:r>
      <w:r>
        <w:rPr>
          <w:rFonts w:hint="eastAsia"/>
        </w:rPr>
        <w:t>%</w:t>
      </w:r>
      <w:r>
        <w:rPr>
          <w:rFonts w:hint="eastAsia"/>
        </w:rPr>
        <w:t>で、令和</w:t>
      </w:r>
      <w:r>
        <w:rPr>
          <w:rFonts w:hint="eastAsia"/>
        </w:rPr>
        <w:t>1</w:t>
      </w:r>
      <w:r>
        <w:rPr>
          <w:rFonts w:hint="eastAsia"/>
        </w:rPr>
        <w:t>年度と比較して</w:t>
      </w:r>
      <w:r>
        <w:rPr>
          <w:rFonts w:hint="eastAsia"/>
        </w:rPr>
        <w:t>6</w:t>
      </w:r>
      <w:r>
        <w:rPr>
          <w:rFonts w:hint="default"/>
        </w:rPr>
        <w:t>.0</w:t>
      </w:r>
      <w:r>
        <w:rPr>
          <w:rFonts w:hint="eastAsia"/>
        </w:rPr>
        <w:t>ポイント低下している。</w:t>
      </w:r>
    </w:p>
    <w:p>
      <w:pPr>
        <w:pStyle w:val="0"/>
        <w:rPr>
          <w:rFonts w:hint="default"/>
          <w:color w:val="FF0000"/>
        </w:rPr>
      </w:pPr>
    </w:p>
    <w:p>
      <w:pPr>
        <w:pStyle w:val="38"/>
        <w:rPr>
          <w:rFonts w:hint="default"/>
        </w:rPr>
      </w:pPr>
      <w:bookmarkStart w:id="98" w:name="_Ref13118455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5</w:t>
      </w:r>
      <w:r>
        <w:rPr>
          <w:rFonts w:hint="eastAsia"/>
        </w:rPr>
        <w:fldChar w:fldCharType="end"/>
      </w:r>
      <w:bookmarkEnd w:id="98"/>
      <w:r>
        <w:rPr>
          <w:rFonts w:hint="default"/>
        </w:rPr>
        <w:t>：</w:t>
      </w:r>
      <w:r>
        <w:rPr>
          <w:rFonts w:hint="eastAsia"/>
        </w:rPr>
        <w:t>乳</w:t>
      </w:r>
      <w:r>
        <w:rPr>
          <w:rFonts w:hint="default"/>
        </w:rPr>
        <w:t>がん検診の受診状況</w:t>
      </w:r>
    </w:p>
    <w:p>
      <w:pPr>
        <w:pStyle w:val="0"/>
        <w:jc w:val="center"/>
        <w:rPr>
          <w:rFonts w:hint="default"/>
        </w:rPr>
      </w:pPr>
      <w:r>
        <w:rPr>
          <w:rFonts w:hint="default"/>
        </w:rPr>
        <w:drawing>
          <wp:inline distT="0" distB="0" distL="0" distR="0">
            <wp:extent cx="5959475" cy="2979420"/>
            <wp:effectExtent l="0" t="0" r="0" b="0"/>
            <wp:docPr id="1088" name="オブジェクト 0"/>
            <a:graphic xmlns:a="http://schemas.openxmlformats.org/drawingml/2006/main">
              <a:graphicData uri="http://schemas.openxmlformats.org/drawingml/2006/chart">
                <c:chart xmlns:c="http://schemas.openxmlformats.org/drawingml/2006/chart" r:id="rId43"/>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50"/>
        <w:gridCol w:w="2243"/>
        <w:gridCol w:w="2194"/>
        <w:gridCol w:w="2194"/>
        <w:gridCol w:w="2194"/>
      </w:tblGrid>
      <w:tr>
        <w:trPr>
          <w:trHeight w:val="20" w:hRule="atLeast"/>
        </w:trPr>
        <w:tc>
          <w:tcPr>
            <w:tcW w:w="1490" w:type="pct"/>
            <w:gridSpan w:val="2"/>
            <w:shd w:val="clear" w:color="auto" w:fill="CCD6FF"/>
            <w:tcMar>
              <w:top w:w="28" w:type="dxa"/>
              <w:left w:w="28" w:type="dxa"/>
              <w:bottom w:w="28" w:type="dxa"/>
              <w:right w:w="28" w:type="dxa"/>
            </w:tcMar>
            <w:vAlign w:val="center"/>
          </w:tcPr>
          <w:p>
            <w:pPr>
              <w:pStyle w:val="0"/>
              <w:widowControl w:val="0"/>
              <w:rPr>
                <w:rFonts w:hint="default"/>
                <w:b w:val="1"/>
              </w:rPr>
            </w:pP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1</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2</w:t>
            </w:r>
            <w:r>
              <w:rPr>
                <w:rFonts w:hint="default"/>
                <w:b w:val="1"/>
              </w:rPr>
              <w:t>年度</w:t>
            </w:r>
          </w:p>
        </w:tc>
        <w:tc>
          <w:tcPr>
            <w:tcW w:w="117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令和</w:t>
            </w:r>
            <w:r>
              <w:rPr>
                <w:rFonts w:hint="default"/>
                <w:b w:val="1"/>
              </w:rPr>
              <w:t>3</w:t>
            </w:r>
            <w:r>
              <w:rPr>
                <w:rFonts w:hint="default"/>
                <w:b w:val="1"/>
              </w:rPr>
              <w:t>年度</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対象者数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14,735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14,307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14,027</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受診者数</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2,844</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2,410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2,449</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八街市</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25.9%</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24.2%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22.6%</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国</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17.0%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15.4%</w:t>
            </w:r>
          </w:p>
        </w:tc>
      </w:tr>
      <w:tr>
        <w:trPr>
          <w:trHeight w:val="20" w:hRule="atLeast"/>
        </w:trPr>
        <w:tc>
          <w:tcPr>
            <w:tcW w:w="1490" w:type="pct"/>
            <w:gridSpan w:val="2"/>
            <w:tcMar>
              <w:top w:w="28" w:type="dxa"/>
              <w:left w:w="28" w:type="dxa"/>
              <w:bottom w:w="28" w:type="dxa"/>
              <w:right w:w="28" w:type="dxa"/>
            </w:tcMar>
            <w:vAlign w:val="center"/>
          </w:tcPr>
          <w:p>
            <w:pPr>
              <w:pStyle w:val="0"/>
              <w:widowControl w:val="0"/>
              <w:rPr>
                <w:rFonts w:hint="default"/>
              </w:rPr>
            </w:pPr>
            <w:r>
              <w:rPr>
                <w:rFonts w:hint="default"/>
              </w:rPr>
              <w:t>県</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21.2%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19.2%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18.9%</w:t>
            </w:r>
          </w:p>
        </w:tc>
      </w:tr>
      <w:tr>
        <w:trPr>
          <w:trHeight w:val="20" w:hRule="atLeast"/>
        </w:trPr>
        <w:tc>
          <w:tcPr>
            <w:tcW w:w="294" w:type="pct"/>
            <w:vMerge w:val="restart"/>
            <w:tcMar>
              <w:top w:w="28" w:type="dxa"/>
              <w:left w:w="28" w:type="dxa"/>
              <w:bottom w:w="28" w:type="dxa"/>
              <w:right w:w="28" w:type="dxa"/>
            </w:tcMar>
            <w:vAlign w:val="center"/>
          </w:tcPr>
          <w:p>
            <w:pPr>
              <w:pStyle w:val="0"/>
              <w:widowControl w:val="0"/>
              <w:jc w:val="center"/>
              <w:rPr>
                <w:rFonts w:hint="default"/>
              </w:rPr>
            </w:pPr>
            <w:r>
              <w:rPr>
                <w:rFonts w:hint="eastAsia"/>
              </w:rPr>
              <w:t>国保</w:t>
            </w:r>
          </w:p>
        </w:tc>
        <w:tc>
          <w:tcPr>
            <w:tcW w:w="1196" w:type="pct"/>
            <w:tcMar>
              <w:top w:w="28" w:type="dxa"/>
              <w:left w:w="28" w:type="dxa"/>
              <w:bottom w:w="28" w:type="dxa"/>
              <w:right w:w="28" w:type="dxa"/>
            </w:tcMar>
            <w:vAlign w:val="center"/>
          </w:tcPr>
          <w:p>
            <w:pPr>
              <w:pStyle w:val="0"/>
              <w:widowControl w:val="0"/>
              <w:rPr>
                <w:rFonts w:hint="default"/>
              </w:rPr>
            </w:pPr>
            <w:r>
              <w:rPr>
                <w:rFonts w:hint="default"/>
              </w:rPr>
              <w:t>対象者数（国保）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4,910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4,815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4,692</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受診者数（国保）</w:t>
            </w:r>
            <w:r>
              <w:rPr>
                <w:rFonts w:hint="eastAsia"/>
              </w:rPr>
              <w:t>（人）</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1,078</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854</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840</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八街市（国保）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28.6%</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25.3%</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22.6%</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国（国保）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20.2%</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18.5%</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18.2%</w:t>
            </w:r>
          </w:p>
        </w:tc>
      </w:tr>
      <w:tr>
        <w:trPr>
          <w:trHeight w:val="20" w:hRule="atLeast"/>
        </w:trPr>
        <w:tc>
          <w:tcPr>
            <w:tcW w:w="294" w:type="pct"/>
            <w:vMerge w:val="continue"/>
            <w:tcMar>
              <w:top w:w="28" w:type="dxa"/>
              <w:left w:w="28" w:type="dxa"/>
              <w:bottom w:w="28" w:type="dxa"/>
              <w:right w:w="28" w:type="dxa"/>
            </w:tcMar>
            <w:vAlign w:val="center"/>
          </w:tcPr>
          <w:p>
            <w:pPr>
              <w:pStyle w:val="0"/>
              <w:widowControl w:val="0"/>
              <w:rPr>
                <w:rFonts w:hint="default"/>
              </w:rPr>
            </w:pPr>
          </w:p>
        </w:tc>
        <w:tc>
          <w:tcPr>
            <w:tcW w:w="1196" w:type="pct"/>
            <w:tcMar>
              <w:top w:w="28" w:type="dxa"/>
              <w:left w:w="28" w:type="dxa"/>
              <w:bottom w:w="28" w:type="dxa"/>
              <w:right w:w="28" w:type="dxa"/>
            </w:tcMar>
            <w:vAlign w:val="center"/>
          </w:tcPr>
          <w:p>
            <w:pPr>
              <w:pStyle w:val="0"/>
              <w:widowControl w:val="0"/>
              <w:rPr>
                <w:rFonts w:hint="default"/>
              </w:rPr>
            </w:pPr>
            <w:r>
              <w:rPr>
                <w:rFonts w:hint="default"/>
              </w:rPr>
              <w:t>県（国保）</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24.7%</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22.0%</w:t>
            </w:r>
          </w:p>
        </w:tc>
        <w:tc>
          <w:tcPr>
            <w:tcW w:w="1170" w:type="pct"/>
            <w:tcMar>
              <w:top w:w="28" w:type="dxa"/>
              <w:left w:w="28" w:type="dxa"/>
              <w:bottom w:w="28" w:type="dxa"/>
              <w:right w:w="28" w:type="dxa"/>
            </w:tcMar>
            <w:vAlign w:val="center"/>
          </w:tcPr>
          <w:p>
            <w:pPr>
              <w:pStyle w:val="0"/>
              <w:widowControl w:val="0"/>
              <w:jc w:val="right"/>
              <w:rPr>
                <w:rFonts w:hint="default"/>
              </w:rPr>
            </w:pPr>
            <w:r>
              <w:rPr>
                <w:rFonts w:hint="default"/>
              </w:rPr>
              <w:t>21.4%</w:t>
            </w:r>
          </w:p>
        </w:tc>
      </w:tr>
    </w:tbl>
    <w:p>
      <w:pPr>
        <w:pStyle w:val="40"/>
        <w:rPr>
          <w:rFonts w:hint="default"/>
          <w:color w:val="FF0000"/>
        </w:rPr>
      </w:pPr>
      <w:r>
        <w:rPr>
          <w:rFonts w:hint="default"/>
        </w:rPr>
        <w:t>【出典】厚生労働省</w:t>
      </w:r>
      <w:r>
        <w:rPr>
          <w:rFonts w:hint="default"/>
        </w:rPr>
        <w:t xml:space="preserve"> </w:t>
      </w:r>
      <w:r>
        <w:rPr>
          <w:rFonts w:hint="default"/>
        </w:rPr>
        <w:t>地域保健・健康増進事業報告</w:t>
      </w:r>
      <w:r>
        <w:rPr>
          <w:rFonts w:hint="eastAsia"/>
        </w:rPr>
        <w:t>_</w:t>
      </w:r>
      <w:r>
        <w:rPr>
          <w:rFonts w:hint="eastAsia"/>
        </w:rPr>
        <w:t>令和</w:t>
      </w:r>
      <w:r>
        <w:rPr>
          <w:rFonts w:hint="eastAsia"/>
        </w:rPr>
        <w:t>1</w:t>
      </w:r>
      <w:r>
        <w:rPr>
          <w:rFonts w:hint="eastAsia"/>
        </w:rPr>
        <w:t>年度から令和</w:t>
      </w:r>
      <w:r>
        <w:rPr>
          <w:rFonts w:hint="eastAsia"/>
        </w:rPr>
        <w:t>3</w:t>
      </w:r>
      <w:r>
        <w:rPr>
          <w:rFonts w:hint="eastAsia"/>
        </w:rPr>
        <w:t>年度</w:t>
      </w:r>
      <w:r>
        <w:rPr>
          <w:rFonts w:hint="default"/>
        </w:rPr>
        <w:br w:type="textWrapping" w:clear="none"/>
      </w:r>
    </w:p>
    <w:p>
      <w:pPr>
        <w:pStyle w:val="4"/>
        <w:rPr>
          <w:rFonts w:hint="default"/>
        </w:rPr>
      </w:pPr>
      <w:r>
        <w:rPr>
          <w:rFonts w:hint="eastAsia"/>
        </w:rPr>
        <w:t>国保被保険者の</w:t>
      </w:r>
      <w:r>
        <w:rPr>
          <w:rFonts w:hint="eastAsia"/>
        </w:rPr>
        <w:t>5</w:t>
      </w:r>
      <w:r>
        <w:rPr>
          <w:rFonts w:hint="eastAsia"/>
        </w:rPr>
        <w:t>がん検診受診状況</w:t>
      </w:r>
    </w:p>
    <w:p>
      <w:pPr>
        <w:pStyle w:val="39"/>
        <w:ind w:firstLine="200"/>
        <w:rPr>
          <w:rFonts w:hint="default"/>
        </w:rPr>
      </w:pPr>
      <w:r>
        <w:rPr>
          <w:rFonts w:hint="eastAsia"/>
        </w:rPr>
        <w:t>国保被保険者におけるがん検診の受診状況</w:t>
      </w:r>
      <w:r>
        <w:rPr>
          <w:rFonts w:hint="default"/>
        </w:rPr>
        <w:t>をみると</w:t>
      </w:r>
      <w:r>
        <w:rPr>
          <w:rFonts w:hint="eastAsia"/>
        </w:rPr>
        <w:t>（</w:t>
      </w:r>
      <w:r>
        <w:rPr>
          <w:rFonts w:hint="eastAsia"/>
        </w:rPr>
        <w:fldChar w:fldCharType="begin"/>
      </w:r>
      <w:r>
        <w:rPr>
          <w:rFonts w:hint="eastAsia"/>
        </w:rPr>
        <w:instrText xml:space="preserve">REF _Ref122543064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6</w:t>
      </w:r>
      <w:r>
        <w:rPr>
          <w:rFonts w:hint="eastAsia"/>
        </w:rPr>
        <w:fldChar w:fldCharType="end"/>
      </w:r>
      <w:r>
        <w:rPr>
          <w:rFonts w:hint="default"/>
        </w:rPr>
        <w:t>）、</w:t>
      </w:r>
      <w:r>
        <w:rPr>
          <w:rFonts w:hint="eastAsia"/>
        </w:rPr>
        <w:t>下表の</w:t>
      </w:r>
      <w:r>
        <w:rPr>
          <w:rFonts w:hint="default"/>
        </w:rPr>
        <w:t>5</w:t>
      </w:r>
      <w:r>
        <w:rPr>
          <w:rFonts w:hint="eastAsia"/>
        </w:rPr>
        <w:t>つの</w:t>
      </w:r>
      <w:r>
        <w:rPr>
          <w:rFonts w:hint="default"/>
        </w:rPr>
        <w:t>がんの</w:t>
      </w:r>
      <w:r>
        <w:rPr>
          <w:rFonts w:hint="eastAsia"/>
        </w:rPr>
        <w:t>検診平均</w:t>
      </w:r>
      <w:r>
        <w:rPr>
          <w:rFonts w:hint="default"/>
        </w:rPr>
        <w:t>受診率は</w:t>
      </w:r>
      <w:r>
        <w:rPr>
          <w:rFonts w:hint="default"/>
        </w:rPr>
        <w:t>14.0%</w:t>
      </w:r>
      <w:r>
        <w:rPr>
          <w:rFonts w:hint="default"/>
        </w:rPr>
        <w:t>で、国・県より低い</w:t>
      </w:r>
      <w:r>
        <w:rPr>
          <w:rFonts w:hint="eastAsia"/>
        </w:rPr>
        <w:t>。</w:t>
      </w:r>
    </w:p>
    <w:p>
      <w:pPr>
        <w:pStyle w:val="0"/>
        <w:tabs>
          <w:tab w:val="right" w:leader="none" w:pos="10204"/>
        </w:tabs>
        <w:rPr>
          <w:rFonts w:hint="default"/>
        </w:rPr>
      </w:pPr>
    </w:p>
    <w:p>
      <w:pPr>
        <w:pStyle w:val="38"/>
        <w:rPr>
          <w:rFonts w:hint="default"/>
        </w:rPr>
      </w:pPr>
      <w:bookmarkStart w:id="99" w:name="_Ref122543064"/>
      <w:bookmarkStart w:id="100" w:name="_Toc12493686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6</w:t>
      </w:r>
      <w:r>
        <w:rPr>
          <w:rFonts w:hint="eastAsia"/>
        </w:rPr>
        <w:fldChar w:fldCharType="end"/>
      </w:r>
      <w:bookmarkEnd w:id="99"/>
      <w:r>
        <w:rPr>
          <w:rFonts w:hint="default"/>
        </w:rPr>
        <w:t>：</w:t>
      </w:r>
      <w:r>
        <w:rPr>
          <w:rFonts w:hint="eastAsia"/>
        </w:rPr>
        <w:t>国保被保険者における</w:t>
      </w:r>
      <w:r>
        <w:rPr>
          <w:rFonts w:hint="default"/>
        </w:rPr>
        <w:t>がん検診の受診状況</w:t>
      </w:r>
      <w:bookmarkEnd w:id="100"/>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31"/>
        <w:gridCol w:w="1307"/>
        <w:gridCol w:w="1307"/>
        <w:gridCol w:w="1307"/>
        <w:gridCol w:w="1307"/>
        <w:gridCol w:w="1307"/>
        <w:gridCol w:w="1309"/>
      </w:tblGrid>
      <w:tr>
        <w:trPr>
          <w:trHeight w:val="20" w:hRule="atLeast"/>
        </w:trPr>
        <w:tc>
          <w:tcPr>
            <w:tcW w:w="816" w:type="pct"/>
            <w:shd w:val="clear" w:color="auto" w:fill="CCD6FF"/>
            <w:tcMar>
              <w:top w:w="28" w:type="dxa"/>
              <w:left w:w="28" w:type="dxa"/>
              <w:bottom w:w="28" w:type="dxa"/>
              <w:right w:w="28" w:type="dxa"/>
            </w:tcMar>
            <w:vAlign w:val="center"/>
          </w:tcPr>
          <w:p>
            <w:pPr>
              <w:pStyle w:val="0"/>
              <w:jc w:val="center"/>
              <w:rPr>
                <w:rFonts w:hint="default"/>
              </w:rPr>
            </w:pPr>
          </w:p>
        </w:tc>
        <w:tc>
          <w:tcPr>
            <w:tcW w:w="69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胃がん</w:t>
            </w:r>
          </w:p>
        </w:tc>
        <w:tc>
          <w:tcPr>
            <w:tcW w:w="69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肺がん</w:t>
            </w:r>
          </w:p>
        </w:tc>
        <w:tc>
          <w:tcPr>
            <w:tcW w:w="69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大腸がん</w:t>
            </w:r>
          </w:p>
        </w:tc>
        <w:tc>
          <w:tcPr>
            <w:tcW w:w="69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子宮頸がん</w:t>
            </w:r>
          </w:p>
        </w:tc>
        <w:tc>
          <w:tcPr>
            <w:tcW w:w="69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乳がん</w:t>
            </w:r>
          </w:p>
        </w:tc>
        <w:tc>
          <w:tcPr>
            <w:tcW w:w="698"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w:t>
            </w:r>
            <w:r>
              <w:rPr>
                <w:rFonts w:hint="default"/>
                <w:b w:val="1"/>
              </w:rPr>
              <w:t>がん平均</w:t>
            </w:r>
          </w:p>
        </w:tc>
      </w:tr>
      <w:tr>
        <w:trPr>
          <w:trHeight w:val="20" w:hRule="atLeast"/>
        </w:trPr>
        <w:tc>
          <w:tcPr>
            <w:tcW w:w="816" w:type="pct"/>
            <w:tcMar>
              <w:top w:w="28" w:type="dxa"/>
              <w:left w:w="28" w:type="dxa"/>
              <w:bottom w:w="28" w:type="dxa"/>
              <w:right w:w="28" w:type="dxa"/>
            </w:tcMar>
            <w:vAlign w:val="center"/>
          </w:tcPr>
          <w:p>
            <w:pPr>
              <w:pStyle w:val="0"/>
              <w:rPr>
                <w:rFonts w:hint="default"/>
              </w:rPr>
            </w:pPr>
            <w:r>
              <w:rPr>
                <w:rFonts w:hint="default"/>
              </w:rPr>
              <w:t>八街市</w:t>
            </w:r>
          </w:p>
        </w:tc>
        <w:tc>
          <w:tcPr>
            <w:tcW w:w="697" w:type="pct"/>
            <w:tcMar>
              <w:top w:w="28" w:type="dxa"/>
              <w:left w:w="28" w:type="dxa"/>
              <w:bottom w:w="28" w:type="dxa"/>
              <w:right w:w="28" w:type="dxa"/>
            </w:tcMar>
            <w:vAlign w:val="center"/>
          </w:tcPr>
          <w:p>
            <w:pPr>
              <w:pStyle w:val="0"/>
              <w:jc w:val="right"/>
              <w:rPr>
                <w:rFonts w:hint="default"/>
              </w:rPr>
            </w:pPr>
            <w:r>
              <w:rPr>
                <w:rFonts w:hint="default"/>
              </w:rPr>
              <w:t>12.4%</w:t>
            </w:r>
          </w:p>
        </w:tc>
        <w:tc>
          <w:tcPr>
            <w:tcW w:w="697" w:type="pct"/>
            <w:tcMar>
              <w:top w:w="28" w:type="dxa"/>
              <w:left w:w="28" w:type="dxa"/>
              <w:bottom w:w="28" w:type="dxa"/>
              <w:right w:w="28" w:type="dxa"/>
            </w:tcMar>
            <w:vAlign w:val="center"/>
          </w:tcPr>
          <w:p>
            <w:pPr>
              <w:pStyle w:val="0"/>
              <w:jc w:val="right"/>
              <w:rPr>
                <w:rFonts w:hint="default"/>
              </w:rPr>
            </w:pPr>
            <w:r>
              <w:rPr>
                <w:rFonts w:hint="default"/>
              </w:rPr>
              <w:t>12.0%</w:t>
            </w:r>
          </w:p>
        </w:tc>
        <w:tc>
          <w:tcPr>
            <w:tcW w:w="697" w:type="pct"/>
            <w:tcMar>
              <w:top w:w="28" w:type="dxa"/>
              <w:left w:w="28" w:type="dxa"/>
              <w:bottom w:w="28" w:type="dxa"/>
              <w:right w:w="28" w:type="dxa"/>
            </w:tcMar>
            <w:vAlign w:val="center"/>
          </w:tcPr>
          <w:p>
            <w:pPr>
              <w:pStyle w:val="0"/>
              <w:jc w:val="right"/>
              <w:rPr>
                <w:rFonts w:hint="default"/>
              </w:rPr>
            </w:pPr>
            <w:r>
              <w:rPr>
                <w:rFonts w:hint="default"/>
              </w:rPr>
              <w:t>12.8%</w:t>
            </w:r>
          </w:p>
        </w:tc>
        <w:tc>
          <w:tcPr>
            <w:tcW w:w="697" w:type="pct"/>
            <w:tcMar>
              <w:top w:w="28" w:type="dxa"/>
              <w:left w:w="28" w:type="dxa"/>
              <w:bottom w:w="28" w:type="dxa"/>
              <w:right w:w="28" w:type="dxa"/>
            </w:tcMar>
            <w:vAlign w:val="center"/>
          </w:tcPr>
          <w:p>
            <w:pPr>
              <w:pStyle w:val="0"/>
              <w:jc w:val="right"/>
              <w:rPr>
                <w:rFonts w:hint="default"/>
              </w:rPr>
            </w:pPr>
            <w:r>
              <w:rPr>
                <w:rFonts w:hint="default"/>
              </w:rPr>
              <w:t>10.0%</w:t>
            </w:r>
          </w:p>
        </w:tc>
        <w:tc>
          <w:tcPr>
            <w:tcW w:w="697" w:type="pct"/>
            <w:tcMar>
              <w:top w:w="28" w:type="dxa"/>
              <w:left w:w="28" w:type="dxa"/>
              <w:bottom w:w="28" w:type="dxa"/>
              <w:right w:w="28" w:type="dxa"/>
            </w:tcMar>
            <w:vAlign w:val="center"/>
          </w:tcPr>
          <w:p>
            <w:pPr>
              <w:pStyle w:val="0"/>
              <w:jc w:val="right"/>
              <w:rPr>
                <w:rFonts w:hint="default"/>
              </w:rPr>
            </w:pPr>
            <w:r>
              <w:rPr>
                <w:rFonts w:hint="default"/>
              </w:rPr>
              <w:t>22.6%</w:t>
            </w:r>
          </w:p>
        </w:tc>
        <w:tc>
          <w:tcPr>
            <w:tcW w:w="698" w:type="pct"/>
            <w:tcMar>
              <w:top w:w="28" w:type="dxa"/>
              <w:left w:w="28" w:type="dxa"/>
              <w:bottom w:w="28" w:type="dxa"/>
              <w:right w:w="28" w:type="dxa"/>
            </w:tcMar>
            <w:vAlign w:val="center"/>
          </w:tcPr>
          <w:p>
            <w:pPr>
              <w:pStyle w:val="0"/>
              <w:jc w:val="right"/>
              <w:rPr>
                <w:rFonts w:hint="default"/>
              </w:rPr>
            </w:pPr>
            <w:r>
              <w:rPr>
                <w:rFonts w:hint="default"/>
              </w:rPr>
              <w:t>14.0%</w:t>
            </w:r>
          </w:p>
        </w:tc>
      </w:tr>
      <w:tr>
        <w:trPr>
          <w:trHeight w:val="20" w:hRule="atLeast"/>
        </w:trPr>
        <w:tc>
          <w:tcPr>
            <w:tcW w:w="816" w:type="pct"/>
            <w:tcMar>
              <w:top w:w="28" w:type="dxa"/>
              <w:left w:w="28" w:type="dxa"/>
              <w:bottom w:w="28" w:type="dxa"/>
              <w:right w:w="28" w:type="dxa"/>
            </w:tcMar>
            <w:vAlign w:val="center"/>
          </w:tcPr>
          <w:p>
            <w:pPr>
              <w:pStyle w:val="0"/>
              <w:rPr>
                <w:rFonts w:hint="default"/>
              </w:rPr>
            </w:pPr>
            <w:r>
              <w:rPr>
                <w:rFonts w:hint="default"/>
              </w:rPr>
              <w:t>国</w:t>
            </w:r>
          </w:p>
        </w:tc>
        <w:tc>
          <w:tcPr>
            <w:tcW w:w="697" w:type="pct"/>
            <w:tcMar>
              <w:top w:w="28" w:type="dxa"/>
              <w:left w:w="28" w:type="dxa"/>
              <w:bottom w:w="28" w:type="dxa"/>
              <w:right w:w="28" w:type="dxa"/>
            </w:tcMar>
            <w:vAlign w:val="center"/>
          </w:tcPr>
          <w:p>
            <w:pPr>
              <w:pStyle w:val="0"/>
              <w:jc w:val="right"/>
              <w:rPr>
                <w:rFonts w:hint="default"/>
              </w:rPr>
            </w:pPr>
            <w:r>
              <w:rPr>
                <w:rFonts w:hint="default"/>
              </w:rPr>
              <w:t>12.1%</w:t>
            </w:r>
          </w:p>
        </w:tc>
        <w:tc>
          <w:tcPr>
            <w:tcW w:w="697" w:type="pct"/>
            <w:tcMar>
              <w:top w:w="28" w:type="dxa"/>
              <w:left w:w="28" w:type="dxa"/>
              <w:bottom w:w="28" w:type="dxa"/>
              <w:right w:w="28" w:type="dxa"/>
            </w:tcMar>
            <w:vAlign w:val="center"/>
          </w:tcPr>
          <w:p>
            <w:pPr>
              <w:pStyle w:val="0"/>
              <w:jc w:val="right"/>
              <w:rPr>
                <w:rFonts w:hint="default"/>
              </w:rPr>
            </w:pPr>
            <w:r>
              <w:rPr>
                <w:rFonts w:hint="default"/>
              </w:rPr>
              <w:t>15.2%</w:t>
            </w:r>
          </w:p>
        </w:tc>
        <w:tc>
          <w:tcPr>
            <w:tcW w:w="697" w:type="pct"/>
            <w:tcMar>
              <w:top w:w="28" w:type="dxa"/>
              <w:left w:w="28" w:type="dxa"/>
              <w:bottom w:w="28" w:type="dxa"/>
              <w:right w:w="28" w:type="dxa"/>
            </w:tcMar>
            <w:vAlign w:val="center"/>
          </w:tcPr>
          <w:p>
            <w:pPr>
              <w:pStyle w:val="0"/>
              <w:jc w:val="right"/>
              <w:rPr>
                <w:rFonts w:hint="default"/>
              </w:rPr>
            </w:pPr>
            <w:r>
              <w:rPr>
                <w:rFonts w:hint="default"/>
              </w:rPr>
              <w:t>16.0%</w:t>
            </w:r>
          </w:p>
        </w:tc>
        <w:tc>
          <w:tcPr>
            <w:tcW w:w="697" w:type="pct"/>
            <w:tcMar>
              <w:top w:w="28" w:type="dxa"/>
              <w:left w:w="28" w:type="dxa"/>
              <w:bottom w:w="28" w:type="dxa"/>
              <w:right w:w="28" w:type="dxa"/>
            </w:tcMar>
            <w:vAlign w:val="center"/>
          </w:tcPr>
          <w:p>
            <w:pPr>
              <w:pStyle w:val="0"/>
              <w:jc w:val="right"/>
              <w:rPr>
                <w:rFonts w:hint="default"/>
              </w:rPr>
            </w:pPr>
            <w:r>
              <w:rPr>
                <w:rFonts w:hint="default"/>
              </w:rPr>
              <w:t>16.2%</w:t>
            </w:r>
          </w:p>
        </w:tc>
        <w:tc>
          <w:tcPr>
            <w:tcW w:w="697" w:type="pct"/>
            <w:tcMar>
              <w:top w:w="28" w:type="dxa"/>
              <w:left w:w="28" w:type="dxa"/>
              <w:bottom w:w="28" w:type="dxa"/>
              <w:right w:w="28" w:type="dxa"/>
            </w:tcMar>
            <w:vAlign w:val="center"/>
          </w:tcPr>
          <w:p>
            <w:pPr>
              <w:pStyle w:val="0"/>
              <w:jc w:val="right"/>
              <w:rPr>
                <w:rFonts w:hint="default"/>
              </w:rPr>
            </w:pPr>
            <w:r>
              <w:rPr>
                <w:rFonts w:hint="default"/>
              </w:rPr>
              <w:t>18.2%</w:t>
            </w:r>
          </w:p>
        </w:tc>
        <w:tc>
          <w:tcPr>
            <w:tcW w:w="698" w:type="pct"/>
            <w:tcMar>
              <w:top w:w="28" w:type="dxa"/>
              <w:left w:w="28" w:type="dxa"/>
              <w:bottom w:w="28" w:type="dxa"/>
              <w:right w:w="28" w:type="dxa"/>
            </w:tcMar>
            <w:vAlign w:val="center"/>
          </w:tcPr>
          <w:p>
            <w:pPr>
              <w:pStyle w:val="0"/>
              <w:jc w:val="right"/>
              <w:rPr>
                <w:rFonts w:hint="default"/>
              </w:rPr>
            </w:pPr>
            <w:r>
              <w:rPr>
                <w:rFonts w:hint="default"/>
              </w:rPr>
              <w:t>15.5%</w:t>
            </w:r>
          </w:p>
        </w:tc>
      </w:tr>
      <w:tr>
        <w:trPr>
          <w:trHeight w:val="20" w:hRule="atLeast"/>
        </w:trPr>
        <w:tc>
          <w:tcPr>
            <w:tcW w:w="816" w:type="pct"/>
            <w:tcMar>
              <w:top w:w="28" w:type="dxa"/>
              <w:left w:w="28" w:type="dxa"/>
              <w:bottom w:w="28" w:type="dxa"/>
              <w:right w:w="28" w:type="dxa"/>
            </w:tcMar>
            <w:vAlign w:val="center"/>
          </w:tcPr>
          <w:p>
            <w:pPr>
              <w:pStyle w:val="0"/>
              <w:rPr>
                <w:rFonts w:hint="default"/>
              </w:rPr>
            </w:pPr>
            <w:r>
              <w:rPr>
                <w:rFonts w:hint="default"/>
              </w:rPr>
              <w:t>県</w:t>
            </w:r>
          </w:p>
        </w:tc>
        <w:tc>
          <w:tcPr>
            <w:tcW w:w="697" w:type="pct"/>
            <w:tcMar>
              <w:top w:w="28" w:type="dxa"/>
              <w:left w:w="28" w:type="dxa"/>
              <w:bottom w:w="28" w:type="dxa"/>
              <w:right w:w="28" w:type="dxa"/>
            </w:tcMar>
            <w:vAlign w:val="center"/>
          </w:tcPr>
          <w:p>
            <w:pPr>
              <w:pStyle w:val="0"/>
              <w:jc w:val="right"/>
              <w:rPr>
                <w:rFonts w:hint="default"/>
              </w:rPr>
            </w:pPr>
            <w:r>
              <w:rPr>
                <w:rFonts w:hint="default"/>
              </w:rPr>
              <w:t>9.7%</w:t>
            </w:r>
          </w:p>
        </w:tc>
        <w:tc>
          <w:tcPr>
            <w:tcW w:w="697" w:type="pct"/>
            <w:tcMar>
              <w:top w:w="28" w:type="dxa"/>
              <w:left w:w="28" w:type="dxa"/>
              <w:bottom w:w="28" w:type="dxa"/>
              <w:right w:w="28" w:type="dxa"/>
            </w:tcMar>
            <w:vAlign w:val="center"/>
          </w:tcPr>
          <w:p>
            <w:pPr>
              <w:pStyle w:val="0"/>
              <w:jc w:val="right"/>
              <w:rPr>
                <w:rFonts w:hint="default"/>
              </w:rPr>
            </w:pPr>
            <w:r>
              <w:rPr>
                <w:rFonts w:hint="default"/>
              </w:rPr>
              <w:t>17.4%</w:t>
            </w:r>
          </w:p>
        </w:tc>
        <w:tc>
          <w:tcPr>
            <w:tcW w:w="697" w:type="pct"/>
            <w:tcMar>
              <w:top w:w="28" w:type="dxa"/>
              <w:left w:w="28" w:type="dxa"/>
              <w:bottom w:w="28" w:type="dxa"/>
              <w:right w:w="28" w:type="dxa"/>
            </w:tcMar>
            <w:vAlign w:val="center"/>
          </w:tcPr>
          <w:p>
            <w:pPr>
              <w:pStyle w:val="0"/>
              <w:jc w:val="right"/>
              <w:rPr>
                <w:rFonts w:hint="default"/>
              </w:rPr>
            </w:pPr>
            <w:r>
              <w:rPr>
                <w:rFonts w:hint="default"/>
              </w:rPr>
              <w:t>16.1%</w:t>
            </w:r>
          </w:p>
        </w:tc>
        <w:tc>
          <w:tcPr>
            <w:tcW w:w="697" w:type="pct"/>
            <w:tcMar>
              <w:top w:w="28" w:type="dxa"/>
              <w:left w:w="28" w:type="dxa"/>
              <w:bottom w:w="28" w:type="dxa"/>
              <w:right w:w="28" w:type="dxa"/>
            </w:tcMar>
            <w:vAlign w:val="center"/>
          </w:tcPr>
          <w:p>
            <w:pPr>
              <w:pStyle w:val="0"/>
              <w:jc w:val="right"/>
              <w:rPr>
                <w:rFonts w:hint="default"/>
              </w:rPr>
            </w:pPr>
            <w:r>
              <w:rPr>
                <w:rFonts w:hint="default"/>
              </w:rPr>
              <w:t>16.8%</w:t>
            </w:r>
          </w:p>
        </w:tc>
        <w:tc>
          <w:tcPr>
            <w:tcW w:w="697" w:type="pct"/>
            <w:tcMar>
              <w:top w:w="28" w:type="dxa"/>
              <w:left w:w="28" w:type="dxa"/>
              <w:bottom w:w="28" w:type="dxa"/>
              <w:right w:w="28" w:type="dxa"/>
            </w:tcMar>
            <w:vAlign w:val="center"/>
          </w:tcPr>
          <w:p>
            <w:pPr>
              <w:pStyle w:val="0"/>
              <w:jc w:val="right"/>
              <w:rPr>
                <w:rFonts w:hint="default"/>
              </w:rPr>
            </w:pPr>
            <w:r>
              <w:rPr>
                <w:rFonts w:hint="default"/>
              </w:rPr>
              <w:t>21.4%</w:t>
            </w:r>
          </w:p>
        </w:tc>
        <w:tc>
          <w:tcPr>
            <w:tcW w:w="698" w:type="pct"/>
            <w:tcMar>
              <w:top w:w="28" w:type="dxa"/>
              <w:left w:w="28" w:type="dxa"/>
              <w:bottom w:w="28" w:type="dxa"/>
              <w:right w:w="28" w:type="dxa"/>
            </w:tcMar>
            <w:vAlign w:val="center"/>
          </w:tcPr>
          <w:p>
            <w:pPr>
              <w:pStyle w:val="0"/>
              <w:jc w:val="right"/>
              <w:rPr>
                <w:rFonts w:hint="default"/>
              </w:rPr>
            </w:pPr>
            <w:r>
              <w:rPr>
                <w:rFonts w:hint="default"/>
              </w:rPr>
              <w:t>16.3%</w:t>
            </w:r>
          </w:p>
        </w:tc>
      </w:tr>
    </w:tbl>
    <w:p>
      <w:pPr>
        <w:pStyle w:val="44"/>
        <w:rPr>
          <w:rFonts w:hint="default"/>
        </w:rPr>
      </w:pPr>
      <w:r>
        <w:rPr>
          <w:rFonts w:hint="default"/>
        </w:rPr>
        <w:t>【出典】厚生労働省</w:t>
      </w:r>
      <w:r>
        <w:rPr>
          <w:rFonts w:hint="default"/>
        </w:rPr>
        <w:t xml:space="preserve"> </w:t>
      </w:r>
      <w:r>
        <w:rPr>
          <w:rFonts w:hint="default"/>
        </w:rPr>
        <w:t>地域保健・健康増進事業報告</w:t>
      </w:r>
      <w:r>
        <w:rPr>
          <w:rFonts w:hint="eastAsia"/>
        </w:rPr>
        <w:t xml:space="preserve"> </w:t>
      </w:r>
      <w:r>
        <w:rPr>
          <w:rFonts w:hint="default"/>
        </w:rPr>
        <w:t>令和</w:t>
      </w:r>
      <w:r>
        <w:rPr>
          <w:rFonts w:hint="default"/>
        </w:rPr>
        <w:t>3</w:t>
      </w:r>
      <w:r>
        <w:rPr>
          <w:rFonts w:hint="default"/>
        </w:rPr>
        <w:t>年度</w:t>
      </w:r>
    </w:p>
    <w:p>
      <w:pPr>
        <w:pStyle w:val="0"/>
        <w:rPr>
          <w:rFonts w:hint="default"/>
        </w:rPr>
      </w:pPr>
    </w:p>
    <w:p>
      <w:pPr>
        <w:pStyle w:val="0"/>
        <w:rPr>
          <w:rFonts w:hint="default"/>
        </w:rPr>
      </w:pPr>
    </w:p>
    <w:p>
      <w:pPr>
        <w:pStyle w:val="2"/>
        <w:rPr>
          <w:rFonts w:hint="default"/>
        </w:rPr>
      </w:pPr>
      <w:bookmarkStart w:id="101" w:name="_Toc162548694"/>
      <w:r>
        <w:rPr>
          <w:rFonts w:hint="default"/>
        </w:rPr>
        <w:t>医療の状況</w:t>
      </w:r>
      <w:bookmarkEnd w:id="101"/>
    </w:p>
    <w:p>
      <w:pPr>
        <w:pStyle w:val="3"/>
        <w:rPr>
          <w:rFonts w:hint="default"/>
        </w:rPr>
      </w:pPr>
      <w:bookmarkStart w:id="102" w:name="_Toc162548695"/>
      <w:r>
        <w:rPr>
          <w:rFonts w:hint="default"/>
        </w:rPr>
        <w:t>医療費の</w:t>
      </w:r>
      <w:r>
        <w:rPr>
          <w:rFonts w:hint="default"/>
        </w:rPr>
        <w:t>3</w:t>
      </w:r>
      <w:r>
        <w:rPr>
          <w:rFonts w:hint="default"/>
        </w:rPr>
        <w:t>要素</w:t>
      </w:r>
      <w:bookmarkEnd w:id="102"/>
    </w:p>
    <w:p>
      <w:pPr>
        <w:pStyle w:val="4"/>
        <w:rPr>
          <w:rFonts w:hint="default"/>
        </w:rPr>
      </w:pPr>
      <w:r>
        <w:rPr>
          <w:rFonts w:hint="eastAsia"/>
        </w:rPr>
        <w:t>総医療費及び一人当たり医療費の推移</w:t>
      </w:r>
    </w:p>
    <w:p>
      <w:pPr>
        <w:pStyle w:val="39"/>
        <w:ind w:firstLine="200"/>
        <w:rPr>
          <w:rFonts w:hint="default"/>
        </w:rPr>
      </w:pPr>
      <w:r>
        <w:rPr>
          <w:rFonts w:hint="eastAsia"/>
        </w:rPr>
        <w:t>ここからは、医療の状況について概観する。</w:t>
      </w:r>
      <w:r>
        <w:rPr>
          <w:rFonts w:hint="default"/>
        </w:rPr>
        <w:t>令和</w:t>
      </w:r>
      <w:r>
        <w:rPr>
          <w:rFonts w:hint="default"/>
        </w:rPr>
        <w:t>4</w:t>
      </w:r>
      <w:r>
        <w:rPr>
          <w:rFonts w:hint="default"/>
        </w:rPr>
        <w:t>年度の総医療費は</w:t>
      </w:r>
      <w:r>
        <w:rPr>
          <w:rFonts w:hint="eastAsia"/>
        </w:rPr>
        <w:t>約</w:t>
      </w:r>
      <w:r>
        <w:rPr>
          <w:rFonts w:hint="default"/>
        </w:rPr>
        <w:t>62</w:t>
      </w:r>
      <w:r>
        <w:rPr>
          <w:rFonts w:hint="default"/>
        </w:rPr>
        <w:t>億</w:t>
      </w:r>
      <w:r>
        <w:rPr>
          <w:rFonts w:hint="default"/>
        </w:rPr>
        <w:t>3,400</w:t>
      </w:r>
      <w:r>
        <w:rPr>
          <w:rFonts w:hint="default"/>
        </w:rPr>
        <w:t>万円で（</w:t>
      </w:r>
      <w:r>
        <w:rPr>
          <w:rFonts w:hint="eastAsia"/>
        </w:rPr>
        <w:fldChar w:fldCharType="begin"/>
      </w:r>
      <w:r>
        <w:rPr>
          <w:rFonts w:hint="eastAsia"/>
        </w:rPr>
        <w:instrText xml:space="preserve">REF _Ref122525728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1</w:t>
      </w:r>
      <w:r>
        <w:rPr>
          <w:rFonts w:hint="eastAsia"/>
        </w:rPr>
        <w:t>-</w:t>
      </w:r>
      <w:r>
        <w:rPr>
          <w:rFonts w:hint="default"/>
        </w:rPr>
        <w:t>1</w:t>
      </w:r>
      <w:r>
        <w:rPr>
          <w:rFonts w:hint="eastAsia"/>
        </w:rPr>
        <w:fldChar w:fldCharType="end"/>
      </w:r>
      <w:r>
        <w:rPr>
          <w:rFonts w:hint="default"/>
        </w:rPr>
        <w:t>）、令和</w:t>
      </w:r>
      <w:r>
        <w:rPr>
          <w:rFonts w:hint="default"/>
        </w:rPr>
        <w:t>1</w:t>
      </w:r>
      <w:r>
        <w:rPr>
          <w:rFonts w:hint="default"/>
        </w:rPr>
        <w:t>年度</w:t>
      </w:r>
      <w:r>
        <w:rPr>
          <w:rFonts w:hint="eastAsia"/>
        </w:rPr>
        <w:t>と比較して</w:t>
      </w:r>
      <w:r>
        <w:rPr>
          <w:rFonts w:hint="default"/>
        </w:rPr>
        <w:t>0.6%</w:t>
      </w:r>
      <w:r>
        <w:rPr>
          <w:rFonts w:hint="default"/>
        </w:rPr>
        <w:t>減少している。令和</w:t>
      </w:r>
      <w:r>
        <w:rPr>
          <w:rFonts w:hint="default"/>
        </w:rPr>
        <w:t>4</w:t>
      </w:r>
      <w:r>
        <w:rPr>
          <w:rFonts w:hint="default"/>
        </w:rPr>
        <w:t>年度</w:t>
      </w:r>
      <w:r>
        <w:rPr>
          <w:rFonts w:hint="eastAsia"/>
        </w:rPr>
        <w:t>の総医療費に占める入院医療費の割合は</w:t>
      </w:r>
      <w:r>
        <w:rPr>
          <w:rFonts w:hint="default"/>
        </w:rPr>
        <w:t>37.6%</w:t>
      </w:r>
      <w:r>
        <w:rPr>
          <w:rFonts w:hint="default"/>
        </w:rPr>
        <w:t>、外来</w:t>
      </w:r>
      <w:r>
        <w:rPr>
          <w:rFonts w:hint="eastAsia"/>
        </w:rPr>
        <w:t>医療費の割合は</w:t>
      </w:r>
      <w:r>
        <w:rPr>
          <w:rFonts w:hint="default"/>
        </w:rPr>
        <w:t>62.4%</w:t>
      </w:r>
      <w:r>
        <w:rPr>
          <w:rFonts w:hint="default"/>
        </w:rPr>
        <w:t>となっている。</w:t>
      </w:r>
    </w:p>
    <w:p>
      <w:pPr>
        <w:pStyle w:val="39"/>
        <w:ind w:firstLine="200"/>
        <w:rPr>
          <w:rFonts w:hint="default"/>
        </w:rPr>
      </w:pPr>
      <w:r>
        <w:rPr>
          <w:rFonts w:hint="default"/>
        </w:rPr>
        <w:t>令和</w:t>
      </w:r>
      <w:r>
        <w:rPr>
          <w:rFonts w:hint="default"/>
        </w:rPr>
        <w:t>4</w:t>
      </w:r>
      <w:r>
        <w:rPr>
          <w:rFonts w:hint="default"/>
        </w:rPr>
        <w:t>年度の</w:t>
      </w:r>
      <w:r>
        <w:rPr>
          <w:rFonts w:hint="eastAsia"/>
        </w:rPr>
        <w:t>1</w:t>
      </w:r>
      <w:r>
        <w:rPr>
          <w:rFonts w:hint="eastAsia"/>
        </w:rPr>
        <w:t>か月当たりの</w:t>
      </w:r>
      <w:r>
        <w:rPr>
          <w:rFonts w:hint="default"/>
        </w:rPr>
        <w:t>一人当たり医療費は</w:t>
      </w:r>
      <w:r>
        <w:rPr>
          <w:rFonts w:hint="default"/>
        </w:rPr>
        <w:t>2</w:t>
      </w:r>
      <w:r>
        <w:rPr>
          <w:rFonts w:hint="default"/>
        </w:rPr>
        <w:t>万</w:t>
      </w:r>
      <w:r>
        <w:rPr>
          <w:rFonts w:hint="default"/>
        </w:rPr>
        <w:t>6,710</w:t>
      </w:r>
      <w:r>
        <w:rPr>
          <w:rFonts w:hint="default"/>
        </w:rPr>
        <w:t>円で、令和</w:t>
      </w:r>
      <w:r>
        <w:rPr>
          <w:rFonts w:hint="default"/>
        </w:rPr>
        <w:t>1</w:t>
      </w:r>
      <w:r>
        <w:rPr>
          <w:rFonts w:hint="default"/>
        </w:rPr>
        <w:t>年度</w:t>
      </w:r>
      <w:r>
        <w:rPr>
          <w:rFonts w:hint="eastAsia"/>
        </w:rPr>
        <w:t>と比較して</w:t>
      </w:r>
      <w:r>
        <w:rPr>
          <w:rFonts w:hint="default"/>
        </w:rPr>
        <w:t>4.5%</w:t>
      </w:r>
      <w:r>
        <w:rPr>
          <w:rFonts w:hint="default"/>
        </w:rPr>
        <w:t>増加している。国</w:t>
      </w:r>
      <w:r>
        <w:rPr>
          <w:rFonts w:hint="eastAsia"/>
        </w:rPr>
        <w:t>や</w:t>
      </w:r>
      <w:r>
        <w:rPr>
          <w:rFonts w:hint="default"/>
        </w:rPr>
        <w:t>県と比較すると一人当たり医療費は国・県より低い。</w:t>
      </w:r>
    </w:p>
    <w:p>
      <w:pPr>
        <w:pStyle w:val="39"/>
        <w:ind w:firstLine="200"/>
        <w:rPr>
          <w:rFonts w:hint="default"/>
        </w:rPr>
      </w:pPr>
      <w:r>
        <w:rPr>
          <w:rFonts w:hint="eastAsia"/>
        </w:rPr>
        <w:t>医療費を集団や経年で比較する際には、総医療費を加入者数で割った一人当たり医療費が用いられる。一人当たり医療費は、受診率、レセプト一件当たり日数、及び一日当たり医療費を乗じて算出できることから、次頁以降は、一人当たり医療費をこれらの</w:t>
      </w:r>
      <w:r>
        <w:rPr>
          <w:rFonts w:hint="eastAsia"/>
        </w:rPr>
        <w:t>3</w:t>
      </w:r>
      <w:r>
        <w:rPr>
          <w:rFonts w:hint="eastAsia"/>
        </w:rPr>
        <w:t>要素に分解して分析する。</w:t>
      </w:r>
    </w:p>
    <w:p>
      <w:pPr>
        <w:pStyle w:val="0"/>
        <w:rPr>
          <w:rFonts w:hint="default"/>
        </w:rPr>
      </w:pPr>
    </w:p>
    <w:p>
      <w:pPr>
        <w:pStyle w:val="38"/>
        <w:rPr>
          <w:rFonts w:hint="default"/>
        </w:rPr>
      </w:pPr>
      <w:bookmarkStart w:id="103" w:name="_Ref122525728"/>
      <w:bookmarkStart w:id="104" w:name="_Toc12493682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03"/>
      <w:r>
        <w:rPr>
          <w:rFonts w:hint="default"/>
        </w:rPr>
        <w:t>：総医療費</w:t>
      </w:r>
      <w:r>
        <w:rPr>
          <w:rFonts w:hint="eastAsia"/>
        </w:rPr>
        <w:t>・</w:t>
      </w:r>
      <w:r>
        <w:rPr>
          <w:rFonts w:hint="default"/>
        </w:rPr>
        <w:t>一人</w:t>
      </w:r>
      <w:bookmarkEnd w:id="104"/>
      <w:r>
        <w:rPr>
          <w:rFonts w:hint="default"/>
        </w:rPr>
        <w:t>当たり</w:t>
      </w:r>
      <w:r>
        <w:rPr>
          <w:rFonts w:hint="eastAsia"/>
        </w:rPr>
        <w:t>の</w:t>
      </w:r>
      <w:r>
        <w:rPr>
          <w:rFonts w:hint="default"/>
        </w:rPr>
        <w:t>医療費</w:t>
      </w:r>
    </w:p>
    <w:p>
      <w:pPr>
        <w:pStyle w:val="0"/>
        <w:jc w:val="center"/>
        <w:rPr>
          <w:rFonts w:hint="default"/>
        </w:rPr>
      </w:pPr>
      <w:r>
        <w:rPr>
          <w:rFonts w:hint="default"/>
        </w:rPr>
        <w:drawing>
          <wp:inline distT="0" distB="0" distL="0" distR="0">
            <wp:extent cx="5939790" cy="2519680"/>
            <wp:effectExtent l="0" t="0" r="0" b="0"/>
            <wp:docPr id="1089" name="オブジェクト 0"/>
            <a:graphic xmlns:a="http://schemas.openxmlformats.org/drawingml/2006/main">
              <a:graphicData uri="http://schemas.openxmlformats.org/drawingml/2006/chart">
                <c:chart xmlns:c="http://schemas.openxmlformats.org/drawingml/2006/chart" r:id="rId44"/>
              </a:graphicData>
            </a:graphic>
          </wp:inline>
        </w:drawing>
      </w:r>
    </w:p>
    <w:tbl>
      <w:tblPr>
        <w:tblStyle w:val="17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0" w:lastRow="0" w:firstColumn="0" w:lastColumn="0" w:noHBand="1" w:noVBand="1" w:val="0600"/>
      </w:tblPr>
      <w:tblGrid>
        <w:gridCol w:w="986"/>
        <w:gridCol w:w="1134"/>
        <w:gridCol w:w="1418"/>
        <w:gridCol w:w="1418"/>
        <w:gridCol w:w="1418"/>
        <w:gridCol w:w="1418"/>
        <w:gridCol w:w="615"/>
        <w:gridCol w:w="968"/>
      </w:tblGrid>
      <w:tr>
        <w:trPr>
          <w:trHeight w:val="20" w:hRule="atLeast"/>
        </w:trPr>
        <w:tc>
          <w:tcPr>
            <w:tcW w:w="1131" w:type="pct"/>
            <w:gridSpan w:val="2"/>
            <w:vMerge w:val="restart"/>
            <w:shd w:val="clear" w:color="auto" w:fill="CCD6FF"/>
            <w:tcMar>
              <w:top w:w="28" w:type="dxa"/>
              <w:left w:w="28" w:type="dxa"/>
              <w:bottom w:w="28" w:type="dxa"/>
              <w:right w:w="28" w:type="dxa"/>
            </w:tcMar>
            <w:vAlign w:val="center"/>
          </w:tcPr>
          <w:p>
            <w:pPr>
              <w:pStyle w:val="0"/>
              <w:jc w:val="center"/>
              <w:rPr>
                <w:rFonts w:hint="default"/>
              </w:rPr>
            </w:pPr>
          </w:p>
        </w:tc>
        <w:tc>
          <w:tcPr>
            <w:tcW w:w="756"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756"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756"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756"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844" w:type="pct"/>
            <w:gridSpan w:val="2"/>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ascii="BIZ UDPゴシック" w:hAnsi="BIZ UDPゴシック" w:eastAsia="BIZ UDPゴシック"/>
                <w:b w:val="1"/>
              </w:rPr>
            </w:pPr>
          </w:p>
        </w:tc>
      </w:tr>
      <w:tr>
        <w:trPr>
          <w:trHeight w:val="20" w:hRule="atLeast"/>
        </w:trPr>
        <w:tc>
          <w:tcPr>
            <w:tcW w:w="1131" w:type="pct"/>
            <w:gridSpan w:val="2"/>
            <w:vMerge w:val="continue"/>
            <w:tcMar>
              <w:top w:w="28" w:type="dxa"/>
              <w:left w:w="28" w:type="dxa"/>
              <w:bottom w:w="28" w:type="dxa"/>
              <w:right w:w="28" w:type="dxa"/>
            </w:tcMar>
            <w:vAlign w:val="center"/>
          </w:tcPr>
          <w:p>
            <w:pPr>
              <w:pStyle w:val="0"/>
              <w:jc w:val="center"/>
              <w:rPr>
                <w:rFonts w:hint="default"/>
              </w:rPr>
            </w:pPr>
          </w:p>
        </w:tc>
        <w:tc>
          <w:tcPr>
            <w:tcW w:w="756" w:type="pct"/>
            <w:vMerge w:val="continue"/>
            <w:tcMar>
              <w:top w:w="28" w:type="dxa"/>
              <w:left w:w="28" w:type="dxa"/>
              <w:bottom w:w="28" w:type="dxa"/>
              <w:right w:w="28" w:type="dxa"/>
            </w:tcMar>
            <w:vAlign w:val="center"/>
          </w:tcPr>
          <w:p>
            <w:pPr>
              <w:pStyle w:val="0"/>
              <w:jc w:val="center"/>
              <w:rPr>
                <w:rFonts w:hint="default" w:ascii="BIZ UDPゴシック" w:hAnsi="BIZ UDPゴシック" w:eastAsia="BIZ UDPゴシック"/>
                <w:b w:val="1"/>
              </w:rPr>
            </w:pPr>
          </w:p>
        </w:tc>
        <w:tc>
          <w:tcPr>
            <w:tcW w:w="756" w:type="pct"/>
            <w:vMerge w:val="continue"/>
            <w:tcMar>
              <w:top w:w="28" w:type="dxa"/>
              <w:left w:w="28" w:type="dxa"/>
              <w:bottom w:w="28" w:type="dxa"/>
              <w:right w:w="28" w:type="dxa"/>
            </w:tcMar>
            <w:vAlign w:val="center"/>
          </w:tcPr>
          <w:p>
            <w:pPr>
              <w:pStyle w:val="0"/>
              <w:jc w:val="center"/>
              <w:rPr>
                <w:rFonts w:hint="default" w:ascii="BIZ UDPゴシック" w:hAnsi="BIZ UDPゴシック" w:eastAsia="BIZ UDPゴシック"/>
                <w:b w:val="1"/>
              </w:rPr>
            </w:pPr>
          </w:p>
        </w:tc>
        <w:tc>
          <w:tcPr>
            <w:tcW w:w="756" w:type="pct"/>
            <w:vMerge w:val="continue"/>
            <w:tcMar>
              <w:top w:w="28" w:type="dxa"/>
              <w:left w:w="28" w:type="dxa"/>
              <w:bottom w:w="28" w:type="dxa"/>
              <w:right w:w="28" w:type="dxa"/>
            </w:tcMar>
            <w:vAlign w:val="center"/>
          </w:tcPr>
          <w:p>
            <w:pPr>
              <w:pStyle w:val="0"/>
              <w:jc w:val="center"/>
              <w:rPr>
                <w:rFonts w:hint="default" w:ascii="BIZ UDPゴシック" w:hAnsi="BIZ UDPゴシック" w:eastAsia="BIZ UDPゴシック"/>
                <w:b w:val="1"/>
              </w:rPr>
            </w:pPr>
          </w:p>
        </w:tc>
        <w:tc>
          <w:tcPr>
            <w:tcW w:w="756" w:type="pct"/>
            <w:vMerge w:val="continue"/>
            <w:tcMar>
              <w:top w:w="28" w:type="dxa"/>
              <w:left w:w="28" w:type="dxa"/>
              <w:bottom w:w="28" w:type="dxa"/>
              <w:right w:w="28" w:type="dxa"/>
            </w:tcMar>
            <w:vAlign w:val="center"/>
          </w:tcPr>
          <w:p>
            <w:pPr>
              <w:pStyle w:val="0"/>
              <w:jc w:val="center"/>
              <w:rPr>
                <w:rFonts w:hint="default" w:ascii="BIZ UDPゴシック" w:hAnsi="BIZ UDPゴシック" w:eastAsia="BIZ UDPゴシック"/>
                <w:b w:val="1"/>
              </w:rPr>
            </w:pPr>
          </w:p>
        </w:tc>
        <w:tc>
          <w:tcPr>
            <w:tcW w:w="328" w:type="pct"/>
            <w:shd w:val="clear" w:color="auto" w:fill="E8ECF4"/>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516" w:type="pct"/>
            <w:shd w:val="clear" w:color="auto" w:fill="E8ECF4"/>
            <w:tcMar>
              <w:top w:w="28" w:type="dxa"/>
              <w:left w:w="28" w:type="dxa"/>
              <w:bottom w:w="28" w:type="dxa"/>
              <w:right w:w="28" w:type="dxa"/>
            </w:tcMar>
            <w:vAlign w:val="top"/>
          </w:tcPr>
          <w:p>
            <w:pPr>
              <w:pStyle w:val="0"/>
              <w:jc w:val="center"/>
              <w:rPr>
                <w:rFonts w:hint="default"/>
                <w:b w:val="1"/>
                <w:sz w:val="14"/>
              </w:rPr>
            </w:pPr>
            <w:r>
              <w:rPr>
                <w:rFonts w:hint="default"/>
                <w:b w:val="1"/>
                <w:sz w:val="14"/>
              </w:rPr>
              <w:t>令和</w:t>
            </w:r>
            <w:r>
              <w:rPr>
                <w:rFonts w:hint="default"/>
                <w:b w:val="1"/>
                <w:sz w:val="14"/>
              </w:rPr>
              <w:t>1</w:t>
            </w:r>
            <w:r>
              <w:rPr>
                <w:rFonts w:hint="default"/>
                <w:b w:val="1"/>
                <w:sz w:val="14"/>
              </w:rPr>
              <w:t>年度からの</w:t>
            </w:r>
            <w:r>
              <w:rPr>
                <w:rFonts w:hint="eastAsia"/>
                <w:b w:val="1"/>
                <w:sz w:val="14"/>
              </w:rPr>
              <w:t>変化率（</w:t>
            </w:r>
            <w:r>
              <w:rPr>
                <w:rFonts w:hint="eastAsia"/>
                <w:b w:val="1"/>
                <w:sz w:val="14"/>
              </w:rPr>
              <w:t>%</w:t>
            </w:r>
            <w:r>
              <w:rPr>
                <w:rFonts w:hint="eastAsia"/>
                <w:b w:val="1"/>
                <w:sz w:val="14"/>
              </w:rPr>
              <w:t>）</w:t>
            </w:r>
          </w:p>
        </w:tc>
      </w:tr>
      <w:tr>
        <w:trPr>
          <w:trHeight w:val="20" w:hRule="atLeast"/>
        </w:trPr>
        <w:tc>
          <w:tcPr>
            <w:tcW w:w="526" w:type="pct"/>
            <w:vMerge w:val="restar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医療費</w:t>
            </w:r>
          </w:p>
          <w:p>
            <w:pPr>
              <w:pStyle w:val="0"/>
              <w:rPr>
                <w:rFonts w:hint="default" w:ascii="BIZ UDPゴシック" w:hAnsi="BIZ UDPゴシック" w:eastAsia="BIZ UDPゴシック"/>
              </w:rPr>
            </w:pPr>
            <w:r>
              <w:rPr>
                <w:rFonts w:hint="default" w:ascii="BIZ UDPゴシック" w:hAnsi="BIZ UDPゴシック" w:eastAsia="BIZ UDPゴシック"/>
              </w:rPr>
              <w:t>（円）</w:t>
            </w: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総額</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6,269,925,550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6,205,248,840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6,480,434,190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6,233,886,570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16" w:type="pct"/>
            <w:tcMar>
              <w:top w:w="28" w:type="dxa"/>
              <w:left w:w="28" w:type="dxa"/>
              <w:bottom w:w="28" w:type="dxa"/>
              <w:right w:w="28" w:type="dxa"/>
            </w:tcMar>
            <w:vAlign w:val="center"/>
          </w:tcPr>
          <w:p>
            <w:pPr>
              <w:pStyle w:val="0"/>
              <w:jc w:val="right"/>
              <w:rPr>
                <w:rFonts w:hint="default"/>
              </w:rPr>
            </w:pPr>
            <w:r>
              <w:rPr>
                <w:rFonts w:hint="eastAsia"/>
              </w:rPr>
              <w:t>-0.6</w:t>
            </w:r>
          </w:p>
        </w:tc>
      </w:tr>
      <w:tr>
        <w:trPr>
          <w:trHeight w:val="20" w:hRule="atLeast"/>
        </w:trPr>
        <w:tc>
          <w:tcPr>
            <w:tcW w:w="526" w:type="pct"/>
            <w:vMerge w:val="continue"/>
            <w:tcMar>
              <w:top w:w="28" w:type="dxa"/>
              <w:left w:w="28" w:type="dxa"/>
              <w:bottom w:w="28" w:type="dxa"/>
              <w:right w:w="28" w:type="dxa"/>
            </w:tcMar>
            <w:vAlign w:val="center"/>
          </w:tcPr>
          <w:p>
            <w:pPr>
              <w:pStyle w:val="0"/>
              <w:rPr>
                <w:rFonts w:hint="default" w:ascii="BIZ UDPゴシック" w:hAnsi="BIZ UDPゴシック" w:eastAsia="BIZ UDPゴシック"/>
              </w:rPr>
            </w:pP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入院</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2,371,557,650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2,369,641,310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2,565,057,870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2,346,231,840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eastAsia"/>
              </w:rPr>
              <w:t>37.6%</w:t>
            </w:r>
          </w:p>
        </w:tc>
        <w:tc>
          <w:tcPr>
            <w:tcW w:w="516" w:type="pct"/>
            <w:tcMar>
              <w:top w:w="28" w:type="dxa"/>
              <w:left w:w="28" w:type="dxa"/>
              <w:bottom w:w="28" w:type="dxa"/>
              <w:right w:w="28" w:type="dxa"/>
            </w:tcMar>
            <w:vAlign w:val="center"/>
          </w:tcPr>
          <w:p>
            <w:pPr>
              <w:pStyle w:val="0"/>
              <w:jc w:val="right"/>
              <w:rPr>
                <w:rFonts w:hint="default"/>
              </w:rPr>
            </w:pPr>
            <w:r>
              <w:rPr>
                <w:rFonts w:hint="eastAsia"/>
              </w:rPr>
              <w:t>-1.1</w:t>
            </w:r>
          </w:p>
        </w:tc>
      </w:tr>
      <w:tr>
        <w:trPr>
          <w:trHeight w:val="25" w:hRule="atLeast"/>
        </w:trPr>
        <w:tc>
          <w:tcPr>
            <w:tcW w:w="526" w:type="pct"/>
            <w:vMerge w:val="continue"/>
            <w:tcMar>
              <w:top w:w="28" w:type="dxa"/>
              <w:left w:w="28" w:type="dxa"/>
              <w:bottom w:w="28" w:type="dxa"/>
              <w:right w:w="28" w:type="dxa"/>
            </w:tcMar>
            <w:vAlign w:val="center"/>
          </w:tcPr>
          <w:p>
            <w:pPr>
              <w:pStyle w:val="0"/>
              <w:rPr>
                <w:rFonts w:hint="default" w:ascii="BIZ UDPゴシック" w:hAnsi="BIZ UDPゴシック" w:eastAsia="BIZ UDPゴシック"/>
              </w:rPr>
            </w:pP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外来</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3,898,367,900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3,835,607,530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3,915,376,320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3,887,654,730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eastAsia"/>
              </w:rPr>
              <w:t>62.4%</w:t>
            </w:r>
          </w:p>
        </w:tc>
        <w:tc>
          <w:tcPr>
            <w:tcW w:w="516" w:type="pct"/>
            <w:tcMar>
              <w:top w:w="28" w:type="dxa"/>
              <w:left w:w="28" w:type="dxa"/>
              <w:bottom w:w="28" w:type="dxa"/>
              <w:right w:w="28" w:type="dxa"/>
            </w:tcMar>
            <w:vAlign w:val="center"/>
          </w:tcPr>
          <w:p>
            <w:pPr>
              <w:pStyle w:val="0"/>
              <w:jc w:val="right"/>
              <w:rPr>
                <w:rFonts w:hint="default"/>
              </w:rPr>
            </w:pPr>
            <w:r>
              <w:rPr>
                <w:rFonts w:hint="eastAsia"/>
              </w:rPr>
              <w:t>-0.3</w:t>
            </w:r>
          </w:p>
        </w:tc>
      </w:tr>
      <w:tr>
        <w:trPr>
          <w:trHeight w:val="25" w:hRule="atLeast"/>
        </w:trPr>
        <w:tc>
          <w:tcPr>
            <w:tcW w:w="526" w:type="pct"/>
            <w:vMerge w:val="restar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一人当たり</w:t>
            </w:r>
          </w:p>
          <w:p>
            <w:pPr>
              <w:pStyle w:val="0"/>
              <w:rPr>
                <w:rFonts w:hint="default" w:ascii="BIZ UDPゴシック" w:hAnsi="BIZ UDPゴシック" w:eastAsia="BIZ UDPゴシック"/>
              </w:rPr>
            </w:pPr>
            <w:r>
              <w:rPr>
                <w:rFonts w:hint="eastAsia" w:ascii="BIZ UDPゴシック" w:hAnsi="BIZ UDPゴシック" w:eastAsia="BIZ UDPゴシック"/>
              </w:rPr>
              <w:t>月額</w:t>
            </w:r>
            <w:r>
              <w:rPr>
                <w:rFonts w:hint="default" w:ascii="BIZ UDPゴシック" w:hAnsi="BIZ UDPゴシック" w:eastAsia="BIZ UDPゴシック"/>
              </w:rPr>
              <w:t>医療費</w:t>
            </w:r>
          </w:p>
          <w:p>
            <w:pPr>
              <w:pStyle w:val="0"/>
              <w:rPr>
                <w:rFonts w:hint="default" w:ascii="BIZ UDPゴシック" w:hAnsi="BIZ UDPゴシック" w:eastAsia="BIZ UDPゴシック"/>
              </w:rPr>
            </w:pPr>
            <w:r>
              <w:rPr>
                <w:rFonts w:hint="default" w:ascii="BIZ UDPゴシック" w:hAnsi="BIZ UDPゴシック" w:eastAsia="BIZ UDPゴシック"/>
              </w:rPr>
              <w:t>（円）</w:t>
            </w: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八街市</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25,560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25,530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27,310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26,710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16" w:type="pct"/>
            <w:tcMar>
              <w:top w:w="28" w:type="dxa"/>
              <w:left w:w="28" w:type="dxa"/>
              <w:bottom w:w="28" w:type="dxa"/>
              <w:right w:w="28" w:type="dxa"/>
            </w:tcMar>
            <w:vAlign w:val="center"/>
          </w:tcPr>
          <w:p>
            <w:pPr>
              <w:pStyle w:val="0"/>
              <w:jc w:val="right"/>
              <w:rPr>
                <w:rFonts w:hint="default"/>
              </w:rPr>
            </w:pPr>
            <w:r>
              <w:rPr>
                <w:rFonts w:hint="eastAsia"/>
              </w:rPr>
              <w:t>4.5</w:t>
            </w:r>
          </w:p>
        </w:tc>
      </w:tr>
      <w:tr>
        <w:trPr>
          <w:trHeight w:val="25" w:hRule="atLeast"/>
        </w:trPr>
        <w:tc>
          <w:tcPr>
            <w:tcW w:w="526" w:type="pct"/>
            <w:vMerge w:val="continue"/>
            <w:tcMar>
              <w:top w:w="28" w:type="dxa"/>
              <w:left w:w="28" w:type="dxa"/>
              <w:bottom w:w="28" w:type="dxa"/>
              <w:right w:w="28" w:type="dxa"/>
            </w:tcMar>
            <w:vAlign w:val="center"/>
          </w:tcPr>
          <w:p>
            <w:pPr>
              <w:pStyle w:val="0"/>
              <w:rPr>
                <w:rFonts w:hint="default" w:ascii="BIZ UDPゴシック" w:hAnsi="BIZ UDPゴシック" w:eastAsia="BIZ UDPゴシック"/>
              </w:rPr>
            </w:pP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国</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27,470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26,960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28,470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29,050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16" w:type="pct"/>
            <w:tcMar>
              <w:top w:w="28" w:type="dxa"/>
              <w:left w:w="28" w:type="dxa"/>
              <w:bottom w:w="28" w:type="dxa"/>
              <w:right w:w="28" w:type="dxa"/>
            </w:tcMar>
            <w:vAlign w:val="center"/>
          </w:tcPr>
          <w:p>
            <w:pPr>
              <w:pStyle w:val="0"/>
              <w:jc w:val="right"/>
              <w:rPr>
                <w:rFonts w:hint="default"/>
              </w:rPr>
            </w:pPr>
            <w:r>
              <w:rPr>
                <w:rFonts w:hint="eastAsia"/>
              </w:rPr>
              <w:t>5.8</w:t>
            </w:r>
          </w:p>
        </w:tc>
      </w:tr>
      <w:tr>
        <w:trPr>
          <w:trHeight w:val="20" w:hRule="atLeast"/>
        </w:trPr>
        <w:tc>
          <w:tcPr>
            <w:tcW w:w="526" w:type="pct"/>
            <w:vMerge w:val="continue"/>
            <w:tcMar>
              <w:top w:w="28" w:type="dxa"/>
              <w:left w:w="28" w:type="dxa"/>
              <w:bottom w:w="28" w:type="dxa"/>
              <w:right w:w="28" w:type="dxa"/>
            </w:tcMar>
            <w:vAlign w:val="center"/>
          </w:tcPr>
          <w:p>
            <w:pPr>
              <w:pStyle w:val="0"/>
              <w:rPr>
                <w:rFonts w:hint="default" w:ascii="BIZ UDPゴシック" w:hAnsi="BIZ UDPゴシック" w:eastAsia="BIZ UDPゴシック"/>
              </w:rPr>
            </w:pP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県</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25,110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24,700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26,340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26,870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516" w:type="pct"/>
            <w:tcMar>
              <w:top w:w="28" w:type="dxa"/>
              <w:left w:w="28" w:type="dxa"/>
              <w:bottom w:w="28" w:type="dxa"/>
              <w:right w:w="28" w:type="dxa"/>
            </w:tcMar>
            <w:vAlign w:val="center"/>
          </w:tcPr>
          <w:p>
            <w:pPr>
              <w:pStyle w:val="0"/>
              <w:jc w:val="right"/>
              <w:rPr>
                <w:rFonts w:hint="default"/>
              </w:rPr>
            </w:pPr>
            <w:r>
              <w:rPr>
                <w:rFonts w:hint="eastAsia"/>
              </w:rPr>
              <w:t>7.0</w:t>
            </w:r>
          </w:p>
        </w:tc>
      </w:tr>
      <w:tr>
        <w:trPr>
          <w:trHeight w:val="20" w:hRule="atLeast"/>
        </w:trPr>
        <w:tc>
          <w:tcPr>
            <w:tcW w:w="526" w:type="pct"/>
            <w:vMerge w:val="continue"/>
            <w:tcMar>
              <w:top w:w="28" w:type="dxa"/>
              <w:left w:w="28" w:type="dxa"/>
              <w:bottom w:w="28" w:type="dxa"/>
              <w:right w:w="28" w:type="dxa"/>
            </w:tcMar>
            <w:vAlign w:val="center"/>
          </w:tcPr>
          <w:p>
            <w:pPr>
              <w:pStyle w:val="0"/>
              <w:rPr>
                <w:rFonts w:hint="default" w:ascii="BIZ UDPゴシック" w:hAnsi="BIZ UDPゴシック" w:eastAsia="BIZ UDPゴシック"/>
              </w:rPr>
            </w:pPr>
          </w:p>
        </w:tc>
        <w:tc>
          <w:tcPr>
            <w:tcW w:w="605" w:type="pct"/>
            <w:shd w:val="clear" w:color="auto" w:fill="auto"/>
            <w:tcMar>
              <w:top w:w="28" w:type="dxa"/>
              <w:left w:w="28" w:type="dxa"/>
              <w:bottom w:w="28" w:type="dxa"/>
              <w:right w:w="28" w:type="dxa"/>
            </w:tcMar>
            <w:vAlign w:val="center"/>
          </w:tcPr>
          <w:p>
            <w:pPr>
              <w:pStyle w:val="0"/>
              <w:rPr>
                <w:rFonts w:hint="default" w:ascii="BIZ UDPゴシック" w:hAnsi="BIZ UDPゴシック" w:eastAsia="BIZ UDPゴシック"/>
              </w:rPr>
            </w:pPr>
            <w:r>
              <w:rPr>
                <w:rFonts w:hint="default" w:ascii="BIZ UDPゴシック" w:hAnsi="BIZ UDPゴシック" w:eastAsia="BIZ UDPゴシック"/>
              </w:rPr>
              <w:t>同規模</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27,900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27,400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28,820</w:t>
            </w:r>
          </w:p>
        </w:tc>
        <w:tc>
          <w:tcPr>
            <w:tcW w:w="756" w:type="pct"/>
            <w:shd w:val="clear" w:color="auto" w:fill="auto"/>
            <w:tcMar>
              <w:top w:w="28" w:type="dxa"/>
              <w:left w:w="28" w:type="dxa"/>
              <w:bottom w:w="28" w:type="dxa"/>
              <w:right w:w="28" w:type="dxa"/>
            </w:tcMar>
            <w:vAlign w:val="center"/>
          </w:tcPr>
          <w:p>
            <w:pPr>
              <w:pStyle w:val="0"/>
              <w:jc w:val="right"/>
              <w:rPr>
                <w:rFonts w:hint="default"/>
              </w:rPr>
            </w:pPr>
            <w:r>
              <w:rPr>
                <w:rFonts w:hint="eastAsia"/>
              </w:rPr>
              <w:t>29,600</w:t>
            </w:r>
          </w:p>
        </w:tc>
        <w:tc>
          <w:tcPr>
            <w:tcW w:w="328"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516" w:type="pct"/>
            <w:tcMar>
              <w:top w:w="28" w:type="dxa"/>
              <w:left w:w="28" w:type="dxa"/>
              <w:bottom w:w="28" w:type="dxa"/>
              <w:right w:w="28" w:type="dxa"/>
            </w:tcMar>
            <w:vAlign w:val="center"/>
          </w:tcPr>
          <w:p>
            <w:pPr>
              <w:pStyle w:val="0"/>
              <w:jc w:val="right"/>
              <w:rPr>
                <w:rFonts w:hint="default"/>
              </w:rPr>
            </w:pPr>
            <w:r>
              <w:rPr>
                <w:rFonts w:hint="eastAsia"/>
              </w:rPr>
              <w:t>6.1</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1</w:t>
      </w:r>
      <w:r>
        <w:rPr>
          <w:rFonts w:hint="default"/>
        </w:rPr>
        <w:t>年度から令和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※一人当たり医療費は、月平均を算出</w:t>
      </w:r>
    </w:p>
    <w:p>
      <w:pPr>
        <w:pStyle w:val="0"/>
        <w:rPr>
          <w:rFonts w:hint="default"/>
        </w:rPr>
      </w:pPr>
      <w:r>
        <w:rPr>
          <w:rFonts w:hint="default"/>
        </w:rPr>
        <w:br w:type="page"/>
      </w:r>
    </w:p>
    <w:p>
      <w:pPr>
        <w:pStyle w:val="4"/>
        <w:rPr>
          <w:rFonts w:hint="default"/>
        </w:rPr>
      </w:pPr>
      <w:r>
        <w:rPr>
          <w:rFonts w:hint="eastAsia"/>
        </w:rPr>
        <w:t>入院外来別医療費の</w:t>
      </w:r>
      <w:r>
        <w:rPr>
          <w:rFonts w:hint="eastAsia"/>
        </w:rPr>
        <w:t>3</w:t>
      </w:r>
      <w:r>
        <w:rPr>
          <w:rFonts w:hint="eastAsia"/>
        </w:rPr>
        <w:t>要素</w:t>
      </w:r>
    </w:p>
    <w:p>
      <w:pPr>
        <w:pStyle w:val="39"/>
        <w:ind w:firstLine="200"/>
        <w:rPr>
          <w:rFonts w:hint="default"/>
        </w:rPr>
      </w:pPr>
      <w:r>
        <w:rPr>
          <w:rFonts w:hint="eastAsia"/>
        </w:rPr>
        <w:t>前頁の一人当たり月額医療費を入院別及び外来別に国や</w:t>
      </w:r>
      <w:r>
        <w:rPr>
          <w:rFonts w:hint="default"/>
        </w:rPr>
        <w:t>県と比較する。</w:t>
      </w:r>
    </w:p>
    <w:p>
      <w:pPr>
        <w:pStyle w:val="39"/>
        <w:ind w:firstLine="200"/>
        <w:rPr>
          <w:rFonts w:hint="default"/>
        </w:rPr>
      </w:pPr>
      <w:r>
        <w:rPr>
          <w:rFonts w:hint="eastAsia"/>
        </w:rPr>
        <w:t>令和</w:t>
      </w:r>
      <w:r>
        <w:rPr>
          <w:rFonts w:hint="eastAsia"/>
        </w:rPr>
        <w:t>4</w:t>
      </w:r>
      <w:r>
        <w:rPr>
          <w:rFonts w:hint="eastAsia"/>
        </w:rPr>
        <w:t>年度</w:t>
      </w:r>
      <w:r>
        <w:rPr>
          <w:rFonts w:hint="default"/>
        </w:rPr>
        <w:t>の一人当たり月額医療費</w:t>
      </w:r>
      <w:r>
        <w:rPr>
          <w:rFonts w:hint="eastAsia"/>
        </w:rPr>
        <w:t>（</w:t>
      </w:r>
      <w:r>
        <w:rPr>
          <w:rFonts w:hint="eastAsia"/>
        </w:rPr>
        <w:fldChar w:fldCharType="begin"/>
      </w:r>
      <w:r>
        <w:rPr>
          <w:rFonts w:hint="eastAsia"/>
        </w:rPr>
        <w:instrText xml:space="preserve">REF _Ref122533736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1</w:t>
      </w:r>
      <w:r>
        <w:rPr>
          <w:rFonts w:hint="eastAsia"/>
        </w:rPr>
        <w:t>-</w:t>
      </w:r>
      <w:r>
        <w:rPr>
          <w:rFonts w:hint="default"/>
        </w:rPr>
        <w:t>2</w:t>
      </w:r>
      <w:r>
        <w:rPr>
          <w:rFonts w:hint="eastAsia"/>
        </w:rPr>
        <w:fldChar w:fldCharType="end"/>
      </w:r>
      <w:r>
        <w:rPr>
          <w:rFonts w:hint="eastAsia"/>
        </w:rPr>
        <w:t>）</w:t>
      </w:r>
      <w:r>
        <w:rPr>
          <w:rFonts w:hint="default"/>
        </w:rPr>
        <w:t>は、入院が</w:t>
      </w:r>
      <w:r>
        <w:rPr>
          <w:rFonts w:hint="default"/>
        </w:rPr>
        <w:t>10,050</w:t>
      </w:r>
      <w:r>
        <w:rPr>
          <w:rFonts w:hint="default"/>
        </w:rPr>
        <w:t>円で、国</w:t>
      </w:r>
      <w:r>
        <w:rPr>
          <w:rFonts w:hint="eastAsia"/>
        </w:rPr>
        <w:t>の一人当たり月額医療費</w:t>
      </w:r>
      <w:r>
        <w:rPr>
          <w:rFonts w:hint="default"/>
        </w:rPr>
        <w:t>11,650</w:t>
      </w:r>
      <w:r>
        <w:rPr>
          <w:rFonts w:hint="default"/>
        </w:rPr>
        <w:t>円と比較すると</w:t>
      </w:r>
      <w:r>
        <w:rPr>
          <w:rFonts w:hint="default"/>
        </w:rPr>
        <w:t>1,600</w:t>
      </w:r>
      <w:r>
        <w:rPr>
          <w:rFonts w:hint="default"/>
        </w:rPr>
        <w:t>円少ない。これは受診率、一件当たり日数が国の値を下回っているためである。県</w:t>
      </w:r>
      <w:r>
        <w:rPr>
          <w:rFonts w:hint="eastAsia"/>
        </w:rPr>
        <w:t>の一人当たり月額医療費</w:t>
      </w:r>
      <w:r>
        <w:rPr>
          <w:rFonts w:hint="default"/>
        </w:rPr>
        <w:t>10,260</w:t>
      </w:r>
      <w:r>
        <w:rPr>
          <w:rFonts w:hint="default"/>
        </w:rPr>
        <w:t>円と比較すると</w:t>
      </w:r>
      <w:r>
        <w:rPr>
          <w:rFonts w:hint="default"/>
        </w:rPr>
        <w:t>210</w:t>
      </w:r>
      <w:r>
        <w:rPr>
          <w:rFonts w:hint="default"/>
        </w:rPr>
        <w:t>円少ない。これは受診率、一日当たり医療費が県の値を下回っているためである。</w:t>
      </w:r>
    </w:p>
    <w:p>
      <w:pPr>
        <w:pStyle w:val="39"/>
        <w:ind w:firstLine="200"/>
        <w:rPr>
          <w:rFonts w:hint="default"/>
        </w:rPr>
      </w:pPr>
      <w:r>
        <w:rPr>
          <w:rFonts w:hint="eastAsia"/>
        </w:rPr>
        <w:t>外来の一人当たり月額医療費は</w:t>
      </w:r>
      <w:r>
        <w:rPr>
          <w:rFonts w:hint="default"/>
        </w:rPr>
        <w:t>16,660</w:t>
      </w:r>
      <w:r>
        <w:rPr>
          <w:rFonts w:hint="default"/>
        </w:rPr>
        <w:t>円で、国</w:t>
      </w:r>
      <w:r>
        <w:rPr>
          <w:rFonts w:hint="eastAsia"/>
        </w:rPr>
        <w:t>の一人当たり月額医療費</w:t>
      </w:r>
      <w:r>
        <w:rPr>
          <w:rFonts w:hint="default"/>
        </w:rPr>
        <w:t>17,400</w:t>
      </w:r>
      <w:r>
        <w:rPr>
          <w:rFonts w:hint="default"/>
        </w:rPr>
        <w:t>円と比較すると</w:t>
      </w:r>
      <w:r>
        <w:rPr>
          <w:rFonts w:hint="default"/>
        </w:rPr>
        <w:t>740</w:t>
      </w:r>
      <w:r>
        <w:rPr>
          <w:rFonts w:hint="default"/>
        </w:rPr>
        <w:t>円少ない</w:t>
      </w:r>
      <w:r>
        <w:rPr>
          <w:rFonts w:hint="eastAsia"/>
        </w:rPr>
        <w:t>。</w:t>
      </w:r>
      <w:r>
        <w:rPr>
          <w:rFonts w:hint="default"/>
        </w:rPr>
        <w:t>これは受診率が国の値を下回っているためである。県</w:t>
      </w:r>
      <w:r>
        <w:rPr>
          <w:rFonts w:hint="eastAsia"/>
        </w:rPr>
        <w:t>の一人当たり月額医療費</w:t>
      </w:r>
      <w:r>
        <w:rPr>
          <w:rFonts w:hint="default"/>
        </w:rPr>
        <w:t>16,610</w:t>
      </w:r>
      <w:r>
        <w:rPr>
          <w:rFonts w:hint="default"/>
        </w:rPr>
        <w:t>円と比較すると</w:t>
      </w:r>
      <w:r>
        <w:rPr>
          <w:rFonts w:hint="default"/>
        </w:rPr>
        <w:t>50</w:t>
      </w:r>
      <w:r>
        <w:rPr>
          <w:rFonts w:hint="default"/>
        </w:rPr>
        <w:t>円多くなっており</w:t>
      </w:r>
      <w:r>
        <w:rPr>
          <w:rFonts w:hint="eastAsia"/>
        </w:rPr>
        <w:t>、</w:t>
      </w:r>
      <w:r>
        <w:rPr>
          <w:rFonts w:hint="default"/>
        </w:rPr>
        <w:t>これは一日当たり医療費が県の値を上回っているためである。</w:t>
      </w:r>
    </w:p>
    <w:p>
      <w:pPr>
        <w:pStyle w:val="0"/>
        <w:rPr>
          <w:rFonts w:hint="default"/>
        </w:rPr>
      </w:pPr>
    </w:p>
    <w:p>
      <w:pPr>
        <w:pStyle w:val="38"/>
        <w:rPr>
          <w:rFonts w:hint="default"/>
        </w:rPr>
      </w:pPr>
      <w:bookmarkStart w:id="105" w:name="_Ref122533736"/>
      <w:bookmarkStart w:id="106" w:name="_Toc12493682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105"/>
      <w:r>
        <w:rPr>
          <w:rFonts w:hint="default"/>
        </w:rPr>
        <w:t>：入院外来別医療費の</w:t>
      </w:r>
      <w:r>
        <w:rPr>
          <w:rFonts w:hint="default"/>
        </w:rPr>
        <w:t>3</w:t>
      </w:r>
      <w:r>
        <w:rPr>
          <w:rFonts w:hint="default"/>
        </w:rPr>
        <w:t>要素</w:t>
      </w:r>
      <w:bookmarkEnd w:id="106"/>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444"/>
        <w:gridCol w:w="1732"/>
        <w:gridCol w:w="1733"/>
        <w:gridCol w:w="1733"/>
        <w:gridCol w:w="1733"/>
      </w:tblGrid>
      <w:tr>
        <w:trPr>
          <w:trHeight w:val="32" w:hRule="atLeast"/>
        </w:trPr>
        <w:tc>
          <w:tcPr>
            <w:tcW w:w="130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入院</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八街市</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国</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県</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同規模</w:t>
            </w:r>
          </w:p>
        </w:tc>
      </w:tr>
      <w:tr>
        <w:trPr>
          <w:trHeight w:val="32" w:hRule="atLeast"/>
        </w:trPr>
        <w:tc>
          <w:tcPr>
            <w:tcW w:w="1304" w:type="pct"/>
            <w:tcMar>
              <w:top w:w="28" w:type="dxa"/>
              <w:left w:w="28" w:type="dxa"/>
              <w:bottom w:w="28" w:type="dxa"/>
              <w:right w:w="28" w:type="dxa"/>
            </w:tcMar>
            <w:vAlign w:val="center"/>
          </w:tcPr>
          <w:p>
            <w:pPr>
              <w:pStyle w:val="0"/>
              <w:rPr>
                <w:rFonts w:hint="default"/>
              </w:rPr>
            </w:pPr>
            <w:r>
              <w:rPr>
                <w:rFonts w:hint="default"/>
              </w:rPr>
              <w:t>一人当たり</w:t>
            </w:r>
            <w:r>
              <w:rPr>
                <w:rFonts w:hint="eastAsia"/>
              </w:rPr>
              <w:t>月額</w:t>
            </w:r>
            <w:r>
              <w:rPr>
                <w:rFonts w:hint="default"/>
              </w:rPr>
              <w:t>医療費（円）</w:t>
            </w:r>
          </w:p>
        </w:tc>
        <w:tc>
          <w:tcPr>
            <w:tcW w:w="924" w:type="pct"/>
            <w:tcMar>
              <w:top w:w="28" w:type="dxa"/>
              <w:left w:w="28" w:type="dxa"/>
              <w:bottom w:w="28" w:type="dxa"/>
              <w:right w:w="28" w:type="dxa"/>
            </w:tcMar>
            <w:vAlign w:val="center"/>
          </w:tcPr>
          <w:p>
            <w:pPr>
              <w:pStyle w:val="0"/>
              <w:jc w:val="right"/>
              <w:rPr>
                <w:rFonts w:hint="default"/>
              </w:rPr>
            </w:pPr>
            <w:r>
              <w:rPr>
                <w:rFonts w:hint="default"/>
              </w:rPr>
              <w:t>10,050</w:t>
            </w:r>
          </w:p>
        </w:tc>
        <w:tc>
          <w:tcPr>
            <w:tcW w:w="924" w:type="pct"/>
            <w:tcMar>
              <w:top w:w="28" w:type="dxa"/>
              <w:left w:w="28" w:type="dxa"/>
              <w:bottom w:w="28" w:type="dxa"/>
              <w:right w:w="28" w:type="dxa"/>
            </w:tcMar>
            <w:vAlign w:val="center"/>
          </w:tcPr>
          <w:p>
            <w:pPr>
              <w:pStyle w:val="0"/>
              <w:jc w:val="right"/>
              <w:rPr>
                <w:rFonts w:hint="default"/>
              </w:rPr>
            </w:pPr>
            <w:r>
              <w:rPr>
                <w:rFonts w:hint="default"/>
              </w:rPr>
              <w:t>11,650</w:t>
            </w:r>
          </w:p>
        </w:tc>
        <w:tc>
          <w:tcPr>
            <w:tcW w:w="924" w:type="pct"/>
            <w:tcMar>
              <w:top w:w="28" w:type="dxa"/>
              <w:left w:w="28" w:type="dxa"/>
              <w:bottom w:w="28" w:type="dxa"/>
              <w:right w:w="28" w:type="dxa"/>
            </w:tcMar>
            <w:vAlign w:val="center"/>
          </w:tcPr>
          <w:p>
            <w:pPr>
              <w:pStyle w:val="0"/>
              <w:jc w:val="right"/>
              <w:rPr>
                <w:rFonts w:hint="default"/>
              </w:rPr>
            </w:pPr>
            <w:r>
              <w:rPr>
                <w:rFonts w:hint="default"/>
              </w:rPr>
              <w:t>10,260</w:t>
            </w:r>
          </w:p>
        </w:tc>
        <w:tc>
          <w:tcPr>
            <w:tcW w:w="924" w:type="pct"/>
            <w:tcMar>
              <w:top w:w="28" w:type="dxa"/>
              <w:left w:w="28" w:type="dxa"/>
              <w:bottom w:w="28" w:type="dxa"/>
              <w:right w:w="28" w:type="dxa"/>
            </w:tcMar>
            <w:vAlign w:val="center"/>
          </w:tcPr>
          <w:p>
            <w:pPr>
              <w:pStyle w:val="0"/>
              <w:jc w:val="right"/>
              <w:rPr>
                <w:rFonts w:hint="default"/>
              </w:rPr>
            </w:pPr>
            <w:r>
              <w:rPr>
                <w:rFonts w:hint="default"/>
              </w:rPr>
              <w:t>11,980</w:t>
            </w:r>
          </w:p>
        </w:tc>
      </w:tr>
      <w:tr>
        <w:trPr>
          <w:trHeight w:val="32" w:hRule="atLeast"/>
        </w:trPr>
        <w:tc>
          <w:tcPr>
            <w:tcW w:w="1304" w:type="pct"/>
            <w:tcMar>
              <w:top w:w="28" w:type="dxa"/>
              <w:left w:w="28" w:type="dxa"/>
              <w:bottom w:w="28" w:type="dxa"/>
              <w:right w:w="28" w:type="dxa"/>
            </w:tcMar>
            <w:vAlign w:val="center"/>
          </w:tcPr>
          <w:p>
            <w:pPr>
              <w:pStyle w:val="0"/>
              <w:widowControl w:val="0"/>
              <w:ind w:firstLine="160" w:firstLineChars="100"/>
              <w:rPr>
                <w:rFonts w:hint="default"/>
              </w:rPr>
            </w:pPr>
            <w:r>
              <w:rPr>
                <w:rFonts w:hint="default"/>
              </w:rPr>
              <w:t>受診率（件</w:t>
            </w:r>
            <w:r>
              <w:rPr>
                <w:rFonts w:hint="eastAsia"/>
              </w:rPr>
              <w:t>/</w:t>
            </w:r>
            <w:r>
              <w:rPr>
                <w:rFonts w:hint="default"/>
              </w:rPr>
              <w:t>千人）</w:t>
            </w:r>
          </w:p>
        </w:tc>
        <w:tc>
          <w:tcPr>
            <w:tcW w:w="924" w:type="pct"/>
            <w:tcMar>
              <w:top w:w="28" w:type="dxa"/>
              <w:left w:w="28" w:type="dxa"/>
              <w:bottom w:w="28" w:type="dxa"/>
              <w:right w:w="28" w:type="dxa"/>
            </w:tcMar>
            <w:vAlign w:val="center"/>
          </w:tcPr>
          <w:p>
            <w:pPr>
              <w:pStyle w:val="0"/>
              <w:jc w:val="right"/>
              <w:rPr>
                <w:rFonts w:hint="default"/>
              </w:rPr>
            </w:pPr>
            <w:r>
              <w:rPr>
                <w:rFonts w:hint="default"/>
              </w:rPr>
              <w:t>16.1</w:t>
            </w:r>
          </w:p>
        </w:tc>
        <w:tc>
          <w:tcPr>
            <w:tcW w:w="924" w:type="pct"/>
            <w:tcMar>
              <w:top w:w="28" w:type="dxa"/>
              <w:left w:w="28" w:type="dxa"/>
              <w:bottom w:w="28" w:type="dxa"/>
              <w:right w:w="28" w:type="dxa"/>
            </w:tcMar>
            <w:vAlign w:val="center"/>
          </w:tcPr>
          <w:p>
            <w:pPr>
              <w:pStyle w:val="0"/>
              <w:jc w:val="right"/>
              <w:rPr>
                <w:rFonts w:hint="default"/>
              </w:rPr>
            </w:pPr>
            <w:r>
              <w:rPr>
                <w:rFonts w:hint="default"/>
              </w:rPr>
              <w:t>18.8</w:t>
            </w:r>
          </w:p>
        </w:tc>
        <w:tc>
          <w:tcPr>
            <w:tcW w:w="924" w:type="pct"/>
            <w:tcMar>
              <w:top w:w="28" w:type="dxa"/>
              <w:left w:w="28" w:type="dxa"/>
              <w:bottom w:w="28" w:type="dxa"/>
              <w:right w:w="28" w:type="dxa"/>
            </w:tcMar>
            <w:vAlign w:val="center"/>
          </w:tcPr>
          <w:p>
            <w:pPr>
              <w:pStyle w:val="0"/>
              <w:jc w:val="right"/>
              <w:rPr>
                <w:rFonts w:hint="default"/>
              </w:rPr>
            </w:pPr>
            <w:r>
              <w:rPr>
                <w:rFonts w:hint="default"/>
              </w:rPr>
              <w:t>16.1</w:t>
            </w:r>
          </w:p>
        </w:tc>
        <w:tc>
          <w:tcPr>
            <w:tcW w:w="924" w:type="pct"/>
            <w:tcMar>
              <w:top w:w="28" w:type="dxa"/>
              <w:left w:w="28" w:type="dxa"/>
              <w:bottom w:w="28" w:type="dxa"/>
              <w:right w:w="28" w:type="dxa"/>
            </w:tcMar>
            <w:vAlign w:val="center"/>
          </w:tcPr>
          <w:p>
            <w:pPr>
              <w:pStyle w:val="0"/>
              <w:jc w:val="right"/>
              <w:rPr>
                <w:rFonts w:hint="default"/>
              </w:rPr>
            </w:pPr>
            <w:r>
              <w:rPr>
                <w:rFonts w:hint="default"/>
              </w:rPr>
              <w:t>19.6</w:t>
            </w:r>
          </w:p>
        </w:tc>
      </w:tr>
      <w:tr>
        <w:trPr>
          <w:trHeight w:val="32" w:hRule="atLeast"/>
        </w:trPr>
        <w:tc>
          <w:tcPr>
            <w:tcW w:w="1304" w:type="pct"/>
            <w:tcMar>
              <w:top w:w="28" w:type="dxa"/>
              <w:left w:w="28" w:type="dxa"/>
              <w:bottom w:w="28" w:type="dxa"/>
              <w:right w:w="28" w:type="dxa"/>
            </w:tcMar>
            <w:vAlign w:val="center"/>
          </w:tcPr>
          <w:p>
            <w:pPr>
              <w:pStyle w:val="0"/>
              <w:widowControl w:val="0"/>
              <w:ind w:firstLine="160" w:firstLineChars="100"/>
              <w:rPr>
                <w:rFonts w:hint="default"/>
              </w:rPr>
            </w:pPr>
            <w:r>
              <w:rPr>
                <w:rFonts w:hint="default"/>
              </w:rPr>
              <w:t>一件当たり日数（日）</w:t>
            </w:r>
          </w:p>
        </w:tc>
        <w:tc>
          <w:tcPr>
            <w:tcW w:w="924" w:type="pct"/>
            <w:tcMar>
              <w:top w:w="28" w:type="dxa"/>
              <w:left w:w="28" w:type="dxa"/>
              <w:bottom w:w="28" w:type="dxa"/>
              <w:right w:w="28" w:type="dxa"/>
            </w:tcMar>
            <w:vAlign w:val="center"/>
          </w:tcPr>
          <w:p>
            <w:pPr>
              <w:pStyle w:val="0"/>
              <w:jc w:val="right"/>
              <w:rPr>
                <w:rFonts w:hint="default"/>
              </w:rPr>
            </w:pPr>
            <w:r>
              <w:rPr>
                <w:rFonts w:hint="default"/>
              </w:rPr>
              <w:t>15.5</w:t>
            </w:r>
          </w:p>
        </w:tc>
        <w:tc>
          <w:tcPr>
            <w:tcW w:w="924" w:type="pct"/>
            <w:tcMar>
              <w:top w:w="28" w:type="dxa"/>
              <w:left w:w="28" w:type="dxa"/>
              <w:bottom w:w="28" w:type="dxa"/>
              <w:right w:w="28" w:type="dxa"/>
            </w:tcMar>
            <w:vAlign w:val="center"/>
          </w:tcPr>
          <w:p>
            <w:pPr>
              <w:pStyle w:val="0"/>
              <w:jc w:val="right"/>
              <w:rPr>
                <w:rFonts w:hint="default"/>
              </w:rPr>
            </w:pPr>
            <w:r>
              <w:rPr>
                <w:rFonts w:hint="default"/>
              </w:rPr>
              <w:t>16.0</w:t>
            </w:r>
          </w:p>
        </w:tc>
        <w:tc>
          <w:tcPr>
            <w:tcW w:w="924" w:type="pct"/>
            <w:tcMar>
              <w:top w:w="28" w:type="dxa"/>
              <w:left w:w="28" w:type="dxa"/>
              <w:bottom w:w="28" w:type="dxa"/>
              <w:right w:w="28" w:type="dxa"/>
            </w:tcMar>
            <w:vAlign w:val="center"/>
          </w:tcPr>
          <w:p>
            <w:pPr>
              <w:pStyle w:val="0"/>
              <w:jc w:val="right"/>
              <w:rPr>
                <w:rFonts w:hint="default"/>
              </w:rPr>
            </w:pPr>
            <w:r>
              <w:rPr>
                <w:rFonts w:hint="default"/>
              </w:rPr>
              <w:t>15.3</w:t>
            </w:r>
          </w:p>
        </w:tc>
        <w:tc>
          <w:tcPr>
            <w:tcW w:w="924" w:type="pct"/>
            <w:tcMar>
              <w:top w:w="28" w:type="dxa"/>
              <w:left w:w="28" w:type="dxa"/>
              <w:bottom w:w="28" w:type="dxa"/>
              <w:right w:w="28" w:type="dxa"/>
            </w:tcMar>
            <w:vAlign w:val="center"/>
          </w:tcPr>
          <w:p>
            <w:pPr>
              <w:pStyle w:val="0"/>
              <w:jc w:val="right"/>
              <w:rPr>
                <w:rFonts w:hint="default"/>
              </w:rPr>
            </w:pPr>
            <w:r>
              <w:rPr>
                <w:rFonts w:hint="default"/>
              </w:rPr>
              <w:t>16.3</w:t>
            </w:r>
          </w:p>
        </w:tc>
      </w:tr>
      <w:tr>
        <w:trPr>
          <w:trHeight w:val="32" w:hRule="atLeast"/>
        </w:trPr>
        <w:tc>
          <w:tcPr>
            <w:tcW w:w="1304" w:type="pct"/>
            <w:tcMar>
              <w:top w:w="28" w:type="dxa"/>
              <w:left w:w="28" w:type="dxa"/>
              <w:bottom w:w="28" w:type="dxa"/>
              <w:right w:w="28" w:type="dxa"/>
            </w:tcMar>
            <w:vAlign w:val="center"/>
          </w:tcPr>
          <w:p>
            <w:pPr>
              <w:pStyle w:val="0"/>
              <w:widowControl w:val="0"/>
              <w:ind w:firstLine="160" w:firstLineChars="100"/>
              <w:rPr>
                <w:rFonts w:hint="default"/>
              </w:rPr>
            </w:pPr>
            <w:r>
              <w:rPr>
                <w:rFonts w:hint="default"/>
              </w:rPr>
              <w:t>一日当たり医療費（円）</w:t>
            </w:r>
          </w:p>
        </w:tc>
        <w:tc>
          <w:tcPr>
            <w:tcW w:w="924" w:type="pct"/>
            <w:tcMar>
              <w:top w:w="28" w:type="dxa"/>
              <w:left w:w="28" w:type="dxa"/>
              <w:bottom w:w="28" w:type="dxa"/>
              <w:right w:w="28" w:type="dxa"/>
            </w:tcMar>
            <w:vAlign w:val="center"/>
          </w:tcPr>
          <w:p>
            <w:pPr>
              <w:pStyle w:val="0"/>
              <w:jc w:val="right"/>
              <w:rPr>
                <w:rFonts w:hint="default"/>
              </w:rPr>
            </w:pPr>
            <w:r>
              <w:rPr>
                <w:rFonts w:hint="default"/>
              </w:rPr>
              <w:t>40,330</w:t>
            </w:r>
          </w:p>
        </w:tc>
        <w:tc>
          <w:tcPr>
            <w:tcW w:w="924" w:type="pct"/>
            <w:tcMar>
              <w:top w:w="28" w:type="dxa"/>
              <w:left w:w="28" w:type="dxa"/>
              <w:bottom w:w="28" w:type="dxa"/>
              <w:right w:w="28" w:type="dxa"/>
            </w:tcMar>
            <w:vAlign w:val="center"/>
          </w:tcPr>
          <w:p>
            <w:pPr>
              <w:pStyle w:val="0"/>
              <w:jc w:val="right"/>
              <w:rPr>
                <w:rFonts w:hint="default"/>
              </w:rPr>
            </w:pPr>
            <w:r>
              <w:rPr>
                <w:rFonts w:hint="default"/>
              </w:rPr>
              <w:t>38,730</w:t>
            </w:r>
          </w:p>
        </w:tc>
        <w:tc>
          <w:tcPr>
            <w:tcW w:w="924" w:type="pct"/>
            <w:tcMar>
              <w:top w:w="28" w:type="dxa"/>
              <w:left w:w="28" w:type="dxa"/>
              <w:bottom w:w="28" w:type="dxa"/>
              <w:right w:w="28" w:type="dxa"/>
            </w:tcMar>
            <w:vAlign w:val="center"/>
          </w:tcPr>
          <w:p>
            <w:pPr>
              <w:pStyle w:val="0"/>
              <w:jc w:val="right"/>
              <w:rPr>
                <w:rFonts w:hint="default"/>
              </w:rPr>
            </w:pPr>
            <w:r>
              <w:rPr>
                <w:rFonts w:hint="default"/>
              </w:rPr>
              <w:t>41,410</w:t>
            </w:r>
          </w:p>
        </w:tc>
        <w:tc>
          <w:tcPr>
            <w:tcW w:w="924" w:type="pct"/>
            <w:tcMar>
              <w:top w:w="28" w:type="dxa"/>
              <w:left w:w="28" w:type="dxa"/>
              <w:bottom w:w="28" w:type="dxa"/>
              <w:right w:w="28" w:type="dxa"/>
            </w:tcMar>
            <w:vAlign w:val="center"/>
          </w:tcPr>
          <w:p>
            <w:pPr>
              <w:pStyle w:val="0"/>
              <w:jc w:val="right"/>
              <w:rPr>
                <w:rFonts w:hint="default"/>
              </w:rPr>
            </w:pPr>
            <w:r>
              <w:rPr>
                <w:rFonts w:hint="default"/>
              </w:rPr>
              <w:t>37,500</w:t>
            </w:r>
          </w:p>
        </w:tc>
      </w:tr>
    </w:tbl>
    <w:p>
      <w:pPr>
        <w:pStyle w:val="0"/>
        <w:rPr>
          <w:rFonts w:hint="default"/>
          <w:sz w:val="18"/>
        </w:rPr>
      </w:pP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444"/>
        <w:gridCol w:w="1732"/>
        <w:gridCol w:w="1733"/>
        <w:gridCol w:w="1733"/>
        <w:gridCol w:w="1733"/>
      </w:tblGrid>
      <w:tr>
        <w:trPr>
          <w:trHeight w:val="32" w:hRule="atLeast"/>
        </w:trPr>
        <w:tc>
          <w:tcPr>
            <w:tcW w:w="130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外来</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八街市</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国</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県</w:t>
            </w:r>
          </w:p>
        </w:tc>
        <w:tc>
          <w:tcPr>
            <w:tcW w:w="92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同規模</w:t>
            </w:r>
          </w:p>
        </w:tc>
      </w:tr>
      <w:tr>
        <w:trPr>
          <w:trHeight w:val="32" w:hRule="atLeast"/>
        </w:trPr>
        <w:tc>
          <w:tcPr>
            <w:tcW w:w="1304" w:type="pct"/>
            <w:tcMar>
              <w:top w:w="28" w:type="dxa"/>
              <w:left w:w="28" w:type="dxa"/>
              <w:bottom w:w="28" w:type="dxa"/>
              <w:right w:w="28" w:type="dxa"/>
            </w:tcMar>
            <w:vAlign w:val="center"/>
          </w:tcPr>
          <w:p>
            <w:pPr>
              <w:pStyle w:val="0"/>
              <w:rPr>
                <w:rFonts w:hint="default"/>
              </w:rPr>
            </w:pPr>
            <w:r>
              <w:rPr>
                <w:rFonts w:hint="default"/>
              </w:rPr>
              <w:t>一人当たり</w:t>
            </w:r>
            <w:r>
              <w:rPr>
                <w:rFonts w:hint="eastAsia"/>
              </w:rPr>
              <w:t>月額</w:t>
            </w:r>
            <w:r>
              <w:rPr>
                <w:rFonts w:hint="default"/>
              </w:rPr>
              <w:t>医療費（円）</w:t>
            </w:r>
          </w:p>
        </w:tc>
        <w:tc>
          <w:tcPr>
            <w:tcW w:w="924" w:type="pct"/>
            <w:tcMar>
              <w:top w:w="28" w:type="dxa"/>
              <w:left w:w="28" w:type="dxa"/>
              <w:bottom w:w="28" w:type="dxa"/>
              <w:right w:w="28" w:type="dxa"/>
            </w:tcMar>
            <w:vAlign w:val="center"/>
          </w:tcPr>
          <w:p>
            <w:pPr>
              <w:pStyle w:val="0"/>
              <w:jc w:val="right"/>
              <w:rPr>
                <w:rFonts w:hint="default"/>
              </w:rPr>
            </w:pPr>
            <w:r>
              <w:rPr>
                <w:rFonts w:hint="default"/>
              </w:rPr>
              <w:t>16,660</w:t>
            </w:r>
          </w:p>
        </w:tc>
        <w:tc>
          <w:tcPr>
            <w:tcW w:w="924" w:type="pct"/>
            <w:tcMar>
              <w:top w:w="28" w:type="dxa"/>
              <w:left w:w="28" w:type="dxa"/>
              <w:bottom w:w="28" w:type="dxa"/>
              <w:right w:w="28" w:type="dxa"/>
            </w:tcMar>
            <w:vAlign w:val="center"/>
          </w:tcPr>
          <w:p>
            <w:pPr>
              <w:pStyle w:val="0"/>
              <w:jc w:val="right"/>
              <w:rPr>
                <w:rFonts w:hint="default"/>
              </w:rPr>
            </w:pPr>
            <w:r>
              <w:rPr>
                <w:rFonts w:hint="default"/>
              </w:rPr>
              <w:t>17,400</w:t>
            </w:r>
          </w:p>
        </w:tc>
        <w:tc>
          <w:tcPr>
            <w:tcW w:w="924" w:type="pct"/>
            <w:tcMar>
              <w:top w:w="28" w:type="dxa"/>
              <w:left w:w="28" w:type="dxa"/>
              <w:bottom w:w="28" w:type="dxa"/>
              <w:right w:w="28" w:type="dxa"/>
            </w:tcMar>
            <w:vAlign w:val="center"/>
          </w:tcPr>
          <w:p>
            <w:pPr>
              <w:pStyle w:val="0"/>
              <w:jc w:val="right"/>
              <w:rPr>
                <w:rFonts w:hint="default"/>
              </w:rPr>
            </w:pPr>
            <w:r>
              <w:rPr>
                <w:rFonts w:hint="default"/>
              </w:rPr>
              <w:t>16,610</w:t>
            </w:r>
          </w:p>
        </w:tc>
        <w:tc>
          <w:tcPr>
            <w:tcW w:w="924" w:type="pct"/>
            <w:tcMar>
              <w:top w:w="28" w:type="dxa"/>
              <w:left w:w="28" w:type="dxa"/>
              <w:bottom w:w="28" w:type="dxa"/>
              <w:right w:w="28" w:type="dxa"/>
            </w:tcMar>
            <w:vAlign w:val="center"/>
          </w:tcPr>
          <w:p>
            <w:pPr>
              <w:pStyle w:val="0"/>
              <w:jc w:val="right"/>
              <w:rPr>
                <w:rFonts w:hint="default"/>
              </w:rPr>
            </w:pPr>
            <w:r>
              <w:rPr>
                <w:rFonts w:hint="default"/>
              </w:rPr>
              <w:t>17,620</w:t>
            </w:r>
          </w:p>
        </w:tc>
      </w:tr>
      <w:tr>
        <w:trPr>
          <w:trHeight w:val="32" w:hRule="atLeast"/>
        </w:trPr>
        <w:tc>
          <w:tcPr>
            <w:tcW w:w="1304" w:type="pct"/>
            <w:tcMar>
              <w:top w:w="28" w:type="dxa"/>
              <w:left w:w="28" w:type="dxa"/>
              <w:bottom w:w="28" w:type="dxa"/>
              <w:right w:w="28" w:type="dxa"/>
            </w:tcMar>
            <w:vAlign w:val="center"/>
          </w:tcPr>
          <w:p>
            <w:pPr>
              <w:pStyle w:val="0"/>
              <w:widowControl w:val="0"/>
              <w:ind w:firstLine="160" w:firstLineChars="100"/>
              <w:rPr>
                <w:rFonts w:hint="default"/>
              </w:rPr>
            </w:pPr>
            <w:r>
              <w:rPr>
                <w:rFonts w:hint="default"/>
              </w:rPr>
              <w:t>受診率（件</w:t>
            </w:r>
            <w:r>
              <w:rPr>
                <w:rFonts w:hint="eastAsia"/>
              </w:rPr>
              <w:t>/</w:t>
            </w:r>
            <w:r>
              <w:rPr>
                <w:rFonts w:hint="default"/>
              </w:rPr>
              <w:t>千人）</w:t>
            </w:r>
          </w:p>
        </w:tc>
        <w:tc>
          <w:tcPr>
            <w:tcW w:w="924" w:type="pct"/>
            <w:tcMar>
              <w:top w:w="28" w:type="dxa"/>
              <w:left w:w="28" w:type="dxa"/>
              <w:bottom w:w="28" w:type="dxa"/>
              <w:right w:w="28" w:type="dxa"/>
            </w:tcMar>
            <w:vAlign w:val="center"/>
          </w:tcPr>
          <w:p>
            <w:pPr>
              <w:pStyle w:val="0"/>
              <w:jc w:val="right"/>
              <w:rPr>
                <w:rFonts w:hint="default"/>
              </w:rPr>
            </w:pPr>
            <w:r>
              <w:rPr>
                <w:rFonts w:hint="default"/>
              </w:rPr>
              <w:t>592.9</w:t>
            </w:r>
          </w:p>
        </w:tc>
        <w:tc>
          <w:tcPr>
            <w:tcW w:w="924" w:type="pct"/>
            <w:tcMar>
              <w:top w:w="28" w:type="dxa"/>
              <w:left w:w="28" w:type="dxa"/>
              <w:bottom w:w="28" w:type="dxa"/>
              <w:right w:w="28" w:type="dxa"/>
            </w:tcMar>
            <w:vAlign w:val="center"/>
          </w:tcPr>
          <w:p>
            <w:pPr>
              <w:pStyle w:val="0"/>
              <w:jc w:val="right"/>
              <w:rPr>
                <w:rFonts w:hint="default"/>
              </w:rPr>
            </w:pPr>
            <w:r>
              <w:rPr>
                <w:rFonts w:hint="default"/>
              </w:rPr>
              <w:t>709.6</w:t>
            </w:r>
          </w:p>
        </w:tc>
        <w:tc>
          <w:tcPr>
            <w:tcW w:w="924" w:type="pct"/>
            <w:tcMar>
              <w:top w:w="28" w:type="dxa"/>
              <w:left w:w="28" w:type="dxa"/>
              <w:bottom w:w="28" w:type="dxa"/>
              <w:right w:w="28" w:type="dxa"/>
            </w:tcMar>
            <w:vAlign w:val="center"/>
          </w:tcPr>
          <w:p>
            <w:pPr>
              <w:pStyle w:val="0"/>
              <w:jc w:val="right"/>
              <w:rPr>
                <w:rFonts w:hint="default"/>
              </w:rPr>
            </w:pPr>
            <w:r>
              <w:rPr>
                <w:rFonts w:hint="default"/>
              </w:rPr>
              <w:t>649.4</w:t>
            </w:r>
          </w:p>
        </w:tc>
        <w:tc>
          <w:tcPr>
            <w:tcW w:w="924" w:type="pct"/>
            <w:tcMar>
              <w:top w:w="28" w:type="dxa"/>
              <w:left w:w="28" w:type="dxa"/>
              <w:bottom w:w="28" w:type="dxa"/>
              <w:right w:w="28" w:type="dxa"/>
            </w:tcMar>
            <w:vAlign w:val="center"/>
          </w:tcPr>
          <w:p>
            <w:pPr>
              <w:pStyle w:val="0"/>
              <w:jc w:val="right"/>
              <w:rPr>
                <w:rFonts w:hint="default"/>
              </w:rPr>
            </w:pPr>
            <w:r>
              <w:rPr>
                <w:rFonts w:hint="default"/>
              </w:rPr>
              <w:t>719.9</w:t>
            </w:r>
          </w:p>
        </w:tc>
      </w:tr>
      <w:tr>
        <w:trPr>
          <w:trHeight w:val="32" w:hRule="atLeast"/>
        </w:trPr>
        <w:tc>
          <w:tcPr>
            <w:tcW w:w="1304" w:type="pct"/>
            <w:tcMar>
              <w:top w:w="28" w:type="dxa"/>
              <w:left w:w="28" w:type="dxa"/>
              <w:bottom w:w="28" w:type="dxa"/>
              <w:right w:w="28" w:type="dxa"/>
            </w:tcMar>
            <w:vAlign w:val="center"/>
          </w:tcPr>
          <w:p>
            <w:pPr>
              <w:pStyle w:val="0"/>
              <w:widowControl w:val="0"/>
              <w:ind w:firstLine="160" w:firstLineChars="100"/>
              <w:rPr>
                <w:rFonts w:hint="default"/>
              </w:rPr>
            </w:pPr>
            <w:r>
              <w:rPr>
                <w:rFonts w:hint="default"/>
              </w:rPr>
              <w:t>一件当たり日数（日）</w:t>
            </w:r>
          </w:p>
        </w:tc>
        <w:tc>
          <w:tcPr>
            <w:tcW w:w="924" w:type="pct"/>
            <w:tcMar>
              <w:top w:w="28" w:type="dxa"/>
              <w:left w:w="28" w:type="dxa"/>
              <w:bottom w:w="28" w:type="dxa"/>
              <w:right w:w="28" w:type="dxa"/>
            </w:tcMar>
            <w:vAlign w:val="center"/>
          </w:tcPr>
          <w:p>
            <w:pPr>
              <w:pStyle w:val="0"/>
              <w:jc w:val="right"/>
              <w:rPr>
                <w:rFonts w:hint="default"/>
              </w:rPr>
            </w:pPr>
            <w:r>
              <w:rPr>
                <w:rFonts w:hint="default"/>
              </w:rPr>
              <w:t>1.5</w:t>
            </w:r>
          </w:p>
        </w:tc>
        <w:tc>
          <w:tcPr>
            <w:tcW w:w="924" w:type="pct"/>
            <w:tcMar>
              <w:top w:w="28" w:type="dxa"/>
              <w:left w:w="28" w:type="dxa"/>
              <w:bottom w:w="28" w:type="dxa"/>
              <w:right w:w="28" w:type="dxa"/>
            </w:tcMar>
            <w:vAlign w:val="center"/>
          </w:tcPr>
          <w:p>
            <w:pPr>
              <w:pStyle w:val="0"/>
              <w:jc w:val="right"/>
              <w:rPr>
                <w:rFonts w:hint="default"/>
              </w:rPr>
            </w:pPr>
            <w:r>
              <w:rPr>
                <w:rFonts w:hint="default"/>
              </w:rPr>
              <w:t>1.5</w:t>
            </w:r>
          </w:p>
        </w:tc>
        <w:tc>
          <w:tcPr>
            <w:tcW w:w="924" w:type="pct"/>
            <w:tcMar>
              <w:top w:w="28" w:type="dxa"/>
              <w:left w:w="28" w:type="dxa"/>
              <w:bottom w:w="28" w:type="dxa"/>
              <w:right w:w="28" w:type="dxa"/>
            </w:tcMar>
            <w:vAlign w:val="center"/>
          </w:tcPr>
          <w:p>
            <w:pPr>
              <w:pStyle w:val="0"/>
              <w:jc w:val="right"/>
              <w:rPr>
                <w:rFonts w:hint="default"/>
              </w:rPr>
            </w:pPr>
            <w:r>
              <w:rPr>
                <w:rFonts w:hint="default"/>
              </w:rPr>
              <w:t>1.5</w:t>
            </w:r>
          </w:p>
        </w:tc>
        <w:tc>
          <w:tcPr>
            <w:tcW w:w="924" w:type="pct"/>
            <w:tcMar>
              <w:top w:w="28" w:type="dxa"/>
              <w:left w:w="28" w:type="dxa"/>
              <w:bottom w:w="28" w:type="dxa"/>
              <w:right w:w="28" w:type="dxa"/>
            </w:tcMar>
            <w:vAlign w:val="center"/>
          </w:tcPr>
          <w:p>
            <w:pPr>
              <w:pStyle w:val="0"/>
              <w:jc w:val="right"/>
              <w:rPr>
                <w:rFonts w:hint="default"/>
              </w:rPr>
            </w:pPr>
            <w:r>
              <w:rPr>
                <w:rFonts w:hint="default"/>
              </w:rPr>
              <w:t>1.5</w:t>
            </w:r>
          </w:p>
        </w:tc>
      </w:tr>
      <w:tr>
        <w:trPr>
          <w:trHeight w:val="32" w:hRule="atLeast"/>
        </w:trPr>
        <w:tc>
          <w:tcPr>
            <w:tcW w:w="1304" w:type="pct"/>
            <w:tcMar>
              <w:top w:w="28" w:type="dxa"/>
              <w:left w:w="28" w:type="dxa"/>
              <w:bottom w:w="28" w:type="dxa"/>
              <w:right w:w="28" w:type="dxa"/>
            </w:tcMar>
            <w:vAlign w:val="center"/>
          </w:tcPr>
          <w:p>
            <w:pPr>
              <w:pStyle w:val="0"/>
              <w:widowControl w:val="0"/>
              <w:ind w:firstLine="160" w:firstLineChars="100"/>
              <w:rPr>
                <w:rFonts w:hint="default"/>
              </w:rPr>
            </w:pPr>
            <w:r>
              <w:rPr>
                <w:rFonts w:hint="default"/>
              </w:rPr>
              <w:t>一日当たり医療費（円）</w:t>
            </w:r>
          </w:p>
        </w:tc>
        <w:tc>
          <w:tcPr>
            <w:tcW w:w="924" w:type="pct"/>
            <w:tcMar>
              <w:top w:w="28" w:type="dxa"/>
              <w:left w:w="28" w:type="dxa"/>
              <w:bottom w:w="28" w:type="dxa"/>
              <w:right w:w="28" w:type="dxa"/>
            </w:tcMar>
            <w:vAlign w:val="center"/>
          </w:tcPr>
          <w:p>
            <w:pPr>
              <w:pStyle w:val="0"/>
              <w:jc w:val="right"/>
              <w:rPr>
                <w:rFonts w:hint="default"/>
              </w:rPr>
            </w:pPr>
            <w:r>
              <w:rPr>
                <w:rFonts w:hint="default"/>
              </w:rPr>
              <w:t>18,720</w:t>
            </w:r>
          </w:p>
        </w:tc>
        <w:tc>
          <w:tcPr>
            <w:tcW w:w="924" w:type="pct"/>
            <w:tcMar>
              <w:top w:w="28" w:type="dxa"/>
              <w:left w:w="28" w:type="dxa"/>
              <w:bottom w:w="28" w:type="dxa"/>
              <w:right w:w="28" w:type="dxa"/>
            </w:tcMar>
            <w:vAlign w:val="center"/>
          </w:tcPr>
          <w:p>
            <w:pPr>
              <w:pStyle w:val="0"/>
              <w:jc w:val="right"/>
              <w:rPr>
                <w:rFonts w:hint="default"/>
              </w:rPr>
            </w:pPr>
            <w:r>
              <w:rPr>
                <w:rFonts w:hint="default"/>
              </w:rPr>
              <w:t>16,500</w:t>
            </w:r>
          </w:p>
        </w:tc>
        <w:tc>
          <w:tcPr>
            <w:tcW w:w="924" w:type="pct"/>
            <w:tcMar>
              <w:top w:w="28" w:type="dxa"/>
              <w:left w:w="28" w:type="dxa"/>
              <w:bottom w:w="28" w:type="dxa"/>
              <w:right w:w="28" w:type="dxa"/>
            </w:tcMar>
            <w:vAlign w:val="center"/>
          </w:tcPr>
          <w:p>
            <w:pPr>
              <w:pStyle w:val="0"/>
              <w:jc w:val="right"/>
              <w:rPr>
                <w:rFonts w:hint="default"/>
              </w:rPr>
            </w:pPr>
            <w:r>
              <w:rPr>
                <w:rFonts w:hint="default"/>
              </w:rPr>
              <w:t>17,300</w:t>
            </w:r>
          </w:p>
        </w:tc>
        <w:tc>
          <w:tcPr>
            <w:tcW w:w="924" w:type="pct"/>
            <w:tcMar>
              <w:top w:w="28" w:type="dxa"/>
              <w:left w:w="28" w:type="dxa"/>
              <w:bottom w:w="28" w:type="dxa"/>
              <w:right w:w="28" w:type="dxa"/>
            </w:tcMar>
            <w:vAlign w:val="center"/>
          </w:tcPr>
          <w:p>
            <w:pPr>
              <w:pStyle w:val="0"/>
              <w:jc w:val="right"/>
              <w:rPr>
                <w:rFonts w:hint="default"/>
              </w:rPr>
            </w:pPr>
            <w:r>
              <w:rPr>
                <w:rFonts w:hint="default"/>
              </w:rPr>
              <w:t>16,630</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※一人当たり医療費は、月平均を算出</w:t>
      </w:r>
    </w:p>
    <w:p>
      <w:pPr>
        <w:pStyle w:val="42"/>
        <w:rPr>
          <w:rFonts w:hint="default"/>
        </w:rPr>
      </w:pPr>
      <w:r>
        <w:rPr>
          <w:rFonts w:hint="eastAsia"/>
        </w:rPr>
        <w:t>※受診率：被保険者千人当たりのレセプト件数</w:t>
      </w:r>
    </w:p>
    <w:p>
      <w:pPr>
        <w:pStyle w:val="42"/>
        <w:rPr>
          <w:rFonts w:hint="default"/>
        </w:rPr>
      </w:pPr>
      <w:r>
        <w:rPr>
          <w:rFonts w:hint="eastAsia"/>
        </w:rPr>
        <w:t>※一件当たり日数：受診した日数</w:t>
      </w:r>
      <w:r>
        <w:rPr>
          <w:rFonts w:hint="eastAsia"/>
        </w:rPr>
        <w:t>/</w:t>
      </w:r>
      <w:r>
        <w:rPr>
          <w:rFonts w:hint="eastAsia"/>
        </w:rPr>
        <w:t>レセプト件数</w:t>
      </w:r>
    </w:p>
    <w:p>
      <w:pPr>
        <w:pStyle w:val="42"/>
        <w:rPr>
          <w:rFonts w:hint="default"/>
        </w:rPr>
      </w:pPr>
      <w:r>
        <w:rPr>
          <w:rFonts w:hint="eastAsia"/>
        </w:rPr>
        <w:t>※一日当たり医療費：総医療費</w:t>
      </w:r>
      <w:r>
        <w:rPr>
          <w:rFonts w:hint="eastAsia"/>
        </w:rPr>
        <w:t>/</w:t>
      </w:r>
      <w:r>
        <w:rPr>
          <w:rFonts w:hint="eastAsia"/>
        </w:rPr>
        <w:t>受診した日数</w:t>
      </w:r>
    </w:p>
    <w:p>
      <w:pPr>
        <w:pStyle w:val="0"/>
        <w:rPr>
          <w:rFonts w:hint="default"/>
        </w:rPr>
      </w:pPr>
      <w:r>
        <w:rPr>
          <w:rFonts w:hint="default"/>
        </w:rPr>
        <w:br w:type="page"/>
      </w:r>
    </w:p>
    <w:p>
      <w:pPr>
        <w:pStyle w:val="3"/>
        <w:rPr>
          <w:rFonts w:hint="default"/>
        </w:rPr>
      </w:pPr>
      <w:bookmarkStart w:id="107" w:name="_Toc162548696"/>
      <w:r>
        <w:rPr>
          <w:rFonts w:hint="default"/>
        </w:rPr>
        <w:t>疾病</w:t>
      </w:r>
      <w:r>
        <w:rPr>
          <w:rFonts w:hint="eastAsia"/>
        </w:rPr>
        <w:t>分類</w:t>
      </w:r>
      <w:r>
        <w:rPr>
          <w:rFonts w:hint="default"/>
        </w:rPr>
        <w:t>別入院医療費</w:t>
      </w:r>
      <w:r>
        <w:rPr>
          <w:rFonts w:hint="eastAsia"/>
        </w:rPr>
        <w:t>及び受診率</w:t>
      </w:r>
      <w:bookmarkEnd w:id="107"/>
    </w:p>
    <w:p>
      <w:pPr>
        <w:pStyle w:val="4"/>
        <w:rPr>
          <w:rFonts w:hint="default"/>
        </w:rPr>
      </w:pPr>
      <w:r>
        <w:rPr>
          <w:rFonts w:hint="eastAsia"/>
        </w:rPr>
        <w:t>疾病分類（大分類）別入院医療費</w:t>
      </w:r>
    </w:p>
    <w:p>
      <w:pPr>
        <w:pStyle w:val="39"/>
        <w:ind w:firstLine="200"/>
        <w:rPr>
          <w:rFonts w:hint="default"/>
        </w:rPr>
      </w:pPr>
      <w:r>
        <w:rPr>
          <w:rFonts w:hint="default"/>
        </w:rPr>
        <w:t>入院医療費について疾病</w:t>
      </w:r>
      <w:r>
        <w:rPr>
          <w:rFonts w:hint="default"/>
        </w:rPr>
        <w:t>19</w:t>
      </w:r>
      <w:r>
        <w:rPr>
          <w:rFonts w:hint="default"/>
        </w:rPr>
        <w:t>分類（大分類）別の構成をみる（</w:t>
      </w:r>
      <w:r>
        <w:rPr>
          <w:rFonts w:hint="eastAsia"/>
        </w:rPr>
        <w:fldChar w:fldCharType="begin"/>
      </w:r>
      <w:r>
        <w:rPr>
          <w:rFonts w:hint="eastAsia"/>
        </w:rPr>
        <w:instrText xml:space="preserve">REF _Ref122510158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1</w:t>
      </w:r>
      <w:r>
        <w:rPr>
          <w:rFonts w:hint="eastAsia"/>
        </w:rPr>
        <w:fldChar w:fldCharType="end"/>
      </w:r>
      <w:r>
        <w:rPr>
          <w:rFonts w:hint="default"/>
        </w:rPr>
        <w:t>）。統計の制約上、医療</w:t>
      </w:r>
      <w:r>
        <w:rPr>
          <w:rFonts w:hint="eastAsia"/>
        </w:rPr>
        <w:t>費</w:t>
      </w:r>
      <w:r>
        <w:rPr>
          <w:rFonts w:hint="default"/>
        </w:rPr>
        <w:t>の</w:t>
      </w:r>
      <w:r>
        <w:rPr>
          <w:rFonts w:hint="default"/>
        </w:rPr>
        <w:t>3</w:t>
      </w:r>
      <w:r>
        <w:rPr>
          <w:rFonts w:hint="default"/>
        </w:rPr>
        <w:t>要素のうち、一日当たり医療費及び一件当たり日数が把握できないため、レセプト一件当たり医療費で代替する。なお、一枚のレセプトに複数の傷病名がある場合は、最も点数が高い疾病</w:t>
      </w:r>
      <w:r>
        <w:rPr>
          <w:rFonts w:hint="eastAsia"/>
        </w:rPr>
        <w:t>で</w:t>
      </w:r>
      <w:r>
        <w:rPr>
          <w:rFonts w:hint="default"/>
        </w:rPr>
        <w:t>集計している。</w:t>
      </w:r>
    </w:p>
    <w:p>
      <w:pPr>
        <w:pStyle w:val="39"/>
        <w:ind w:firstLine="200"/>
        <w:rPr>
          <w:rFonts w:hint="default"/>
        </w:rPr>
      </w:pPr>
      <w:r>
        <w:rPr>
          <w:rFonts w:hint="default"/>
        </w:rPr>
        <w:t>入院医療費が最も高い疾病は「循環器系の疾患」で、年間医療費は</w:t>
      </w:r>
      <w:r>
        <w:rPr>
          <w:rFonts w:hint="eastAsia"/>
        </w:rPr>
        <w:t>約</w:t>
      </w:r>
      <w:r>
        <w:rPr>
          <w:rFonts w:hint="default"/>
        </w:rPr>
        <w:t>4</w:t>
      </w:r>
      <w:r>
        <w:rPr>
          <w:rFonts w:hint="default"/>
        </w:rPr>
        <w:t>億</w:t>
      </w:r>
      <w:r>
        <w:rPr>
          <w:rFonts w:hint="default"/>
        </w:rPr>
        <w:t>3,000</w:t>
      </w:r>
      <w:r>
        <w:rPr>
          <w:rFonts w:hint="default"/>
        </w:rPr>
        <w:t>万円、入院総医療費に占める割合は</w:t>
      </w:r>
      <w:r>
        <w:rPr>
          <w:rFonts w:hint="default"/>
        </w:rPr>
        <w:t>18.4%</w:t>
      </w:r>
      <w:r>
        <w:rPr>
          <w:rFonts w:hint="default"/>
        </w:rPr>
        <w:t>である。次いで高いのは「新生物」で</w:t>
      </w:r>
      <w:r>
        <w:rPr>
          <w:rFonts w:hint="eastAsia"/>
        </w:rPr>
        <w:t>約</w:t>
      </w:r>
      <w:r>
        <w:rPr>
          <w:rFonts w:hint="default"/>
        </w:rPr>
        <w:t>3</w:t>
      </w:r>
      <w:r>
        <w:rPr>
          <w:rFonts w:hint="default"/>
        </w:rPr>
        <w:t>億</w:t>
      </w:r>
      <w:r>
        <w:rPr>
          <w:rFonts w:hint="default"/>
        </w:rPr>
        <w:t>9,300</w:t>
      </w:r>
      <w:r>
        <w:rPr>
          <w:rFonts w:hint="default"/>
        </w:rPr>
        <w:t>万円（</w:t>
      </w:r>
      <w:r>
        <w:rPr>
          <w:rFonts w:hint="default"/>
        </w:rPr>
        <w:t>16.8%</w:t>
      </w:r>
      <w:r>
        <w:rPr>
          <w:rFonts w:hint="default"/>
        </w:rPr>
        <w:t>）であり、これらの疾病で入院総医療費の</w:t>
      </w:r>
      <w:r>
        <w:rPr>
          <w:rFonts w:hint="default"/>
        </w:rPr>
        <w:t>35.2%</w:t>
      </w:r>
      <w:r>
        <w:rPr>
          <w:rFonts w:hint="default"/>
        </w:rPr>
        <w:t>を占めている。</w:t>
      </w:r>
    </w:p>
    <w:p>
      <w:pPr>
        <w:pStyle w:val="39"/>
        <w:ind w:firstLine="200"/>
        <w:rPr>
          <w:rFonts w:hint="default"/>
        </w:rPr>
      </w:pPr>
      <w:r>
        <w:rPr>
          <w:rFonts w:hint="eastAsia"/>
        </w:rPr>
        <w:t>保健事業により予防可能な疾患についてみると、「循環器系の疾患」の受診率及びレセプト一件当たり医療費は、いずれも他の疾病と比較して高い傾向にあり、「循環器系の疾患」の入院医療費が高額な原因となっている。</w:t>
      </w:r>
    </w:p>
    <w:p>
      <w:pPr>
        <w:pStyle w:val="0"/>
        <w:rPr>
          <w:rFonts w:hint="default"/>
        </w:rPr>
      </w:pPr>
    </w:p>
    <w:p>
      <w:pPr>
        <w:pStyle w:val="38"/>
        <w:rPr>
          <w:rFonts w:hint="default"/>
        </w:rPr>
      </w:pPr>
      <w:bookmarkStart w:id="108" w:name="_Ref122510158"/>
      <w:bookmarkStart w:id="109" w:name="_Ref122533783"/>
      <w:bookmarkStart w:id="110" w:name="_Toc12493682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08"/>
      <w:bookmarkEnd w:id="109"/>
      <w:r>
        <w:rPr>
          <w:rFonts w:hint="default"/>
        </w:rPr>
        <w:t>：疾病分類</w:t>
      </w:r>
      <w:r>
        <w:rPr>
          <w:rFonts w:hint="eastAsia"/>
        </w:rPr>
        <w:t>（</w:t>
      </w:r>
      <w:r>
        <w:rPr>
          <w:rFonts w:hint="default"/>
        </w:rPr>
        <w:t>大分類</w:t>
      </w:r>
      <w:r>
        <w:rPr>
          <w:rFonts w:hint="eastAsia"/>
        </w:rPr>
        <w:t>）</w:t>
      </w:r>
      <w:r>
        <w:rPr>
          <w:rFonts w:hint="default"/>
        </w:rPr>
        <w:t>別</w:t>
      </w:r>
      <w:r>
        <w:rPr>
          <w:rFonts w:hint="default"/>
        </w:rPr>
        <w:t>_</w:t>
      </w:r>
      <w:r>
        <w:rPr>
          <w:rFonts w:hint="default"/>
        </w:rPr>
        <w:t>入院医療費（男女合計）</w:t>
      </w:r>
      <w:bookmarkEnd w:id="110"/>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715"/>
        <w:gridCol w:w="2950"/>
        <w:gridCol w:w="1322"/>
        <w:gridCol w:w="943"/>
        <w:gridCol w:w="849"/>
        <w:gridCol w:w="849"/>
        <w:gridCol w:w="849"/>
        <w:gridCol w:w="898"/>
      </w:tblGrid>
      <w:tr>
        <w:trPr>
          <w:trHeight w:val="179" w:hRule="atLeast"/>
        </w:trPr>
        <w:tc>
          <w:tcPr>
            <w:tcW w:w="381"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順位</w:t>
            </w:r>
          </w:p>
        </w:tc>
        <w:tc>
          <w:tcPr>
            <w:tcW w:w="157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w:t>
            </w:r>
            <w:r>
              <w:rPr>
                <w:rFonts w:hint="default"/>
                <w:b w:val="1"/>
              </w:rPr>
              <w:t>類</w:t>
            </w:r>
            <w:r>
              <w:rPr>
                <w:rFonts w:hint="eastAsia"/>
                <w:b w:val="1"/>
              </w:rPr>
              <w:t>（大分類）</w:t>
            </w:r>
          </w:p>
        </w:tc>
        <w:tc>
          <w:tcPr>
            <w:tcW w:w="705"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医療費（円）</w:t>
            </w:r>
          </w:p>
        </w:tc>
        <w:tc>
          <w:tcPr>
            <w:tcW w:w="2342" w:type="pct"/>
            <w:gridSpan w:val="5"/>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p>
        </w:tc>
      </w:tr>
      <w:tr>
        <w:trPr>
          <w:trHeight w:val="179" w:hRule="atLeast"/>
        </w:trPr>
        <w:tc>
          <w:tcPr>
            <w:tcW w:w="381"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57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705"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0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一人当たり</w:t>
            </w:r>
          </w:p>
          <w:p>
            <w:pPr>
              <w:pStyle w:val="0"/>
              <w:jc w:val="center"/>
              <w:rPr>
                <w:rFonts w:hint="default"/>
                <w:b w:val="1"/>
                <w:sz w:val="14"/>
              </w:rPr>
            </w:pPr>
            <w:r>
              <w:rPr>
                <w:rFonts w:hint="eastAsia"/>
                <w:b w:val="1"/>
                <w:sz w:val="14"/>
              </w:rPr>
              <w:t>医療費</w:t>
            </w:r>
            <w:r>
              <w:rPr>
                <w:rFonts w:hint="default"/>
                <w:b w:val="1"/>
                <w:sz w:val="14"/>
              </w:rPr>
              <w:t>（円）</w:t>
            </w:r>
          </w:p>
        </w:tc>
        <w:tc>
          <w:tcPr>
            <w:tcW w:w="45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453"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受診率</w:t>
            </w:r>
          </w:p>
        </w:tc>
        <w:tc>
          <w:tcPr>
            <w:tcW w:w="453"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p>
            <w:pPr>
              <w:pStyle w:val="0"/>
              <w:jc w:val="center"/>
              <w:rPr>
                <w:rFonts w:hint="default"/>
                <w:b w:val="1"/>
                <w:sz w:val="14"/>
              </w:rPr>
            </w:pPr>
            <w:r>
              <w:rPr>
                <w:rFonts w:hint="eastAsia"/>
                <w:b w:val="1"/>
                <w:sz w:val="14"/>
              </w:rPr>
              <w:t>（受診率）</w:t>
            </w:r>
          </w:p>
        </w:tc>
        <w:tc>
          <w:tcPr>
            <w:tcW w:w="480"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レセプト</w:t>
            </w:r>
          </w:p>
          <w:p>
            <w:pPr>
              <w:pStyle w:val="0"/>
              <w:jc w:val="center"/>
              <w:rPr>
                <w:rFonts w:hint="default"/>
                <w:b w:val="1"/>
                <w:sz w:val="14"/>
              </w:rPr>
            </w:pPr>
            <w:r>
              <w:rPr>
                <w:rFonts w:hint="default"/>
                <w:b w:val="1"/>
                <w:sz w:val="14"/>
              </w:rPr>
              <w:t>一件当たり</w:t>
            </w:r>
          </w:p>
          <w:p>
            <w:pPr>
              <w:pStyle w:val="0"/>
              <w:jc w:val="center"/>
              <w:rPr>
                <w:rFonts w:hint="default"/>
                <w:b w:val="1"/>
                <w:sz w:val="14"/>
              </w:rPr>
            </w:pPr>
            <w:r>
              <w:rPr>
                <w:rFonts w:hint="default"/>
                <w:b w:val="1"/>
                <w:sz w:val="14"/>
              </w:rPr>
              <w:t>医療費（円）</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循環器系の疾患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429,897,130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22,106</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18.4%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23.0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11.9%</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959,592</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新生物</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393,368,940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20,228</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16.8%</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22.5</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11.7%</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898,103</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精神及び行動の障害</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275,400,160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14,162</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11.8%</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30.6</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15.8%</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462,857</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筋骨格系及び結合組織の疾患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213,682,510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10,988</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9.1%</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7.5%</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760,436</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神経系の疾患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186,825,850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9,607</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8.0%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18.4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9.5%</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521,860</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尿路性器系の疾患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162,057,840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8,333</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13.2</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6.8%</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630,575</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呼吸器系の疾患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144,772,290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7,444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10.8</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689,392</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消化器系の疾患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134,293,100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6,906</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17.0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8.8%</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405,719</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損傷、中毒及びその他の外因の影響</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115,319,390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5,930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4.9%</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10.9</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543,959</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内分泌、栄養及び代謝疾患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46,759,630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2,404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472,319</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11</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感染症及び寄生虫症</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32,373,420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1,665</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703,770</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12</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眼及び付属器の疾患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31,302,210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1,610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4.6</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2.4%</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347,802</w:t>
            </w:r>
          </w:p>
        </w:tc>
      </w:tr>
      <w:tr>
        <w:trPr>
          <w:trHeight w:val="30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13</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症状、徴候及び異常臨床検査所見で他に分類されないもの</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26,810,610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1,379</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470,362</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14</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血液及び造血器の疾患並びに免疫機構の障害</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21,609,180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1,111</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0.9%</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0.7%</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800,340</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15</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周産期に発生した病態</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15,358,240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790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0.7%</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0.6%</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731,345</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16</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皮膚及び皮下組織の疾患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11,190,110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575</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0.7%</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399,647</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17</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妊娠、分娩及び産じょく</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7,243,180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372</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0.8%</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233,651</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18</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先天奇形、変形及び染色体異常</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5,056,340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260</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632,043</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default"/>
              </w:rPr>
              <w:t>19</w:t>
            </w:r>
            <w:r>
              <w:rPr>
                <w:rFonts w:hint="default"/>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耳及び乳様突起の疾患</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3,187,010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164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398,376</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eastAsia"/>
              </w:rPr>
              <w:t>-</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86,025,250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4,424</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10.7</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411,604</w:t>
            </w:r>
          </w:p>
        </w:tc>
      </w:tr>
      <w:tr>
        <w:trPr>
          <w:trHeight w:val="179" w:hRule="atLeast"/>
        </w:trPr>
        <w:tc>
          <w:tcPr>
            <w:tcW w:w="381" w:type="pct"/>
            <w:shd w:val="clear" w:color="auto" w:fill="auto"/>
            <w:tcMar>
              <w:top w:w="28" w:type="dxa"/>
              <w:left w:w="28" w:type="dxa"/>
              <w:bottom w:w="28" w:type="dxa"/>
              <w:right w:w="28" w:type="dxa"/>
            </w:tcMar>
            <w:vAlign w:val="center"/>
          </w:tcPr>
          <w:p>
            <w:pPr>
              <w:pStyle w:val="0"/>
              <w:jc w:val="center"/>
              <w:rPr>
                <w:rFonts w:hint="default"/>
              </w:rPr>
            </w:pPr>
            <w:r>
              <w:rPr>
                <w:rFonts w:hint="eastAsia"/>
              </w:rPr>
              <w:t>-</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総計</w:t>
            </w:r>
          </w:p>
        </w:tc>
        <w:tc>
          <w:tcPr>
            <w:tcW w:w="705" w:type="pct"/>
            <w:shd w:val="clear" w:color="auto" w:fill="auto"/>
            <w:tcMar>
              <w:top w:w="28" w:type="dxa"/>
              <w:left w:w="28" w:type="dxa"/>
              <w:bottom w:w="28" w:type="dxa"/>
              <w:right w:w="28" w:type="dxa"/>
            </w:tcMar>
            <w:vAlign w:val="center"/>
          </w:tcPr>
          <w:p>
            <w:pPr>
              <w:pStyle w:val="0"/>
              <w:jc w:val="right"/>
              <w:rPr>
                <w:rFonts w:hint="default"/>
              </w:rPr>
            </w:pPr>
            <w:r>
              <w:rPr>
                <w:rFonts w:hint="default"/>
              </w:rPr>
              <w:t>2,342,532,390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53"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80"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S23_003-</w:t>
      </w:r>
      <w:r>
        <w:rPr>
          <w:rFonts w:hint="default"/>
        </w:rPr>
        <w:t>疾病別医療費分析（大分類）</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w:t>
      </w:r>
      <w:r>
        <w:rPr>
          <w:rFonts w:hint="eastAsia"/>
        </w:rPr>
        <w:fldChar w:fldCharType="begin"/>
      </w:r>
      <w:r>
        <w:rPr>
          <w:rFonts w:hint="eastAsia"/>
        </w:rPr>
        <w:instrText xml:space="preserve">REF _Ref122525728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1</w:t>
      </w:r>
      <w:r>
        <w:rPr>
          <w:rFonts w:hint="eastAsia"/>
        </w:rPr>
        <w:t>-</w:t>
      </w:r>
      <w:r>
        <w:rPr>
          <w:rFonts w:hint="default"/>
        </w:rPr>
        <w:t>1</w:t>
      </w:r>
      <w:r>
        <w:rPr>
          <w:rFonts w:hint="eastAsia"/>
        </w:rPr>
        <w:fldChar w:fldCharType="end"/>
      </w:r>
      <w:r>
        <w:rPr>
          <w:rFonts w:hint="default"/>
        </w:rPr>
        <w:t>の入院医療費と総計が異なるのは、</w:t>
      </w:r>
      <w:r>
        <w:rPr>
          <w:rFonts w:hint="eastAsia"/>
        </w:rPr>
        <w:fldChar w:fldCharType="begin"/>
      </w:r>
      <w:r>
        <w:rPr>
          <w:rFonts w:hint="eastAsia"/>
        </w:rPr>
        <w:instrText xml:space="preserve">REF _Ref122525728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1</w:t>
      </w:r>
      <w:r>
        <w:rPr>
          <w:rFonts w:hint="eastAsia"/>
        </w:rPr>
        <w:t>-</w:t>
      </w:r>
      <w:r>
        <w:rPr>
          <w:rFonts w:hint="default"/>
        </w:rPr>
        <w:t>1</w:t>
      </w:r>
      <w:r>
        <w:rPr>
          <w:rFonts w:hint="eastAsia"/>
        </w:rPr>
        <w:fldChar w:fldCharType="end"/>
      </w:r>
      <w:r>
        <w:rPr>
          <w:rFonts w:hint="default"/>
        </w:rPr>
        <w:t>においては年齢に関係なく、国保のレセプトを集計しているのに対し、本表では被保険者の生年月日から算出した年齢によって集計対象のレセプトを絞り込んでいるためである</w:t>
      </w:r>
    </w:p>
    <w:p>
      <w:pPr>
        <w:pStyle w:val="42"/>
        <w:rPr>
          <w:rFonts w:hint="default"/>
        </w:rPr>
      </w:pPr>
      <w:r>
        <w:rPr>
          <w:rFonts w:hint="eastAsia"/>
        </w:rPr>
        <w:t>※疾病分類別の一人当たり医療費は、該当疾病分類における年間の医療費を各年度の各月毎の被保険者数から算出する年間平均被保険者数で割ったものである（以下同様）</w:t>
      </w:r>
    </w:p>
    <w:p>
      <w:pPr>
        <w:pStyle w:val="42"/>
        <w:rPr>
          <w:rFonts w:hint="default"/>
        </w:rPr>
      </w:pPr>
      <w:r>
        <w:rPr>
          <w:rFonts w:hint="eastAsia"/>
        </w:rPr>
        <w:t>※</w:t>
      </w:r>
      <w:r>
        <w:rPr>
          <w:rFonts w:hint="eastAsia"/>
        </w:rPr>
        <w:t>KDB</w:t>
      </w:r>
      <w:r>
        <w:rPr>
          <w:rFonts w:hint="eastAsia"/>
        </w:rPr>
        <w:t>システムにて設定されている疾病分類（大分類）区分のうち、特殊目的用コード、傷病及び死亡の外因、健康状態に影響を及ぼす要因及び保健サービスの利用、その他（上記以外のもの）を「その他」にまとめている</w:t>
      </w:r>
    </w:p>
    <w:p>
      <w:pPr>
        <w:pStyle w:val="0"/>
        <w:rPr>
          <w:rFonts w:hint="default"/>
        </w:rPr>
      </w:pPr>
      <w:r>
        <w:rPr>
          <w:rFonts w:hint="default"/>
        </w:rPr>
        <w:br w:type="page"/>
      </w:r>
    </w:p>
    <w:p>
      <w:pPr>
        <w:pStyle w:val="4"/>
        <w:rPr>
          <w:rFonts w:hint="default"/>
        </w:rPr>
      </w:pPr>
      <w:r>
        <w:rPr>
          <w:rFonts w:hint="eastAsia"/>
        </w:rPr>
        <w:t>疾病分類（中分類）別入院医療費</w:t>
      </w:r>
    </w:p>
    <w:p>
      <w:pPr>
        <w:pStyle w:val="39"/>
        <w:ind w:firstLine="200"/>
        <w:rPr>
          <w:rFonts w:hint="default"/>
        </w:rPr>
      </w:pPr>
      <w:r>
        <w:rPr>
          <w:rFonts w:hint="eastAsia"/>
        </w:rPr>
        <w:t>入院医療費を疾病中分類別</w:t>
      </w:r>
      <w:r>
        <w:rPr>
          <w:rFonts w:hint="default"/>
        </w:rPr>
        <w:t>にみると</w:t>
      </w:r>
      <w:r>
        <w:rPr>
          <w:rFonts w:hint="eastAsia"/>
        </w:rPr>
        <w:t>（</w:t>
      </w:r>
      <w:r>
        <w:rPr>
          <w:rFonts w:hint="eastAsia"/>
        </w:rPr>
        <w:fldChar w:fldCharType="begin"/>
      </w:r>
      <w:r>
        <w:rPr>
          <w:rFonts w:hint="eastAsia"/>
        </w:rPr>
        <w:instrText xml:space="preserve">REF _Ref122533871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2</w:t>
      </w:r>
      <w:r>
        <w:rPr>
          <w:rFonts w:hint="eastAsia"/>
        </w:rPr>
        <w:fldChar w:fldCharType="end"/>
      </w:r>
      <w:r>
        <w:rPr>
          <w:rFonts w:hint="default"/>
        </w:rPr>
        <w:t>）、「その他の心疾患」の医療費が最も高く</w:t>
      </w:r>
      <w:r>
        <w:rPr>
          <w:rFonts w:hint="eastAsia"/>
        </w:rPr>
        <w:t>約</w:t>
      </w:r>
      <w:r>
        <w:rPr>
          <w:rFonts w:hint="default"/>
        </w:rPr>
        <w:t>1</w:t>
      </w:r>
      <w:r>
        <w:rPr>
          <w:rFonts w:hint="default"/>
        </w:rPr>
        <w:t>億</w:t>
      </w:r>
      <w:r>
        <w:rPr>
          <w:rFonts w:hint="default"/>
        </w:rPr>
        <w:t>9,900</w:t>
      </w:r>
      <w:r>
        <w:rPr>
          <w:rFonts w:hint="default"/>
        </w:rPr>
        <w:t>万円で、</w:t>
      </w:r>
      <w:r>
        <w:rPr>
          <w:rFonts w:hint="default"/>
        </w:rPr>
        <w:t>8.5%</w:t>
      </w:r>
      <w:r>
        <w:rPr>
          <w:rFonts w:hint="default"/>
        </w:rPr>
        <w:t>を占めている。</w:t>
      </w:r>
    </w:p>
    <w:p>
      <w:pPr>
        <w:pStyle w:val="39"/>
        <w:ind w:firstLine="200"/>
        <w:rPr>
          <w:rFonts w:hint="default"/>
        </w:rPr>
      </w:pPr>
      <w:r>
        <w:rPr>
          <w:rFonts w:hint="default"/>
        </w:rPr>
        <w:t>循環器系疾患の入院医療費をみると、「脳梗塞」が</w:t>
      </w:r>
      <w:r>
        <w:rPr>
          <w:rFonts w:hint="default"/>
        </w:rPr>
        <w:t>8</w:t>
      </w:r>
      <w:r>
        <w:rPr>
          <w:rFonts w:hint="default"/>
        </w:rPr>
        <w:t>位（</w:t>
      </w:r>
      <w:r>
        <w:rPr>
          <w:rFonts w:hint="default"/>
        </w:rPr>
        <w:t>3.4%</w:t>
      </w:r>
      <w:r>
        <w:rPr>
          <w:rFonts w:hint="default"/>
        </w:rPr>
        <w:t>）、「虚血性心疾患」が</w:t>
      </w:r>
      <w:r>
        <w:rPr>
          <w:rFonts w:hint="default"/>
        </w:rPr>
        <w:t>9</w:t>
      </w:r>
      <w:r>
        <w:rPr>
          <w:rFonts w:hint="default"/>
        </w:rPr>
        <w:t>位（</w:t>
      </w:r>
      <w:r>
        <w:rPr>
          <w:rFonts w:hint="default"/>
        </w:rPr>
        <w:t>3.2%</w:t>
      </w:r>
      <w:r>
        <w:rPr>
          <w:rFonts w:hint="default"/>
        </w:rPr>
        <w:t>）となっている。</w:t>
      </w:r>
    </w:p>
    <w:p>
      <w:pPr>
        <w:pStyle w:val="39"/>
        <w:ind w:firstLine="200"/>
        <w:rPr>
          <w:rFonts w:hint="default"/>
        </w:rPr>
      </w:pPr>
      <w:r>
        <w:rPr>
          <w:rFonts w:hint="default"/>
        </w:rPr>
        <w:t>これらの上位</w:t>
      </w:r>
      <w:r>
        <w:rPr>
          <w:rFonts w:hint="default"/>
        </w:rPr>
        <w:t>20</w:t>
      </w:r>
      <w:r>
        <w:rPr>
          <w:rFonts w:hint="default"/>
        </w:rPr>
        <w:t>疾病で、入院総医療費の</w:t>
      </w:r>
      <w:r>
        <w:rPr>
          <w:rFonts w:hint="default"/>
        </w:rPr>
        <w:t>69.1%</w:t>
      </w:r>
      <w:r>
        <w:rPr>
          <w:rFonts w:hint="default"/>
        </w:rPr>
        <w:t>を占めている。</w:t>
      </w:r>
    </w:p>
    <w:p>
      <w:pPr>
        <w:pStyle w:val="0"/>
        <w:rPr>
          <w:rFonts w:hint="default"/>
        </w:rPr>
      </w:pPr>
    </w:p>
    <w:p>
      <w:pPr>
        <w:pStyle w:val="38"/>
        <w:rPr>
          <w:rFonts w:hint="default"/>
        </w:rPr>
      </w:pPr>
      <w:bookmarkStart w:id="111" w:name="_Ref122533871"/>
      <w:bookmarkStart w:id="112" w:name="_Toc124936824"/>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111"/>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入院医療費</w:t>
      </w:r>
      <w:r>
        <w:rPr>
          <w:rFonts w:hint="default"/>
        </w:rPr>
        <w:t>_</w:t>
      </w:r>
      <w:r>
        <w:rPr>
          <w:rFonts w:hint="default"/>
        </w:rPr>
        <w:t>上位</w:t>
      </w:r>
      <w:r>
        <w:rPr>
          <w:rFonts w:hint="default"/>
        </w:rPr>
        <w:t>20</w:t>
      </w:r>
      <w:r>
        <w:rPr>
          <w:rFonts w:hint="default"/>
        </w:rPr>
        <w:t>疾病（男女合計）</w:t>
      </w:r>
      <w:bookmarkEnd w:id="112"/>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05"/>
        <w:gridCol w:w="2994"/>
        <w:gridCol w:w="1401"/>
        <w:gridCol w:w="943"/>
        <w:gridCol w:w="804"/>
        <w:gridCol w:w="874"/>
        <w:gridCol w:w="756"/>
        <w:gridCol w:w="998"/>
      </w:tblGrid>
      <w:tr>
        <w:trPr>
          <w:trHeight w:val="20" w:hRule="atLeast"/>
        </w:trPr>
        <w:tc>
          <w:tcPr>
            <w:tcW w:w="32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順位</w:t>
            </w:r>
          </w:p>
        </w:tc>
        <w:tc>
          <w:tcPr>
            <w:tcW w:w="1597"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疾病分類（中分類）</w:t>
            </w:r>
          </w:p>
        </w:tc>
        <w:tc>
          <w:tcPr>
            <w:tcW w:w="747"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医療費（円）</w:t>
            </w:r>
          </w:p>
        </w:tc>
        <w:tc>
          <w:tcPr>
            <w:tcW w:w="2333" w:type="pct"/>
            <w:gridSpan w:val="5"/>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p>
        </w:tc>
      </w:tr>
      <w:tr>
        <w:trPr>
          <w:trHeight w:val="20" w:hRule="atLeast"/>
        </w:trPr>
        <w:tc>
          <w:tcPr>
            <w:tcW w:w="32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597"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747"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03"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一人当たり</w:t>
            </w:r>
          </w:p>
          <w:p>
            <w:pPr>
              <w:pStyle w:val="0"/>
              <w:jc w:val="center"/>
              <w:rPr>
                <w:rFonts w:hint="default"/>
                <w:b w:val="1"/>
                <w:sz w:val="14"/>
              </w:rPr>
            </w:pPr>
            <w:r>
              <w:rPr>
                <w:rFonts w:hint="eastAsia"/>
                <w:b w:val="1"/>
                <w:sz w:val="14"/>
              </w:rPr>
              <w:t>医療費</w:t>
            </w:r>
            <w:r>
              <w:rPr>
                <w:rFonts w:hint="default"/>
                <w:b w:val="1"/>
                <w:sz w:val="14"/>
              </w:rPr>
              <w:t>（円）</w:t>
            </w:r>
          </w:p>
        </w:tc>
        <w:tc>
          <w:tcPr>
            <w:tcW w:w="429"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466"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受診率</w:t>
            </w:r>
          </w:p>
        </w:tc>
        <w:tc>
          <w:tcPr>
            <w:tcW w:w="403"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p>
            <w:pPr>
              <w:pStyle w:val="0"/>
              <w:jc w:val="center"/>
              <w:rPr>
                <w:rFonts w:hint="default"/>
                <w:b w:val="1"/>
                <w:sz w:val="14"/>
              </w:rPr>
            </w:pPr>
            <w:r>
              <w:rPr>
                <w:rFonts w:hint="eastAsia"/>
                <w:b w:val="1"/>
                <w:sz w:val="14"/>
              </w:rPr>
              <w:t>（受診率）</w:t>
            </w:r>
          </w:p>
        </w:tc>
        <w:tc>
          <w:tcPr>
            <w:tcW w:w="531"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レセプト</w:t>
            </w:r>
          </w:p>
          <w:p>
            <w:pPr>
              <w:pStyle w:val="0"/>
              <w:jc w:val="center"/>
              <w:rPr>
                <w:rFonts w:hint="default"/>
                <w:b w:val="1"/>
                <w:sz w:val="14"/>
              </w:rPr>
            </w:pPr>
            <w:r>
              <w:rPr>
                <w:rFonts w:hint="default"/>
                <w:b w:val="1"/>
                <w:sz w:val="14"/>
              </w:rPr>
              <w:t>一件当たり</w:t>
            </w:r>
          </w:p>
          <w:p>
            <w:pPr>
              <w:pStyle w:val="0"/>
              <w:jc w:val="center"/>
              <w:rPr>
                <w:rFonts w:hint="default"/>
                <w:b w:val="1"/>
                <w:sz w:val="14"/>
              </w:rPr>
            </w:pPr>
            <w:r>
              <w:rPr>
                <w:rFonts w:hint="default"/>
                <w:b w:val="1"/>
                <w:sz w:val="14"/>
              </w:rPr>
              <w:t>医療費（円）</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その他の心疾患</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198,944,620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10,230</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8.5%</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8.5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1,205,725</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その他の悪性新生物</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137,039,920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7,047</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5.9%</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8.4</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4.3%</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840,736</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統合失調症、統合失調症型障害及び妄想性障害</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129,698,830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6,669</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16.6</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8.6%</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402,791</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119,131,460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6,126</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7.7</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799,540</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その他の神経系の疾患</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103,015,220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5,297</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502,513</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その他の呼吸器系の疾患</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99,001,100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5,091</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4.2%</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6.3</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3.3%</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804,887</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その他の消化器系の疾患</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88,977,020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4,575</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5.9%</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399,000</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脳梗塞</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78,926,670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4,059</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711,051</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虚血性心疾患</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75,090,540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3,861</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883,418</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関節症</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71,302,300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3,666</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1.9%</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976,744</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11</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骨折</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67,631,000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3,478</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532,528</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12</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その他の筋骨格系及び結合組織の疾患</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67,394,690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3,466</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635,799</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13</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気管、気管支及び肺の悪性新生物</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65,229,470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3,354</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959,257</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14</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その他の特殊目的用コード</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59,352,940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3,052</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860,188</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15</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気分（感情）障害（躁うつ病を含む）</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55,193,310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2,838</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2.4%</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431,198</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16</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その他の精神及び行動の障害</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47,722,290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2,454</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2.1%</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619,770</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17</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脊椎障害（脊椎症を含む）</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41,644,650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2,141</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0.9%</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1,189,847</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18</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その他損傷及びその他外因の影響</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40,005,220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2,057</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1.7%</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1.9%</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571,503</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19</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脳性麻痺及びその他の麻痺性症候群</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37,250,600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1,915</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653,519</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20</w:t>
            </w:r>
            <w:r>
              <w:rPr>
                <w:rFonts w:hint="eastAsia"/>
              </w:rPr>
              <w:t>位</w:t>
            </w:r>
          </w:p>
        </w:tc>
        <w:tc>
          <w:tcPr>
            <w:tcW w:w="1597" w:type="pct"/>
            <w:shd w:val="clear" w:color="auto" w:fill="auto"/>
            <w:tcMar>
              <w:top w:w="28" w:type="dxa"/>
              <w:left w:w="28" w:type="dxa"/>
              <w:bottom w:w="28" w:type="dxa"/>
              <w:right w:w="28" w:type="dxa"/>
            </w:tcMar>
            <w:vAlign w:val="center"/>
          </w:tcPr>
          <w:p>
            <w:pPr>
              <w:pStyle w:val="0"/>
              <w:rPr>
                <w:rFonts w:hint="default"/>
              </w:rPr>
            </w:pPr>
            <w:r>
              <w:rPr>
                <w:rFonts w:hint="default"/>
              </w:rPr>
              <w:t>悪性リンパ腫</w:t>
            </w:r>
          </w:p>
        </w:tc>
        <w:tc>
          <w:tcPr>
            <w:tcW w:w="747" w:type="pct"/>
            <w:shd w:val="clear" w:color="auto" w:fill="auto"/>
            <w:tcMar>
              <w:top w:w="28" w:type="dxa"/>
              <w:left w:w="28" w:type="dxa"/>
              <w:bottom w:w="28" w:type="dxa"/>
              <w:right w:w="28" w:type="dxa"/>
            </w:tcMar>
            <w:vAlign w:val="center"/>
          </w:tcPr>
          <w:p>
            <w:pPr>
              <w:pStyle w:val="0"/>
              <w:jc w:val="right"/>
              <w:rPr>
                <w:rFonts w:hint="default"/>
              </w:rPr>
            </w:pPr>
            <w:r>
              <w:rPr>
                <w:rFonts w:hint="default"/>
              </w:rPr>
              <w:t>35,569,020</w:t>
            </w:r>
          </w:p>
        </w:tc>
        <w:tc>
          <w:tcPr>
            <w:tcW w:w="503" w:type="pct"/>
            <w:shd w:val="clear" w:color="auto" w:fill="auto"/>
            <w:tcMar>
              <w:top w:w="28" w:type="dxa"/>
              <w:left w:w="28" w:type="dxa"/>
              <w:bottom w:w="28" w:type="dxa"/>
              <w:right w:w="28" w:type="dxa"/>
            </w:tcMar>
            <w:vAlign w:val="center"/>
          </w:tcPr>
          <w:p>
            <w:pPr>
              <w:pStyle w:val="0"/>
              <w:jc w:val="right"/>
              <w:rPr>
                <w:rFonts w:hint="default"/>
              </w:rPr>
            </w:pPr>
            <w:r>
              <w:rPr>
                <w:rFonts w:hint="default"/>
              </w:rPr>
              <w:t>1,829</w:t>
            </w:r>
          </w:p>
        </w:tc>
        <w:tc>
          <w:tcPr>
            <w:tcW w:w="429"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66"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403" w:type="pct"/>
            <w:shd w:val="clear" w:color="auto" w:fill="auto"/>
            <w:tcMar>
              <w:top w:w="28" w:type="dxa"/>
              <w:left w:w="28" w:type="dxa"/>
              <w:bottom w:w="28" w:type="dxa"/>
              <w:right w:w="28" w:type="dxa"/>
            </w:tcMar>
            <w:vAlign w:val="center"/>
          </w:tcPr>
          <w:p>
            <w:pPr>
              <w:pStyle w:val="0"/>
              <w:jc w:val="right"/>
              <w:rPr>
                <w:rFonts w:hint="default"/>
              </w:rPr>
            </w:pPr>
            <w:r>
              <w:rPr>
                <w:rFonts w:hint="default"/>
              </w:rPr>
              <w:t>0.6%</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default"/>
              </w:rPr>
              <w:t>1,693,763</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4"/>
        <w:rPr>
          <w:rFonts w:hint="default"/>
        </w:rPr>
      </w:pPr>
      <w:r>
        <w:rPr>
          <w:rFonts w:hint="eastAsia"/>
        </w:rPr>
        <w:t>疾病分類（中分類）別入院受診率の比較</w:t>
      </w:r>
    </w:p>
    <w:p>
      <w:pPr>
        <w:pStyle w:val="39"/>
        <w:ind w:firstLine="200"/>
        <w:rPr>
          <w:rFonts w:hint="default"/>
        </w:rPr>
      </w:pPr>
      <w:r>
        <w:rPr>
          <w:rFonts w:hint="eastAsia"/>
        </w:rPr>
        <w:t>入院医療費が上位の疾病について、国と受診率を比較する（</w:t>
      </w:r>
      <w:r>
        <w:rPr>
          <w:rFonts w:hint="eastAsia"/>
        </w:rPr>
        <w:fldChar w:fldCharType="begin"/>
      </w:r>
      <w:r>
        <w:rPr>
          <w:rFonts w:hint="eastAsia"/>
        </w:rPr>
        <w:instrText xml:space="preserve">REF _Ref122533946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3</w:t>
      </w:r>
      <w:r>
        <w:rPr>
          <w:rFonts w:hint="eastAsia"/>
        </w:rPr>
        <w:fldChar w:fldCharType="end"/>
      </w:r>
      <w:r>
        <w:rPr>
          <w:rFonts w:hint="default"/>
        </w:rPr>
        <w:t>）。国との比が</w:t>
      </w:r>
      <w:r>
        <w:rPr>
          <w:rFonts w:hint="default"/>
        </w:rPr>
        <w:t>1</w:t>
      </w:r>
      <w:r>
        <w:rPr>
          <w:rFonts w:hint="default"/>
        </w:rPr>
        <w:t>を超えているものは国よりも受診率が高い疾病、すなわち医療機関を受診している</w:t>
      </w:r>
      <w:r>
        <w:rPr>
          <w:rFonts w:hint="eastAsia"/>
        </w:rPr>
        <w:t>もの</w:t>
      </w:r>
      <w:r>
        <w:rPr>
          <w:rFonts w:hint="default"/>
        </w:rPr>
        <w:t>が国平均よりも多い疾病である。国と比較して受診率が特に高い疾病は「腎不全」「</w:t>
      </w:r>
      <w:r>
        <w:rPr>
          <w:rFonts w:hint="eastAsia"/>
        </w:rPr>
        <w:t>脳梗塞</w:t>
      </w:r>
      <w:r>
        <w:rPr>
          <w:rFonts w:hint="default"/>
        </w:rPr>
        <w:t>」「その他の精神及び行動の障害」である。</w:t>
      </w:r>
    </w:p>
    <w:p>
      <w:pPr>
        <w:pStyle w:val="39"/>
        <w:ind w:firstLine="200"/>
        <w:rPr>
          <w:rFonts w:hint="default"/>
        </w:rPr>
      </w:pPr>
      <w:r>
        <w:rPr>
          <w:rFonts w:hint="eastAsia"/>
        </w:rPr>
        <w:t>また、前述した循環器系疾患について国との受診率の比をみると</w:t>
      </w:r>
      <w:r>
        <w:rPr>
          <w:rFonts w:hint="default"/>
        </w:rPr>
        <w:t>、「脳梗塞」が</w:t>
      </w:r>
      <w:r>
        <w:rPr>
          <w:rFonts w:hint="default"/>
        </w:rPr>
        <w:t>1.0</w:t>
      </w:r>
      <w:r>
        <w:rPr>
          <w:rFonts w:hint="default"/>
        </w:rPr>
        <w:t>、「虚血性心疾患」</w:t>
      </w:r>
      <w:r>
        <w:rPr>
          <w:rFonts w:hint="eastAsia"/>
        </w:rPr>
        <w:t>が</w:t>
      </w:r>
      <w:r>
        <w:rPr>
          <w:rFonts w:hint="default"/>
        </w:rPr>
        <w:t>0.9</w:t>
      </w:r>
      <w:r>
        <w:rPr>
          <w:rFonts w:hint="default"/>
        </w:rPr>
        <w:t>となっている。</w:t>
      </w:r>
    </w:p>
    <w:p>
      <w:pPr>
        <w:pStyle w:val="0"/>
        <w:rPr>
          <w:rFonts w:hint="default"/>
        </w:rPr>
      </w:pPr>
    </w:p>
    <w:p>
      <w:pPr>
        <w:pStyle w:val="38"/>
        <w:rPr>
          <w:rFonts w:hint="default"/>
        </w:rPr>
      </w:pPr>
      <w:bookmarkStart w:id="113" w:name="_Ref122533946"/>
      <w:bookmarkStart w:id="114" w:name="_Toc124936825"/>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113"/>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入院</w:t>
      </w:r>
      <w:r>
        <w:rPr>
          <w:rFonts w:hint="eastAsia"/>
        </w:rPr>
        <w:t>受診率</w:t>
      </w:r>
      <w:r>
        <w:rPr>
          <w:rFonts w:hint="default"/>
        </w:rPr>
        <w:t>比較</w:t>
      </w:r>
      <w:r>
        <w:rPr>
          <w:rFonts w:hint="default"/>
        </w:rPr>
        <w:t>_</w:t>
      </w:r>
      <w:r>
        <w:rPr>
          <w:rFonts w:hint="default"/>
        </w:rPr>
        <w:t>上位の疾病（男女合計）</w:t>
      </w:r>
      <w:bookmarkEnd w:id="114"/>
    </w:p>
    <w:p>
      <w:pPr>
        <w:pStyle w:val="0"/>
        <w:jc w:val="center"/>
        <w:rPr>
          <w:rFonts w:hint="default"/>
          <w:b w:val="1"/>
        </w:rPr>
      </w:pPr>
      <w:r>
        <w:rPr>
          <w:rFonts w:hint="eastAsia"/>
          <w:b w:val="1"/>
        </w:rPr>
        <w:drawing>
          <wp:inline distT="0" distB="0" distL="0" distR="0">
            <wp:extent cx="5939790" cy="2375535"/>
            <wp:effectExtent l="0" t="0" r="0" b="0"/>
            <wp:docPr id="1090" name="オブジェクト 0"/>
            <a:graphic xmlns:a="http://schemas.openxmlformats.org/drawingml/2006/main">
              <a:graphicData uri="http://schemas.openxmlformats.org/drawingml/2006/chart">
                <c:chart xmlns:c="http://schemas.openxmlformats.org/drawingml/2006/chart" r:id="rId45"/>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09"/>
        <w:gridCol w:w="3836"/>
        <w:gridCol w:w="728"/>
        <w:gridCol w:w="728"/>
        <w:gridCol w:w="728"/>
        <w:gridCol w:w="729"/>
        <w:gridCol w:w="671"/>
        <w:gridCol w:w="671"/>
        <w:gridCol w:w="675"/>
      </w:tblGrid>
      <w:tr>
        <w:trPr>
          <w:trHeight w:val="20" w:hRule="atLeast"/>
        </w:trPr>
        <w:tc>
          <w:tcPr>
            <w:tcW w:w="324"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順位</w:t>
            </w:r>
          </w:p>
        </w:tc>
        <w:tc>
          <w:tcPr>
            <w:tcW w:w="2046"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疾病分類（中分類）</w:t>
            </w:r>
          </w:p>
        </w:tc>
        <w:tc>
          <w:tcPr>
            <w:tcW w:w="2629" w:type="pct"/>
            <w:gridSpan w:val="7"/>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受診率</w:t>
            </w:r>
          </w:p>
        </w:tc>
      </w:tr>
      <w:tr>
        <w:trPr>
          <w:trHeight w:val="20" w:hRule="atLeast"/>
        </w:trPr>
        <w:tc>
          <w:tcPr>
            <w:tcW w:w="324"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2046"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388"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388"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国</w:t>
            </w:r>
          </w:p>
        </w:tc>
        <w:tc>
          <w:tcPr>
            <w:tcW w:w="388"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389"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同規模</w:t>
            </w:r>
          </w:p>
        </w:tc>
        <w:tc>
          <w:tcPr>
            <w:tcW w:w="1075" w:type="pct"/>
            <w:gridSpan w:val="3"/>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国との</w:t>
            </w:r>
            <w:r>
              <w:rPr>
                <w:rFonts w:hint="eastAsia"/>
                <w:b w:val="1"/>
                <w:sz w:val="14"/>
              </w:rPr>
              <w:t>比</w:t>
            </w:r>
          </w:p>
        </w:tc>
      </w:tr>
      <w:tr>
        <w:trPr>
          <w:trHeight w:val="20" w:hRule="atLeast"/>
        </w:trPr>
        <w:tc>
          <w:tcPr>
            <w:tcW w:w="324"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2046"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388"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88"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88"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89"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58"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358"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359"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同規模</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その他の心疾患</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8.5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8.8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8.0</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9.1</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0.97</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0.92</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その他の悪性新生物</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8.4</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11.9</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10.9</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12.6</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0.70</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0.92</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1.06</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統合失調症、統合失調症型障害及び妄想性障害</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16.6</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22.8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19.6</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25.1</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0.73</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0.86</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1.10</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7.7</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5.9</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1.33</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1.14</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その他の神経系の疾患</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9.7</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12.3</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0.91</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0.84</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1.07</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その他の呼吸器系の疾患</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6.3</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6.8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7.0</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0.92</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0.82</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1.03</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その他の消化器系の疾患</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12.4</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11.8</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12.9</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0.92</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0.95</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脳梗塞</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0.94</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虚血性心疾患</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4.7</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5.4</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4.7</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0.93</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1.00</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関節症</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3.9</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4.2</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0.95</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0.80</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1.07</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11</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骨折</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7.7</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7.8</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0.85</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0.86</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12</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その他の筋骨格系及び結合組織の疾患</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4.7</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1.06</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0.91</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0.97</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13</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気管、気管支及び肺の悪性新生物</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3.9</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0.89</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0.80</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14</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その他の特殊目的用コード</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1.28</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0.83</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0.98</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15</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気分（感情）障害（躁うつ病を含む）</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7.9</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4.9</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8.8</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0.83</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0.62</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1.12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16</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その他の精神及び行動の障害</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3.3</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0.96</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17</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脊椎障害（脊椎症を含む）</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2.1</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0.61</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0.72</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1.06</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18</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その他損傷及びその他外因の影響</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1.00</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0.85</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1.03</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19</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脳性麻痺及びその他の麻痺性症候群</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0.52</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20</w:t>
            </w:r>
            <w:r>
              <w:rPr>
                <w:rFonts w:hint="eastAsia"/>
              </w:rPr>
              <w:t>位</w:t>
            </w:r>
          </w:p>
        </w:tc>
        <w:tc>
          <w:tcPr>
            <w:tcW w:w="2046" w:type="pct"/>
            <w:shd w:val="clear" w:color="auto" w:fill="auto"/>
            <w:tcMar>
              <w:top w:w="28" w:type="dxa"/>
              <w:left w:w="28" w:type="dxa"/>
              <w:bottom w:w="28" w:type="dxa"/>
              <w:right w:w="28" w:type="dxa"/>
            </w:tcMar>
            <w:vAlign w:val="center"/>
          </w:tcPr>
          <w:p>
            <w:pPr>
              <w:pStyle w:val="0"/>
              <w:rPr>
                <w:rFonts w:hint="default"/>
              </w:rPr>
            </w:pPr>
            <w:r>
              <w:rPr>
                <w:rFonts w:hint="default"/>
              </w:rPr>
              <w:t>悪性リンパ腫</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388"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389"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0.85</w:t>
            </w:r>
          </w:p>
        </w:tc>
        <w:tc>
          <w:tcPr>
            <w:tcW w:w="358" w:type="pct"/>
            <w:shd w:val="clear" w:color="auto" w:fill="auto"/>
            <w:tcMar>
              <w:top w:w="28" w:type="dxa"/>
              <w:left w:w="28" w:type="dxa"/>
              <w:bottom w:w="28" w:type="dxa"/>
              <w:right w:w="28" w:type="dxa"/>
            </w:tcMar>
            <w:vAlign w:val="center"/>
          </w:tcPr>
          <w:p>
            <w:pPr>
              <w:pStyle w:val="0"/>
              <w:jc w:val="right"/>
              <w:rPr>
                <w:rFonts w:hint="default"/>
              </w:rPr>
            </w:pPr>
            <w:r>
              <w:rPr>
                <w:rFonts w:hint="default"/>
              </w:rPr>
              <w:t>0.86</w:t>
            </w:r>
          </w:p>
        </w:tc>
        <w:tc>
          <w:tcPr>
            <w:tcW w:w="359" w:type="pct"/>
            <w:shd w:val="clear" w:color="auto" w:fill="auto"/>
            <w:tcMar>
              <w:top w:w="28" w:type="dxa"/>
              <w:left w:w="28" w:type="dxa"/>
              <w:bottom w:w="28" w:type="dxa"/>
              <w:right w:w="28" w:type="dxa"/>
            </w:tcMar>
            <w:vAlign w:val="center"/>
          </w:tcPr>
          <w:p>
            <w:pPr>
              <w:pStyle w:val="0"/>
              <w:jc w:val="right"/>
              <w:rPr>
                <w:rFonts w:hint="default"/>
              </w:rPr>
            </w:pPr>
            <w:r>
              <w:rPr>
                <w:rFonts w:hint="default"/>
              </w:rPr>
              <w:t>1.08</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4</w:t>
      </w:r>
      <w:r>
        <w:rPr>
          <w:rFonts w:hint="default"/>
        </w:rPr>
        <w:t>年度</w:t>
      </w:r>
      <w:r>
        <w:rPr>
          <w:rFonts w:hint="eastAsia"/>
        </w:rPr>
        <w:t xml:space="preserve"> </w:t>
      </w:r>
      <w:r>
        <w:rPr>
          <w:rFonts w:hint="default"/>
        </w:rPr>
        <w:t>累計</w:t>
      </w:r>
    </w:p>
    <w:p>
      <w:pPr>
        <w:pStyle w:val="0"/>
        <w:rPr>
          <w:rFonts w:hint="default"/>
        </w:rPr>
      </w:pPr>
      <w:r>
        <w:rPr>
          <w:rFonts w:hint="default"/>
        </w:rPr>
        <w:br w:type="page"/>
      </w:r>
    </w:p>
    <w:p>
      <w:pPr>
        <w:pStyle w:val="4"/>
        <w:rPr>
          <w:rFonts w:hint="default"/>
        </w:rPr>
      </w:pPr>
      <w:r>
        <w:rPr>
          <w:rFonts w:hint="eastAsia"/>
        </w:rPr>
        <w:t>疾病分類（中分類）別入院に係る一人当たり医療費と標準化比</w:t>
      </w:r>
    </w:p>
    <w:p>
      <w:pPr>
        <w:pStyle w:val="39"/>
        <w:ind w:firstLine="200"/>
        <w:rPr>
          <w:rFonts w:hint="default"/>
        </w:rPr>
      </w:pPr>
      <w:r>
        <w:rPr>
          <w:rFonts w:hint="eastAsia"/>
        </w:rPr>
        <w:t>疾病別の入院医療費について、国の一人当たり医療費を</w:t>
      </w:r>
      <w:r>
        <w:rPr>
          <w:rFonts w:hint="default"/>
        </w:rPr>
        <w:t>100</w:t>
      </w:r>
      <w:r>
        <w:rPr>
          <w:rFonts w:hint="default"/>
        </w:rPr>
        <w:t>とした標準化比を国立保健医療科学院のツールを使って算出し、国と比較する。医療費の地域差要因としては人口構成、医療提供体制、健康意識、受診行動、生活習慣、診療パターンなどが指摘されているが、標準化比を算出することで、これらの要因のうち人口構成による影響を取り除いた</w:t>
      </w:r>
      <w:r>
        <w:rPr>
          <w:rFonts w:hint="eastAsia"/>
        </w:rPr>
        <w:t>上</w:t>
      </w:r>
      <w:r>
        <w:rPr>
          <w:rFonts w:hint="default"/>
        </w:rPr>
        <w:t>で一人当たり医療費を比較することが可能となる。</w:t>
      </w:r>
    </w:p>
    <w:p>
      <w:pPr>
        <w:pStyle w:val="39"/>
        <w:ind w:firstLine="200"/>
        <w:rPr>
          <w:rFonts w:hint="default"/>
        </w:rPr>
      </w:pPr>
      <w:r>
        <w:rPr>
          <w:rFonts w:hint="eastAsia"/>
        </w:rPr>
        <w:t>男性においては（</w:t>
      </w:r>
      <w:r>
        <w:rPr>
          <w:rFonts w:hint="eastAsia"/>
        </w:rPr>
        <w:fldChar w:fldCharType="begin"/>
      </w:r>
      <w:r>
        <w:rPr>
          <w:rFonts w:hint="eastAsia"/>
        </w:rPr>
        <w:instrText xml:space="preserve">REF _Ref122534042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4</w:t>
      </w:r>
      <w:r>
        <w:rPr>
          <w:rFonts w:hint="eastAsia"/>
        </w:rPr>
        <w:fldChar w:fldCharType="end"/>
      </w:r>
      <w:r>
        <w:rPr>
          <w:rFonts w:hint="default"/>
        </w:rPr>
        <w:t>）、一人当たり入院医療費は「その他の心疾患」「その他の悪性新生物」「腎不全」の順に高く、標準化比は「腎不全」「その他の心疾患」「気管、気管支及び肺の悪性新生物」の順に高くなっている。</w:t>
      </w:r>
      <w:r>
        <w:rPr>
          <w:rFonts w:hint="eastAsia"/>
        </w:rPr>
        <w:t>また、循環器系疾患についてみると、「虚血性心疾患」が第</w:t>
      </w:r>
      <w:r>
        <w:rPr>
          <w:rFonts w:hint="eastAsia"/>
        </w:rPr>
        <w:t>6</w:t>
      </w:r>
      <w:r>
        <w:rPr>
          <w:rFonts w:hint="eastAsia"/>
        </w:rPr>
        <w:t>位（標準化比</w:t>
      </w:r>
      <w:r>
        <w:rPr>
          <w:rFonts w:hint="eastAsia"/>
        </w:rPr>
        <w:t>93.3</w:t>
      </w:r>
      <w:r>
        <w:rPr>
          <w:rFonts w:hint="eastAsia"/>
        </w:rPr>
        <w:t>）、「脳梗塞」が第</w:t>
      </w:r>
      <w:r>
        <w:rPr>
          <w:rFonts w:hint="eastAsia"/>
        </w:rPr>
        <w:t>7</w:t>
      </w:r>
      <w:r>
        <w:rPr>
          <w:rFonts w:hint="eastAsia"/>
        </w:rPr>
        <w:t>位（標準化比</w:t>
      </w:r>
      <w:r>
        <w:rPr>
          <w:rFonts w:hint="eastAsia"/>
        </w:rPr>
        <w:t>96.1</w:t>
      </w:r>
      <w:r>
        <w:rPr>
          <w:rFonts w:hint="eastAsia"/>
        </w:rPr>
        <w:t>）となっている。</w:t>
      </w:r>
    </w:p>
    <w:p>
      <w:pPr>
        <w:pStyle w:val="39"/>
        <w:ind w:firstLine="200"/>
        <w:rPr>
          <w:rFonts w:hint="default"/>
        </w:rPr>
      </w:pPr>
      <w:r>
        <w:rPr>
          <w:rFonts w:hint="eastAsia"/>
        </w:rPr>
        <w:t>女性においては（</w:t>
      </w:r>
      <w:r>
        <w:rPr>
          <w:rFonts w:hint="eastAsia"/>
        </w:rPr>
        <w:fldChar w:fldCharType="begin"/>
      </w:r>
      <w:r>
        <w:rPr>
          <w:rFonts w:hint="eastAsia"/>
        </w:rPr>
        <w:instrText xml:space="preserve">REF _Ref122534063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5</w:t>
      </w:r>
      <w:r>
        <w:rPr>
          <w:rFonts w:hint="eastAsia"/>
        </w:rPr>
        <w:fldChar w:fldCharType="end"/>
      </w:r>
      <w:r>
        <w:rPr>
          <w:rFonts w:hint="default"/>
        </w:rPr>
        <w:t>）、一人当たり入院医療費は「統合失調症、統合失調症型障害及び妄想性障害」「関節症」「その他の神経系の疾患」の順に高く、標準化比は「その他の呼吸器系の疾患」「気分（感情）障害（躁うつ病を含む）」の順に高くなっている。</w:t>
      </w:r>
    </w:p>
    <w:p>
      <w:pPr>
        <w:pStyle w:val="0"/>
        <w:rPr>
          <w:rFonts w:hint="default"/>
        </w:rPr>
      </w:pPr>
    </w:p>
    <w:p>
      <w:pPr>
        <w:pStyle w:val="38"/>
        <w:rPr>
          <w:rFonts w:hint="default"/>
        </w:rPr>
      </w:pPr>
      <w:bookmarkStart w:id="115" w:name="_Ref122534042"/>
      <w:bookmarkStart w:id="116" w:name="_Toc12493682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115"/>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入院医療費・標準化比</w:t>
      </w:r>
      <w:r>
        <w:rPr>
          <w:rFonts w:hint="default"/>
        </w:rPr>
        <w:t>_</w:t>
      </w:r>
      <w:r>
        <w:rPr>
          <w:rFonts w:hint="default"/>
        </w:rPr>
        <w:t>一人当たり医療費上位</w:t>
      </w:r>
      <w:r>
        <w:rPr>
          <w:rFonts w:hint="default"/>
        </w:rPr>
        <w:t>10</w:t>
      </w:r>
      <w:r>
        <w:rPr>
          <w:rFonts w:hint="default"/>
        </w:rPr>
        <w:t>疾病</w:t>
      </w:r>
      <w:r>
        <w:rPr>
          <w:rFonts w:hint="default"/>
        </w:rPr>
        <w:t>_</w:t>
      </w:r>
      <w:r>
        <w:rPr>
          <w:rFonts w:hint="default"/>
        </w:rPr>
        <w:t>男性</w:t>
      </w:r>
      <w:bookmarkEnd w:id="116"/>
    </w:p>
    <w:p>
      <w:pPr>
        <w:pStyle w:val="0"/>
        <w:jc w:val="center"/>
        <w:rPr>
          <w:rFonts w:hint="default"/>
        </w:rPr>
      </w:pPr>
      <w:r>
        <w:rPr>
          <w:rFonts w:hint="default"/>
        </w:rPr>
        <w:drawing>
          <wp:inline distT="0" distB="0" distL="0" distR="0">
            <wp:extent cx="5939790" cy="2519680"/>
            <wp:effectExtent l="0" t="0" r="0" b="0"/>
            <wp:docPr id="1091" name="オブジェクト 0"/>
            <a:graphic xmlns:a="http://schemas.openxmlformats.org/drawingml/2006/main">
              <a:graphicData uri="http://schemas.openxmlformats.org/drawingml/2006/chart">
                <c:chart xmlns:c="http://schemas.openxmlformats.org/drawingml/2006/chart" r:id="rId46"/>
              </a:graphicData>
            </a:graphic>
          </wp:inline>
        </w:drawing>
      </w:r>
    </w:p>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p>
    <w:p>
      <w:pPr>
        <w:pStyle w:val="38"/>
        <w:rPr>
          <w:rFonts w:hint="default"/>
        </w:rPr>
      </w:pPr>
      <w:bookmarkStart w:id="117" w:name="_Ref122534063"/>
      <w:bookmarkStart w:id="118" w:name="_Toc12493682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5</w:t>
      </w:r>
      <w:r>
        <w:rPr>
          <w:rFonts w:hint="eastAsia"/>
        </w:rPr>
        <w:fldChar w:fldCharType="end"/>
      </w:r>
      <w:bookmarkEnd w:id="117"/>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入院医療費・標準化比</w:t>
      </w:r>
      <w:r>
        <w:rPr>
          <w:rFonts w:hint="default"/>
        </w:rPr>
        <w:t>_</w:t>
      </w:r>
      <w:r>
        <w:rPr>
          <w:rFonts w:hint="default"/>
        </w:rPr>
        <w:t>一人当たり医療費上位</w:t>
      </w:r>
      <w:r>
        <w:rPr>
          <w:rFonts w:hint="default"/>
        </w:rPr>
        <w:t>10</w:t>
      </w:r>
      <w:r>
        <w:rPr>
          <w:rFonts w:hint="default"/>
        </w:rPr>
        <w:t>疾病</w:t>
      </w:r>
      <w:r>
        <w:rPr>
          <w:rFonts w:hint="default"/>
        </w:rPr>
        <w:t>_</w:t>
      </w:r>
      <w:r>
        <w:rPr>
          <w:rFonts w:hint="default"/>
        </w:rPr>
        <w:t>女性</w:t>
      </w:r>
      <w:bookmarkEnd w:id="118"/>
    </w:p>
    <w:p>
      <w:pPr>
        <w:pStyle w:val="0"/>
        <w:jc w:val="center"/>
        <w:rPr>
          <w:rFonts w:hint="default"/>
        </w:rPr>
      </w:pPr>
      <w:r>
        <w:rPr>
          <w:rFonts w:hint="default"/>
        </w:rPr>
        <w:drawing>
          <wp:inline distT="0" distB="0" distL="0" distR="0">
            <wp:extent cx="5939790" cy="2519680"/>
            <wp:effectExtent l="0" t="0" r="0" b="0"/>
            <wp:docPr id="1092" name="オブジェクト 0"/>
            <a:graphic xmlns:a="http://schemas.openxmlformats.org/drawingml/2006/main">
              <a:graphicData uri="http://schemas.openxmlformats.org/drawingml/2006/chart">
                <c:chart xmlns:c="http://schemas.openxmlformats.org/drawingml/2006/chart" r:id="rId47"/>
              </a:graphicData>
            </a:graphic>
          </wp:inline>
        </w:drawing>
      </w:r>
    </w:p>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3"/>
        <w:rPr>
          <w:rFonts w:hint="default"/>
        </w:rPr>
      </w:pPr>
      <w:bookmarkStart w:id="119" w:name="_Toc162548697"/>
      <w:r>
        <w:rPr>
          <w:rFonts w:hint="default"/>
        </w:rPr>
        <w:t>疾病</w:t>
      </w:r>
      <w:r>
        <w:rPr>
          <w:rFonts w:hint="eastAsia"/>
        </w:rPr>
        <w:t>分類</w:t>
      </w:r>
      <w:r>
        <w:rPr>
          <w:rFonts w:hint="default"/>
        </w:rPr>
        <w:t>別外来医療費</w:t>
      </w:r>
      <w:r>
        <w:rPr>
          <w:rFonts w:hint="eastAsia"/>
        </w:rPr>
        <w:t>及び受診率</w:t>
      </w:r>
      <w:bookmarkEnd w:id="119"/>
    </w:p>
    <w:p>
      <w:pPr>
        <w:pStyle w:val="4"/>
        <w:rPr>
          <w:rFonts w:hint="default"/>
        </w:rPr>
      </w:pPr>
      <w:bookmarkStart w:id="120" w:name="_Ref143267440"/>
      <w:r>
        <w:rPr>
          <w:rFonts w:hint="eastAsia"/>
        </w:rPr>
        <w:t>疾病分類（中分類）別外来医療費</w:t>
      </w:r>
      <w:bookmarkEnd w:id="120"/>
    </w:p>
    <w:p>
      <w:pPr>
        <w:pStyle w:val="39"/>
        <w:ind w:firstLine="200"/>
        <w:rPr>
          <w:rFonts w:hint="default"/>
        </w:rPr>
      </w:pPr>
      <w:r>
        <w:rPr>
          <w:rFonts w:hint="eastAsia"/>
        </w:rPr>
        <w:t>入院医療費に続き外来医療費について、疾病別医療費、受診率、一人当たり医療費をみる。</w:t>
      </w:r>
    </w:p>
    <w:p>
      <w:pPr>
        <w:pStyle w:val="39"/>
        <w:ind w:firstLine="200"/>
        <w:rPr>
          <w:rFonts w:hint="default"/>
        </w:rPr>
      </w:pPr>
      <w:r>
        <w:rPr>
          <w:rFonts w:hint="eastAsia"/>
        </w:rPr>
        <w:t>疾病別の外来医療費をみると（</w:t>
      </w:r>
      <w:r>
        <w:rPr>
          <w:rFonts w:hint="eastAsia"/>
        </w:rPr>
        <w:fldChar w:fldCharType="begin"/>
      </w:r>
      <w:r>
        <w:rPr>
          <w:rFonts w:hint="eastAsia"/>
        </w:rPr>
        <w:instrText xml:space="preserve">REF _Ref122534120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1</w:t>
      </w:r>
      <w:r>
        <w:rPr>
          <w:rFonts w:hint="eastAsia"/>
        </w:rPr>
        <w:fldChar w:fldCharType="end"/>
      </w:r>
      <w:r>
        <w:rPr>
          <w:rFonts w:hint="default"/>
        </w:rPr>
        <w:t>）、「腎不全」の医療費が最も高く</w:t>
      </w:r>
      <w:r>
        <w:rPr>
          <w:rFonts w:hint="eastAsia"/>
        </w:rPr>
        <w:t>約</w:t>
      </w:r>
      <w:r>
        <w:rPr>
          <w:rFonts w:hint="default"/>
        </w:rPr>
        <w:t>4</w:t>
      </w:r>
      <w:r>
        <w:rPr>
          <w:rFonts w:hint="default"/>
        </w:rPr>
        <w:t>億</w:t>
      </w:r>
      <w:r>
        <w:rPr>
          <w:rFonts w:hint="default"/>
        </w:rPr>
        <w:t>9,900</w:t>
      </w:r>
      <w:r>
        <w:rPr>
          <w:rFonts w:hint="default"/>
        </w:rPr>
        <w:t>万円で、</w:t>
      </w:r>
      <w:r>
        <w:rPr>
          <w:rFonts w:hint="eastAsia"/>
        </w:rPr>
        <w:t>外来総医療費の</w:t>
      </w:r>
      <w:r>
        <w:rPr>
          <w:rFonts w:hint="default"/>
        </w:rPr>
        <w:t>12.9%</w:t>
      </w:r>
      <w:r>
        <w:rPr>
          <w:rFonts w:hint="default"/>
        </w:rPr>
        <w:t>を占めている。受診率とレセプト一件当たり医療費をみると、一件当たり医療費が他の疾病と比較して高く、「腎不全」</w:t>
      </w:r>
      <w:r>
        <w:rPr>
          <w:rFonts w:hint="eastAsia"/>
        </w:rPr>
        <w:t>の</w:t>
      </w:r>
      <w:r>
        <w:rPr>
          <w:rFonts w:hint="default"/>
        </w:rPr>
        <w:t>外来医療費</w:t>
      </w:r>
      <w:r>
        <w:rPr>
          <w:rFonts w:hint="eastAsia"/>
        </w:rPr>
        <w:t>が高額な原因となっている</w:t>
      </w:r>
      <w:r>
        <w:rPr>
          <w:rFonts w:hint="default"/>
        </w:rPr>
        <w:t>。</w:t>
      </w:r>
    </w:p>
    <w:p>
      <w:pPr>
        <w:pStyle w:val="39"/>
        <w:ind w:firstLine="200"/>
        <w:rPr>
          <w:rFonts w:hint="default"/>
        </w:rPr>
      </w:pPr>
      <w:r>
        <w:rPr>
          <w:rFonts w:hint="eastAsia"/>
        </w:rPr>
        <w:t>次いで外来医療費が高いのは</w:t>
      </w:r>
      <w:r>
        <w:rPr>
          <w:rFonts w:hint="default"/>
        </w:rPr>
        <w:t>「糖尿病」で</w:t>
      </w:r>
      <w:r>
        <w:rPr>
          <w:rFonts w:hint="eastAsia"/>
        </w:rPr>
        <w:t>約</w:t>
      </w:r>
      <w:r>
        <w:rPr>
          <w:rFonts w:hint="default"/>
        </w:rPr>
        <w:t>4</w:t>
      </w:r>
      <w:r>
        <w:rPr>
          <w:rFonts w:hint="default"/>
        </w:rPr>
        <w:t>億</w:t>
      </w:r>
      <w:r>
        <w:rPr>
          <w:rFonts w:hint="default"/>
        </w:rPr>
        <w:t>500</w:t>
      </w:r>
      <w:r>
        <w:rPr>
          <w:rFonts w:hint="default"/>
        </w:rPr>
        <w:t>万円</w:t>
      </w:r>
      <w:r>
        <w:rPr>
          <w:rFonts w:hint="eastAsia"/>
        </w:rPr>
        <w:t>（</w:t>
      </w:r>
      <w:r>
        <w:rPr>
          <w:rFonts w:hint="default"/>
        </w:rPr>
        <w:t>10.5%</w:t>
      </w:r>
      <w:r>
        <w:rPr>
          <w:rFonts w:hint="eastAsia"/>
        </w:rPr>
        <w:t>）、</w:t>
      </w:r>
      <w:r>
        <w:rPr>
          <w:rFonts w:hint="default"/>
        </w:rPr>
        <w:t>「その他の悪性新生物」</w:t>
      </w:r>
      <w:r>
        <w:rPr>
          <w:rFonts w:hint="eastAsia"/>
        </w:rPr>
        <w:t>で約</w:t>
      </w:r>
      <w:r>
        <w:rPr>
          <w:rFonts w:hint="default"/>
        </w:rPr>
        <w:t>1</w:t>
      </w:r>
      <w:r>
        <w:rPr>
          <w:rFonts w:hint="default"/>
        </w:rPr>
        <w:t>億</w:t>
      </w:r>
      <w:r>
        <w:rPr>
          <w:rFonts w:hint="default"/>
        </w:rPr>
        <w:t>9,800</w:t>
      </w:r>
      <w:r>
        <w:rPr>
          <w:rFonts w:hint="default"/>
        </w:rPr>
        <w:t>万円</w:t>
      </w:r>
      <w:r>
        <w:rPr>
          <w:rFonts w:hint="eastAsia"/>
        </w:rPr>
        <w:t>（</w:t>
      </w:r>
      <w:r>
        <w:rPr>
          <w:rFonts w:hint="default"/>
        </w:rPr>
        <w:t>5.1%</w:t>
      </w:r>
      <w:r>
        <w:rPr>
          <w:rFonts w:hint="eastAsia"/>
        </w:rPr>
        <w:t>）となっており、上位</w:t>
      </w:r>
      <w:r>
        <w:rPr>
          <w:rFonts w:hint="default"/>
        </w:rPr>
        <w:t>20</w:t>
      </w:r>
      <w:r>
        <w:rPr>
          <w:rFonts w:hint="default"/>
        </w:rPr>
        <w:t>疾病で外来総医療費の</w:t>
      </w:r>
      <w:r>
        <w:rPr>
          <w:rFonts w:hint="default"/>
        </w:rPr>
        <w:t>69.4%</w:t>
      </w:r>
      <w:r>
        <w:rPr>
          <w:rFonts w:hint="default"/>
        </w:rPr>
        <w:t>を占めている。</w:t>
      </w:r>
    </w:p>
    <w:p>
      <w:pPr>
        <w:pStyle w:val="39"/>
        <w:ind w:firstLine="200"/>
        <w:rPr>
          <w:rFonts w:hint="default"/>
        </w:rPr>
      </w:pPr>
      <w:r>
        <w:rPr>
          <w:rFonts w:hint="eastAsia"/>
        </w:rPr>
        <w:t>保健事業により予防可能な疾患という観点で重篤な疾患についてみると、</w:t>
      </w:r>
      <w:r>
        <w:rPr>
          <w:rFonts w:hint="default"/>
        </w:rPr>
        <w:t>「腎不全」が外来医療費の上位に入っている</w:t>
      </w:r>
      <w:r>
        <w:rPr>
          <w:rFonts w:hint="eastAsia"/>
        </w:rPr>
        <w:t>。</w:t>
      </w:r>
    </w:p>
    <w:p>
      <w:pPr>
        <w:pStyle w:val="39"/>
        <w:ind w:firstLine="200"/>
        <w:rPr>
          <w:rFonts w:hint="default"/>
        </w:rPr>
      </w:pPr>
      <w:r>
        <w:rPr>
          <w:rFonts w:hint="eastAsia"/>
        </w:rPr>
        <w:t>一方で、重篤な疾患に進行する可能性のある基礎疾患については、</w:t>
      </w:r>
      <w:r>
        <w:rPr>
          <w:rFonts w:hint="default"/>
        </w:rPr>
        <w:t>「糖尿病」「高血圧症」「脂質異常症」が外来医療費の上位に入っている。</w:t>
      </w:r>
    </w:p>
    <w:p>
      <w:pPr>
        <w:pStyle w:val="0"/>
        <w:rPr>
          <w:rFonts w:hint="default"/>
        </w:rPr>
      </w:pPr>
    </w:p>
    <w:p>
      <w:pPr>
        <w:pStyle w:val="38"/>
        <w:rPr>
          <w:rFonts w:hint="default"/>
        </w:rPr>
      </w:pPr>
      <w:bookmarkStart w:id="121" w:name="_Ref122534120"/>
      <w:bookmarkStart w:id="122" w:name="_Toc12493682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21"/>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外来医療費</w:t>
      </w:r>
      <w:r>
        <w:rPr>
          <w:rFonts w:hint="default"/>
        </w:rPr>
        <w:t>_</w:t>
      </w:r>
      <w:r>
        <w:rPr>
          <w:rFonts w:hint="default"/>
        </w:rPr>
        <w:t>上位</w:t>
      </w:r>
      <w:r>
        <w:rPr>
          <w:rFonts w:hint="default"/>
        </w:rPr>
        <w:t>20</w:t>
      </w:r>
      <w:r>
        <w:rPr>
          <w:rFonts w:hint="default"/>
        </w:rPr>
        <w:t>疾病（男女</w:t>
      </w:r>
      <w:r>
        <w:rPr>
          <w:rFonts w:hint="eastAsia"/>
        </w:rPr>
        <w:t>合計</w:t>
      </w:r>
      <w:r>
        <w:rPr>
          <w:rFonts w:hint="default"/>
        </w:rPr>
        <w:t>）</w:t>
      </w:r>
      <w:bookmarkEnd w:id="122"/>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05"/>
        <w:gridCol w:w="2949"/>
        <w:gridCol w:w="1472"/>
        <w:gridCol w:w="986"/>
        <w:gridCol w:w="754"/>
        <w:gridCol w:w="870"/>
        <w:gridCol w:w="771"/>
        <w:gridCol w:w="968"/>
      </w:tblGrid>
      <w:tr>
        <w:trPr>
          <w:trHeight w:val="20" w:hRule="atLeast"/>
        </w:trPr>
        <w:tc>
          <w:tcPr>
            <w:tcW w:w="32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順位</w:t>
            </w:r>
          </w:p>
        </w:tc>
        <w:tc>
          <w:tcPr>
            <w:tcW w:w="157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疾病分類（中分類）</w:t>
            </w:r>
          </w:p>
        </w:tc>
        <w:tc>
          <w:tcPr>
            <w:tcW w:w="785"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医療費（円）</w:t>
            </w:r>
          </w:p>
        </w:tc>
        <w:tc>
          <w:tcPr>
            <w:tcW w:w="2319" w:type="pct"/>
            <w:gridSpan w:val="5"/>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p>
        </w:tc>
      </w:tr>
      <w:tr>
        <w:trPr>
          <w:trHeight w:val="20" w:hRule="atLeast"/>
        </w:trPr>
        <w:tc>
          <w:tcPr>
            <w:tcW w:w="323" w:type="pct"/>
            <w:vMerge w:val="continue"/>
            <w:shd w:val="clear" w:color="auto" w:fill="auto"/>
            <w:tcMar>
              <w:top w:w="28" w:type="dxa"/>
              <w:left w:w="28" w:type="dxa"/>
              <w:bottom w:w="28" w:type="dxa"/>
              <w:right w:w="28" w:type="dxa"/>
            </w:tcMar>
            <w:vAlign w:val="center"/>
          </w:tcPr>
          <w:p>
            <w:pPr>
              <w:pStyle w:val="0"/>
              <w:jc w:val="center"/>
              <w:rPr>
                <w:rFonts w:hint="default"/>
                <w:b w:val="1"/>
              </w:rPr>
            </w:pPr>
          </w:p>
        </w:tc>
        <w:tc>
          <w:tcPr>
            <w:tcW w:w="1573" w:type="pct"/>
            <w:vMerge w:val="continue"/>
            <w:shd w:val="clear" w:color="auto" w:fill="auto"/>
            <w:tcMar>
              <w:top w:w="28" w:type="dxa"/>
              <w:left w:w="28" w:type="dxa"/>
              <w:bottom w:w="28" w:type="dxa"/>
              <w:right w:w="28" w:type="dxa"/>
            </w:tcMar>
            <w:vAlign w:val="center"/>
          </w:tcPr>
          <w:p>
            <w:pPr>
              <w:pStyle w:val="0"/>
              <w:jc w:val="center"/>
              <w:rPr>
                <w:rFonts w:hint="default"/>
                <w:b w:val="1"/>
              </w:rPr>
            </w:pPr>
          </w:p>
        </w:tc>
        <w:tc>
          <w:tcPr>
            <w:tcW w:w="785" w:type="pct"/>
            <w:vMerge w:val="continue"/>
            <w:shd w:val="clear" w:color="auto" w:fill="auto"/>
            <w:tcMar>
              <w:top w:w="28" w:type="dxa"/>
              <w:left w:w="28" w:type="dxa"/>
              <w:bottom w:w="28" w:type="dxa"/>
              <w:right w:w="28" w:type="dxa"/>
            </w:tcMar>
            <w:vAlign w:val="center"/>
          </w:tcPr>
          <w:p>
            <w:pPr>
              <w:pStyle w:val="0"/>
              <w:jc w:val="center"/>
              <w:rPr>
                <w:rFonts w:hint="default"/>
                <w:b w:val="1"/>
              </w:rPr>
            </w:pPr>
          </w:p>
        </w:tc>
        <w:tc>
          <w:tcPr>
            <w:tcW w:w="526"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一人当たり</w:t>
            </w:r>
          </w:p>
          <w:p>
            <w:pPr>
              <w:pStyle w:val="0"/>
              <w:jc w:val="center"/>
              <w:rPr>
                <w:rFonts w:hint="default"/>
                <w:b w:val="1"/>
                <w:sz w:val="14"/>
              </w:rPr>
            </w:pPr>
            <w:r>
              <w:rPr>
                <w:rFonts w:hint="default"/>
                <w:b w:val="1"/>
                <w:sz w:val="14"/>
              </w:rPr>
              <w:t>医療費（円）</w:t>
            </w:r>
          </w:p>
        </w:tc>
        <w:tc>
          <w:tcPr>
            <w:tcW w:w="40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464"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受診率</w:t>
            </w:r>
          </w:p>
        </w:tc>
        <w:tc>
          <w:tcPr>
            <w:tcW w:w="411"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p>
            <w:pPr>
              <w:pStyle w:val="0"/>
              <w:jc w:val="center"/>
              <w:rPr>
                <w:rFonts w:hint="default"/>
                <w:b w:val="1"/>
                <w:sz w:val="14"/>
              </w:rPr>
            </w:pPr>
            <w:r>
              <w:rPr>
                <w:rFonts w:hint="eastAsia"/>
                <w:b w:val="1"/>
                <w:sz w:val="14"/>
              </w:rPr>
              <w:t>（受診率）</w:t>
            </w:r>
          </w:p>
        </w:tc>
        <w:tc>
          <w:tcPr>
            <w:tcW w:w="516"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レセプト</w:t>
            </w:r>
          </w:p>
          <w:p>
            <w:pPr>
              <w:pStyle w:val="0"/>
              <w:jc w:val="center"/>
              <w:rPr>
                <w:rFonts w:hint="default"/>
                <w:b w:val="1"/>
                <w:sz w:val="14"/>
              </w:rPr>
            </w:pPr>
            <w:r>
              <w:rPr>
                <w:rFonts w:hint="default"/>
                <w:b w:val="1"/>
                <w:sz w:val="14"/>
              </w:rPr>
              <w:t>一件当たり</w:t>
            </w:r>
          </w:p>
          <w:p>
            <w:pPr>
              <w:pStyle w:val="0"/>
              <w:jc w:val="center"/>
              <w:rPr>
                <w:rFonts w:hint="default"/>
                <w:b w:val="1"/>
                <w:sz w:val="14"/>
              </w:rPr>
            </w:pPr>
            <w:r>
              <w:rPr>
                <w:rFonts w:hint="default"/>
                <w:b w:val="1"/>
                <w:sz w:val="14"/>
              </w:rPr>
              <w:t>医療費（円）</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498,963,820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25,658</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12.9%</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82.7</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310,301</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405,477,230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20,850</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702.7</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9.9%</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29,671</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その他の悪性新生物</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198,425,620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10,203</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75.3</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135,537</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175,656,630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9,033</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4.5%</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720.3</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12,540</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その他の消化器系の疾患</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142,224,760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7,313</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265.8</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27,515</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その他の心疾患</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141,602,680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7,281</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195.2</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37,303</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その他の眼及び付属器の疾患</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137,145,860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7,052</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436.4</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6.1%</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16,160</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その他の神経系の疾患</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120,215,630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6,182</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230.2</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26,852</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気管、気管支及び肺の悪性新生物</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115,163,750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5,922</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18.0</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329,039</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107,177,020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5,511</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407.5</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13,526</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11</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炎症性多発性関節障害</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92,587,950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4,761</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2.4%</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102.5</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46,433</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12</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統合失調症、統合失調症型障害及び妄想性障害</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80,121,400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4,120</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2.1%</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114.3</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36,042</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13</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その他の内分泌、栄養及び代謝障害</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76,828,970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3,951</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37.2</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106,117</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14</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喘息</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71,029,430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3,652</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160.5</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22,759</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15</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気分（感情）障害（躁うつ病を含む）</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64,513,260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3,317</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1.7%</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175.0</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18,958</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16</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乳房の悪性新生物</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60,228,670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3,097</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32.0</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96,675</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17</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関節症</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52,416,620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2,695</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183.4</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14,699</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18</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その他の皮膚及び皮下組織の疾患</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52,107,200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2,679</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127.8</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20,960</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19</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結腸の悪性新生物</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45,709,000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2,350</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14.2</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165,612</w:t>
            </w:r>
          </w:p>
        </w:tc>
      </w:tr>
      <w:tr>
        <w:trPr>
          <w:trHeight w:val="20" w:hRule="atLeast"/>
        </w:trPr>
        <w:tc>
          <w:tcPr>
            <w:tcW w:w="323" w:type="pct"/>
            <w:shd w:val="clear" w:color="auto" w:fill="auto"/>
            <w:tcMar>
              <w:top w:w="28" w:type="dxa"/>
              <w:left w:w="28" w:type="dxa"/>
              <w:bottom w:w="28" w:type="dxa"/>
              <w:right w:w="28" w:type="dxa"/>
            </w:tcMar>
            <w:vAlign w:val="center"/>
          </w:tcPr>
          <w:p>
            <w:pPr>
              <w:pStyle w:val="0"/>
              <w:jc w:val="center"/>
              <w:rPr>
                <w:rFonts w:hint="default"/>
              </w:rPr>
            </w:pPr>
            <w:r>
              <w:rPr>
                <w:rFonts w:hint="default"/>
              </w:rPr>
              <w:t>20</w:t>
            </w:r>
            <w:r>
              <w:rPr>
                <w:rFonts w:hint="eastAsia"/>
              </w:rPr>
              <w:t>位</w:t>
            </w:r>
          </w:p>
        </w:tc>
        <w:tc>
          <w:tcPr>
            <w:tcW w:w="1573" w:type="pct"/>
            <w:shd w:val="clear" w:color="auto" w:fill="auto"/>
            <w:tcMar>
              <w:top w:w="28" w:type="dxa"/>
              <w:left w:w="28" w:type="dxa"/>
              <w:bottom w:w="28" w:type="dxa"/>
              <w:right w:w="28" w:type="dxa"/>
            </w:tcMar>
            <w:vAlign w:val="center"/>
          </w:tcPr>
          <w:p>
            <w:pPr>
              <w:pStyle w:val="0"/>
              <w:rPr>
                <w:rFonts w:hint="default"/>
              </w:rPr>
            </w:pPr>
            <w:r>
              <w:rPr>
                <w:rFonts w:hint="default"/>
              </w:rPr>
              <w:t>白血病</w:t>
            </w:r>
          </w:p>
        </w:tc>
        <w:tc>
          <w:tcPr>
            <w:tcW w:w="785" w:type="pct"/>
            <w:shd w:val="clear" w:color="auto" w:fill="auto"/>
            <w:tcMar>
              <w:top w:w="28" w:type="dxa"/>
              <w:left w:w="28" w:type="dxa"/>
              <w:bottom w:w="28" w:type="dxa"/>
              <w:right w:w="28" w:type="dxa"/>
            </w:tcMar>
            <w:vAlign w:val="center"/>
          </w:tcPr>
          <w:p>
            <w:pPr>
              <w:pStyle w:val="0"/>
              <w:jc w:val="right"/>
              <w:rPr>
                <w:rFonts w:hint="default"/>
              </w:rPr>
            </w:pPr>
            <w:r>
              <w:rPr>
                <w:rFonts w:hint="default"/>
              </w:rPr>
              <w:t>42,370,190</w:t>
            </w:r>
          </w:p>
        </w:tc>
        <w:tc>
          <w:tcPr>
            <w:tcW w:w="526" w:type="pct"/>
            <w:shd w:val="clear" w:color="auto" w:fill="auto"/>
            <w:tcMar>
              <w:top w:w="28" w:type="dxa"/>
              <w:left w:w="28" w:type="dxa"/>
              <w:bottom w:w="28" w:type="dxa"/>
              <w:right w:w="28" w:type="dxa"/>
            </w:tcMar>
            <w:vAlign w:val="center"/>
          </w:tcPr>
          <w:p>
            <w:pPr>
              <w:pStyle w:val="0"/>
              <w:jc w:val="right"/>
              <w:rPr>
                <w:rFonts w:hint="default"/>
              </w:rPr>
            </w:pPr>
            <w:r>
              <w:rPr>
                <w:rFonts w:hint="default"/>
              </w:rPr>
              <w:t>2,179</w:t>
            </w:r>
          </w:p>
        </w:tc>
        <w:tc>
          <w:tcPr>
            <w:tcW w:w="402"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464"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411"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516" w:type="pct"/>
            <w:shd w:val="clear" w:color="auto" w:fill="auto"/>
            <w:tcMar>
              <w:top w:w="28" w:type="dxa"/>
              <w:left w:w="28" w:type="dxa"/>
              <w:bottom w:w="28" w:type="dxa"/>
              <w:right w:w="28" w:type="dxa"/>
            </w:tcMar>
            <w:vAlign w:val="center"/>
          </w:tcPr>
          <w:p>
            <w:pPr>
              <w:pStyle w:val="0"/>
              <w:jc w:val="right"/>
              <w:rPr>
                <w:rFonts w:hint="default"/>
              </w:rPr>
            </w:pPr>
            <w:r>
              <w:rPr>
                <w:rFonts w:hint="default"/>
              </w:rPr>
              <w:t>770,367</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4"/>
        <w:rPr>
          <w:rFonts w:hint="default"/>
        </w:rPr>
      </w:pPr>
      <w:r>
        <w:rPr>
          <w:rFonts w:hint="eastAsia"/>
        </w:rPr>
        <w:t>疾病分類（中分類）別経年外来医療費と</w:t>
      </w:r>
      <w:r>
        <w:rPr>
          <w:rFonts w:hint="eastAsia"/>
        </w:rPr>
        <w:t>1</w:t>
      </w:r>
      <w:r>
        <w:rPr>
          <w:rFonts w:hint="eastAsia"/>
        </w:rPr>
        <w:t>人当たり医療費</w:t>
      </w:r>
    </w:p>
    <w:p>
      <w:pPr>
        <w:pStyle w:val="39"/>
        <w:ind w:firstLine="200"/>
        <w:rPr>
          <w:rFonts w:hint="default"/>
        </w:rPr>
      </w:pPr>
      <w:r>
        <w:rPr>
          <w:rFonts w:hint="eastAsia"/>
        </w:rPr>
        <w:t>経年で疾病別医療費、一人当たり医療費の状況をみると</w:t>
      </w:r>
      <w:r>
        <w:rPr>
          <w:rFonts w:hint="eastAsia"/>
        </w:rPr>
        <w:t>(</w:t>
      </w:r>
      <w:r>
        <w:rPr>
          <w:rFonts w:hint="eastAsia"/>
        </w:rPr>
        <w:fldChar w:fldCharType="begin"/>
      </w:r>
      <w:r>
        <w:rPr>
          <w:rFonts w:hint="eastAsia"/>
        </w:rPr>
        <w:instrText xml:space="preserve">REF _Ref130884988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2</w:t>
      </w:r>
      <w:r>
        <w:rPr>
          <w:rFonts w:hint="eastAsia"/>
        </w:rPr>
        <w:fldChar w:fldCharType="end"/>
      </w:r>
      <w:r>
        <w:rPr>
          <w:rFonts w:hint="eastAsia"/>
        </w:rPr>
        <w:t>・</w:t>
      </w:r>
      <w:r>
        <w:rPr>
          <w:rFonts w:hint="eastAsia"/>
        </w:rPr>
        <w:fldChar w:fldCharType="begin"/>
      </w:r>
      <w:r>
        <w:rPr>
          <w:rFonts w:hint="eastAsia"/>
        </w:rPr>
        <w:instrText xml:space="preserve">REF _Ref130902339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3</w:t>
      </w:r>
      <w:r>
        <w:rPr>
          <w:rFonts w:hint="eastAsia"/>
        </w:rPr>
        <w:fldChar w:fldCharType="end"/>
      </w:r>
      <w:r>
        <w:rPr>
          <w:rFonts w:hint="eastAsia"/>
        </w:rPr>
        <w:t>・</w:t>
      </w:r>
      <w:r>
        <w:rPr>
          <w:rFonts w:hint="eastAsia"/>
        </w:rPr>
        <w:fldChar w:fldCharType="begin"/>
      </w:r>
      <w:r>
        <w:rPr>
          <w:rFonts w:hint="eastAsia"/>
        </w:rPr>
        <w:instrText xml:space="preserve">REF _Ref131184622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4</w:t>
      </w:r>
      <w:r>
        <w:rPr>
          <w:rFonts w:hint="eastAsia"/>
        </w:rPr>
        <w:fldChar w:fldCharType="end"/>
      </w:r>
      <w:r>
        <w:rPr>
          <w:rFonts w:hint="eastAsia"/>
        </w:rPr>
        <w:t>・</w:t>
      </w:r>
      <w:r>
        <w:rPr>
          <w:rFonts w:hint="eastAsia"/>
        </w:rPr>
        <w:fldChar w:fldCharType="begin"/>
      </w:r>
      <w:r>
        <w:rPr>
          <w:rFonts w:hint="eastAsia"/>
        </w:rPr>
        <w:instrText xml:space="preserve">REF _Ref131184696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5</w:t>
      </w:r>
      <w:r>
        <w:rPr>
          <w:rFonts w:hint="eastAsia"/>
        </w:rPr>
        <w:fldChar w:fldCharType="end"/>
      </w:r>
      <w:r>
        <w:rPr>
          <w:rFonts w:hint="eastAsia"/>
        </w:rPr>
        <w:t>)</w:t>
      </w:r>
      <w:r>
        <w:rPr>
          <w:rFonts w:hint="eastAsia"/>
        </w:rPr>
        <w:t>、いずれの年度においても</w:t>
      </w:r>
      <w:r>
        <w:rPr>
          <w:rFonts w:hint="default"/>
        </w:rPr>
        <w:t>1</w:t>
      </w:r>
      <w:r>
        <w:rPr>
          <w:rFonts w:hint="default"/>
        </w:rPr>
        <w:t>位は「腎不全」、</w:t>
      </w:r>
      <w:r>
        <w:rPr>
          <w:rFonts w:hint="default"/>
        </w:rPr>
        <w:t>2</w:t>
      </w:r>
      <w:r>
        <w:rPr>
          <w:rFonts w:hint="default"/>
        </w:rPr>
        <w:t>位は「糖尿病」であり、</w:t>
      </w:r>
      <w:r>
        <w:rPr>
          <w:rFonts w:hint="eastAsia"/>
        </w:rPr>
        <w:t>令和</w:t>
      </w:r>
      <w:r>
        <w:rPr>
          <w:rFonts w:hint="eastAsia"/>
        </w:rPr>
        <w:t>1</w:t>
      </w:r>
      <w:r>
        <w:rPr>
          <w:rFonts w:hint="eastAsia"/>
        </w:rPr>
        <w:t>年度と令和</w:t>
      </w:r>
      <w:r>
        <w:rPr>
          <w:rFonts w:hint="eastAsia"/>
        </w:rPr>
        <w:t>4</w:t>
      </w:r>
      <w:r>
        <w:rPr>
          <w:rFonts w:hint="eastAsia"/>
        </w:rPr>
        <w:t>年度を比較すると</w:t>
      </w:r>
      <w:r>
        <w:rPr>
          <w:rFonts w:hint="default"/>
        </w:rPr>
        <w:t>疾患別外来医療費</w:t>
      </w:r>
      <w:r>
        <w:rPr>
          <w:rFonts w:hint="eastAsia"/>
        </w:rPr>
        <w:t>も</w:t>
      </w:r>
      <w:r>
        <w:rPr>
          <w:rFonts w:hint="default"/>
        </w:rPr>
        <w:t>1</w:t>
      </w:r>
      <w:r>
        <w:rPr>
          <w:rFonts w:hint="default"/>
        </w:rPr>
        <w:t>人当たり医療費も増加している。</w:t>
      </w:r>
    </w:p>
    <w:p>
      <w:pPr>
        <w:pStyle w:val="0"/>
        <w:rPr>
          <w:rFonts w:hint="default"/>
        </w:rPr>
      </w:pPr>
    </w:p>
    <w:p>
      <w:pPr>
        <w:pStyle w:val="38"/>
        <w:rPr>
          <w:rFonts w:hint="default"/>
        </w:rPr>
      </w:pPr>
      <w:bookmarkStart w:id="123" w:name="_Ref13088498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123"/>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一人当たり外来医療費（</w:t>
      </w:r>
      <w:r>
        <w:rPr>
          <w:rFonts w:hint="eastAsia"/>
        </w:rPr>
        <w:t>令和</w:t>
      </w:r>
      <w:r>
        <w:rPr>
          <w:rFonts w:hint="eastAsia"/>
        </w:rPr>
        <w:t>1</w:t>
      </w:r>
      <w:r>
        <w:rPr>
          <w:rFonts w:hint="eastAsia"/>
        </w:rPr>
        <w:t>年度</w:t>
      </w:r>
      <w:r>
        <w:rPr>
          <w:rFonts w:hint="default"/>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798"/>
        <w:gridCol w:w="3690"/>
        <w:gridCol w:w="2496"/>
        <w:gridCol w:w="1397"/>
        <w:gridCol w:w="994"/>
      </w:tblGrid>
      <w:tr>
        <w:trPr>
          <w:trHeight w:val="20" w:hRule="atLeast"/>
        </w:trPr>
        <w:tc>
          <w:tcPr>
            <w:tcW w:w="426" w:type="pct"/>
            <w:vMerge w:val="restar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順位</w:t>
            </w:r>
          </w:p>
        </w:tc>
        <w:tc>
          <w:tcPr>
            <w:tcW w:w="4574" w:type="pct"/>
            <w:gridSpan w:val="4"/>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1</w:t>
            </w:r>
            <w:r>
              <w:rPr>
                <w:rFonts w:hint="default"/>
                <w:b w:val="1"/>
              </w:rPr>
              <w:t>年度</w:t>
            </w:r>
          </w:p>
        </w:tc>
      </w:tr>
      <w:tr>
        <w:trPr>
          <w:trHeight w:val="20" w:hRule="atLeast"/>
        </w:trPr>
        <w:tc>
          <w:tcPr>
            <w:tcW w:w="426" w:type="pct"/>
            <w:vMerge w:val="continue"/>
            <w:shd w:val="clear" w:color="auto" w:fill="auto"/>
            <w:tcMar>
              <w:top w:w="28" w:type="dxa"/>
              <w:left w:w="28" w:type="dxa"/>
              <w:bottom w:w="28" w:type="dxa"/>
              <w:right w:w="28" w:type="dxa"/>
            </w:tcMar>
            <w:vAlign w:val="center"/>
          </w:tcPr>
          <w:p>
            <w:pPr>
              <w:pStyle w:val="0"/>
              <w:widowControl w:val="0"/>
              <w:rPr>
                <w:rFonts w:hint="default"/>
              </w:rPr>
            </w:pPr>
          </w:p>
        </w:tc>
        <w:tc>
          <w:tcPr>
            <w:tcW w:w="1968"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疾病</w:t>
            </w:r>
          </w:p>
        </w:tc>
        <w:tc>
          <w:tcPr>
            <w:tcW w:w="1331"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医療費（円）</w:t>
            </w:r>
          </w:p>
        </w:tc>
        <w:tc>
          <w:tcPr>
            <w:tcW w:w="745"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一人当たり</w:t>
            </w:r>
          </w:p>
          <w:p>
            <w:pPr>
              <w:pStyle w:val="0"/>
              <w:widowControl w:val="0"/>
              <w:jc w:val="center"/>
              <w:rPr>
                <w:rFonts w:hint="default"/>
              </w:rPr>
            </w:pPr>
            <w:r>
              <w:rPr>
                <w:rFonts w:hint="default"/>
                <w:b w:val="1"/>
              </w:rPr>
              <w:t>医療費（円）</w:t>
            </w:r>
          </w:p>
        </w:tc>
        <w:tc>
          <w:tcPr>
            <w:tcW w:w="530"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割合</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腎不全</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470,450,920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23,016</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12.1%</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2</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糖尿病</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387,469,210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18,956</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10.0%</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3</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高血圧症</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213,197,170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10,430</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5.5%</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4</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気管、気管支及び肺の悪性新生物</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147,136,770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7,198</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3.8%</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5</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その他の悪性新生物</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144,098,790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7,050</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3.7%</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6</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その他の眼及び付属器の疾患</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137,549,470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6,729</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3.5%</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7</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脂質異常症</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136,593,510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6,683</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3.5%</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8</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その他の心疾患</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133,251,120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6,519</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9</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その他の消化器系の疾患</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132,116,610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6,464</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10</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その他の神経系の疾患</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116,549,030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5,702</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3.0%</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11</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喘息</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92,955,950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4,548</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2.4%</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12</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炎症性多発性関節障害</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92,813,450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4,541</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2.4%</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13</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その他の内分泌、栄養及び代謝障害</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88,618,470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4,336</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14</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乳房の悪性新生物</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85,309,400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4,174</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2.2%</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15</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統合失調症、統合失調症型障害及び妄想性障害</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72,811,390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3,562</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1.9%</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16</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気分（感情）障害（躁うつ病を含む）</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71,081,060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3,478</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1.8%</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17</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関節症</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58,914,150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2,882</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1.5%</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18</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その他の血液及び造血器の疾患並びに免疫機構の障害</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56,156,310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2,747</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1.4%</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19</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胃の悪性新生物</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41,052,330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2,008</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w:t>
            </w:r>
          </w:p>
        </w:tc>
      </w:tr>
      <w:tr>
        <w:trPr>
          <w:trHeight w:val="20" w:hRule="atLeast"/>
        </w:trPr>
        <w:tc>
          <w:tcPr>
            <w:tcW w:w="426"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20</w:t>
            </w:r>
            <w:r>
              <w:rPr>
                <w:rFonts w:hint="eastAsia"/>
              </w:rPr>
              <w:t>位</w:t>
            </w:r>
          </w:p>
        </w:tc>
        <w:tc>
          <w:tcPr>
            <w:tcW w:w="1968"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ウイルス性肝炎</w:t>
            </w:r>
          </w:p>
        </w:tc>
        <w:tc>
          <w:tcPr>
            <w:tcW w:w="1331"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40,196,320</w:t>
            </w:r>
          </w:p>
        </w:tc>
        <w:tc>
          <w:tcPr>
            <w:tcW w:w="74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1,967</w:t>
            </w:r>
          </w:p>
        </w:tc>
        <w:tc>
          <w:tcPr>
            <w:tcW w:w="53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w:t>
            </w:r>
          </w:p>
        </w:tc>
      </w:tr>
    </w:tbl>
    <w:p>
      <w:pPr>
        <w:pStyle w:val="40"/>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default"/>
        </w:rPr>
        <w:t>1</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38"/>
        <w:rPr>
          <w:rFonts w:hint="default"/>
        </w:rPr>
      </w:pPr>
      <w:bookmarkStart w:id="124" w:name="_Ref13090233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124"/>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一人当たり外来医療費（</w:t>
      </w:r>
      <w:r>
        <w:rPr>
          <w:rFonts w:hint="eastAsia"/>
        </w:rPr>
        <w:t>令和</w:t>
      </w:r>
      <w:r>
        <w:rPr>
          <w:rFonts w:hint="eastAsia"/>
        </w:rPr>
        <w:t>2</w:t>
      </w:r>
      <w:r>
        <w:rPr>
          <w:rFonts w:hint="eastAsia"/>
        </w:rPr>
        <w:t>年度</w:t>
      </w:r>
      <w:r>
        <w:rPr>
          <w:rFonts w:hint="default"/>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Look w:firstRow="0" w:lastRow="0" w:firstColumn="0" w:lastColumn="0" w:noHBand="1" w:noVBand="1" w:val="0600"/>
      </w:tblPr>
      <w:tblGrid>
        <w:gridCol w:w="1025"/>
        <w:gridCol w:w="2361"/>
        <w:gridCol w:w="2357"/>
        <w:gridCol w:w="2357"/>
        <w:gridCol w:w="1275"/>
      </w:tblGrid>
      <w:tr>
        <w:trPr>
          <w:trHeight w:val="20" w:hRule="atLeast"/>
        </w:trPr>
        <w:tc>
          <w:tcPr>
            <w:tcW w:w="547" w:type="pct"/>
            <w:vMerge w:val="restart"/>
            <w:shd w:val="clear" w:color="auto" w:fill="CCD6FF"/>
            <w:vAlign w:val="center"/>
          </w:tcPr>
          <w:p>
            <w:pPr>
              <w:pStyle w:val="0"/>
              <w:widowControl w:val="0"/>
              <w:jc w:val="center"/>
              <w:rPr>
                <w:rFonts w:hint="default"/>
                <w:b w:val="1"/>
              </w:rPr>
            </w:pPr>
            <w:r>
              <w:rPr>
                <w:rFonts w:hint="default"/>
                <w:b w:val="1"/>
              </w:rPr>
              <w:t>順位</w:t>
            </w:r>
          </w:p>
        </w:tc>
        <w:tc>
          <w:tcPr>
            <w:tcW w:w="4453" w:type="pct"/>
            <w:gridSpan w:val="4"/>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2</w:t>
            </w:r>
            <w:r>
              <w:rPr>
                <w:rFonts w:hint="default"/>
                <w:b w:val="1"/>
              </w:rPr>
              <w:t>年度</w:t>
            </w:r>
          </w:p>
        </w:tc>
      </w:tr>
      <w:tr>
        <w:trPr>
          <w:trHeight w:val="20" w:hRule="atLeast"/>
        </w:trPr>
        <w:tc>
          <w:tcPr>
            <w:tcW w:w="547" w:type="pct"/>
            <w:vMerge w:val="continue"/>
            <w:shd w:val="clear" w:color="auto" w:fill="CCD6FF"/>
            <w:vAlign w:val="center"/>
          </w:tcPr>
          <w:p>
            <w:pPr>
              <w:pStyle w:val="0"/>
              <w:widowControl w:val="0"/>
              <w:jc w:val="center"/>
              <w:rPr>
                <w:rFonts w:hint="default"/>
                <w:b w:val="1"/>
              </w:rPr>
            </w:pPr>
          </w:p>
        </w:tc>
        <w:tc>
          <w:tcPr>
            <w:tcW w:w="1259"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疾病</w:t>
            </w:r>
          </w:p>
        </w:tc>
        <w:tc>
          <w:tcPr>
            <w:tcW w:w="1257"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医療費（円）</w:t>
            </w:r>
          </w:p>
        </w:tc>
        <w:tc>
          <w:tcPr>
            <w:tcW w:w="1257"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一人当たり医療費（円）</w:t>
            </w:r>
          </w:p>
        </w:tc>
        <w:tc>
          <w:tcPr>
            <w:tcW w:w="680"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割合</w:t>
            </w:r>
          </w:p>
        </w:tc>
      </w:tr>
      <w:tr>
        <w:trPr>
          <w:trHeight w:val="20" w:hRule="atLeast"/>
        </w:trPr>
        <w:tc>
          <w:tcPr>
            <w:tcW w:w="547" w:type="pct"/>
            <w:vAlign w:val="center"/>
          </w:tcPr>
          <w:p>
            <w:pPr>
              <w:pStyle w:val="0"/>
              <w:widowControl w:val="0"/>
              <w:jc w:val="center"/>
              <w:rPr>
                <w:rFonts w:hint="default"/>
              </w:rPr>
            </w:pPr>
            <w:r>
              <w:rPr>
                <w:rFonts w:hint="default"/>
              </w:rPr>
              <w:t>1</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腎不全</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466,531,510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23,039</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12.2%</w:t>
            </w:r>
          </w:p>
        </w:tc>
      </w:tr>
      <w:tr>
        <w:trPr>
          <w:trHeight w:val="20" w:hRule="atLeast"/>
        </w:trPr>
        <w:tc>
          <w:tcPr>
            <w:tcW w:w="547" w:type="pct"/>
            <w:vAlign w:val="center"/>
          </w:tcPr>
          <w:p>
            <w:pPr>
              <w:pStyle w:val="0"/>
              <w:widowControl w:val="0"/>
              <w:jc w:val="center"/>
              <w:rPr>
                <w:rFonts w:hint="default"/>
              </w:rPr>
            </w:pPr>
            <w:r>
              <w:rPr>
                <w:rFonts w:hint="default"/>
              </w:rPr>
              <w:t>2</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糖尿病</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378,776,010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18,705</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9.9%</w:t>
            </w:r>
          </w:p>
        </w:tc>
      </w:tr>
      <w:tr>
        <w:trPr>
          <w:trHeight w:val="20" w:hRule="atLeast"/>
        </w:trPr>
        <w:tc>
          <w:tcPr>
            <w:tcW w:w="547" w:type="pct"/>
            <w:vAlign w:val="center"/>
          </w:tcPr>
          <w:p>
            <w:pPr>
              <w:pStyle w:val="0"/>
              <w:widowControl w:val="0"/>
              <w:jc w:val="center"/>
              <w:rPr>
                <w:rFonts w:hint="default"/>
              </w:rPr>
            </w:pPr>
            <w:r>
              <w:rPr>
                <w:rFonts w:hint="default"/>
              </w:rPr>
              <w:t>3</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高血圧症</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207,394,510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10,242</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5.4%</w:t>
            </w:r>
          </w:p>
        </w:tc>
      </w:tr>
      <w:tr>
        <w:trPr>
          <w:trHeight w:val="20" w:hRule="atLeast"/>
        </w:trPr>
        <w:tc>
          <w:tcPr>
            <w:tcW w:w="547" w:type="pct"/>
            <w:vAlign w:val="center"/>
          </w:tcPr>
          <w:p>
            <w:pPr>
              <w:pStyle w:val="0"/>
              <w:widowControl w:val="0"/>
              <w:jc w:val="center"/>
              <w:rPr>
                <w:rFonts w:hint="default"/>
              </w:rPr>
            </w:pPr>
            <w:r>
              <w:rPr>
                <w:rFonts w:hint="default"/>
              </w:rPr>
              <w:t>4</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その他の悪性新生物</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178,563,280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8,818</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4.7%</w:t>
            </w:r>
          </w:p>
        </w:tc>
      </w:tr>
      <w:tr>
        <w:trPr>
          <w:trHeight w:val="20" w:hRule="atLeast"/>
        </w:trPr>
        <w:tc>
          <w:tcPr>
            <w:tcW w:w="547" w:type="pct"/>
            <w:vAlign w:val="center"/>
          </w:tcPr>
          <w:p>
            <w:pPr>
              <w:pStyle w:val="0"/>
              <w:widowControl w:val="0"/>
              <w:jc w:val="center"/>
              <w:rPr>
                <w:rFonts w:hint="default"/>
              </w:rPr>
            </w:pPr>
            <w:r>
              <w:rPr>
                <w:rFonts w:hint="default"/>
              </w:rPr>
              <w:t>5</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その他の神経系の疾患</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160,922,410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7,947</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4.2%</w:t>
            </w:r>
          </w:p>
        </w:tc>
      </w:tr>
      <w:tr>
        <w:trPr>
          <w:trHeight w:val="20" w:hRule="atLeast"/>
        </w:trPr>
        <w:tc>
          <w:tcPr>
            <w:tcW w:w="547" w:type="pct"/>
            <w:vAlign w:val="center"/>
          </w:tcPr>
          <w:p>
            <w:pPr>
              <w:pStyle w:val="0"/>
              <w:widowControl w:val="0"/>
              <w:jc w:val="center"/>
              <w:rPr>
                <w:rFonts w:hint="default"/>
              </w:rPr>
            </w:pPr>
            <w:r>
              <w:rPr>
                <w:rFonts w:hint="default"/>
              </w:rPr>
              <w:t>6</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気管、気管支及び肺の悪性新生物</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142,950,920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7,059</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3.7%</w:t>
            </w:r>
          </w:p>
        </w:tc>
      </w:tr>
      <w:tr>
        <w:trPr>
          <w:trHeight w:val="20" w:hRule="atLeast"/>
        </w:trPr>
        <w:tc>
          <w:tcPr>
            <w:tcW w:w="547" w:type="pct"/>
            <w:vAlign w:val="center"/>
          </w:tcPr>
          <w:p>
            <w:pPr>
              <w:pStyle w:val="0"/>
              <w:widowControl w:val="0"/>
              <w:jc w:val="center"/>
              <w:rPr>
                <w:rFonts w:hint="default"/>
              </w:rPr>
            </w:pPr>
            <w:r>
              <w:rPr>
                <w:rFonts w:hint="default"/>
              </w:rPr>
              <w:t>7</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その他の消化器系の疾患</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138,311,380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6,830</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3.6%</w:t>
            </w:r>
          </w:p>
        </w:tc>
      </w:tr>
      <w:tr>
        <w:trPr>
          <w:trHeight w:val="20" w:hRule="atLeast"/>
        </w:trPr>
        <w:tc>
          <w:tcPr>
            <w:tcW w:w="547" w:type="pct"/>
            <w:vAlign w:val="center"/>
          </w:tcPr>
          <w:p>
            <w:pPr>
              <w:pStyle w:val="0"/>
              <w:widowControl w:val="0"/>
              <w:jc w:val="center"/>
              <w:rPr>
                <w:rFonts w:hint="default"/>
              </w:rPr>
            </w:pPr>
            <w:r>
              <w:rPr>
                <w:rFonts w:hint="default"/>
              </w:rPr>
              <w:t>8</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その他の心疾患</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130,449,140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6,442</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w:t>
            </w:r>
          </w:p>
        </w:tc>
      </w:tr>
      <w:tr>
        <w:trPr>
          <w:trHeight w:val="20" w:hRule="atLeast"/>
        </w:trPr>
        <w:tc>
          <w:tcPr>
            <w:tcW w:w="547" w:type="pct"/>
            <w:vAlign w:val="center"/>
          </w:tcPr>
          <w:p>
            <w:pPr>
              <w:pStyle w:val="0"/>
              <w:widowControl w:val="0"/>
              <w:jc w:val="center"/>
              <w:rPr>
                <w:rFonts w:hint="default"/>
              </w:rPr>
            </w:pPr>
            <w:r>
              <w:rPr>
                <w:rFonts w:hint="default"/>
              </w:rPr>
              <w:t>9</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その他の眼及び付属器の疾患</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130,335,890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6,436</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w:t>
            </w:r>
          </w:p>
        </w:tc>
      </w:tr>
      <w:tr>
        <w:trPr>
          <w:trHeight w:val="20" w:hRule="atLeast"/>
        </w:trPr>
        <w:tc>
          <w:tcPr>
            <w:tcW w:w="547" w:type="pct"/>
            <w:vAlign w:val="center"/>
          </w:tcPr>
          <w:p>
            <w:pPr>
              <w:pStyle w:val="0"/>
              <w:widowControl w:val="0"/>
              <w:jc w:val="center"/>
              <w:rPr>
                <w:rFonts w:hint="default"/>
              </w:rPr>
            </w:pPr>
            <w:r>
              <w:rPr>
                <w:rFonts w:hint="default"/>
              </w:rPr>
              <w:t>10</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脂質異常症</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112,765,220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5,569</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3.0%</w:t>
            </w:r>
          </w:p>
        </w:tc>
      </w:tr>
      <w:tr>
        <w:trPr>
          <w:trHeight w:val="20" w:hRule="atLeast"/>
        </w:trPr>
        <w:tc>
          <w:tcPr>
            <w:tcW w:w="547" w:type="pct"/>
            <w:vAlign w:val="center"/>
          </w:tcPr>
          <w:p>
            <w:pPr>
              <w:pStyle w:val="0"/>
              <w:widowControl w:val="0"/>
              <w:jc w:val="center"/>
              <w:rPr>
                <w:rFonts w:hint="default"/>
              </w:rPr>
            </w:pPr>
            <w:r>
              <w:rPr>
                <w:rFonts w:hint="default"/>
              </w:rPr>
              <w:t>11</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その他の内分泌、栄養及び代謝障害</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97,019,980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4,791</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2.5%</w:t>
            </w:r>
          </w:p>
        </w:tc>
      </w:tr>
      <w:tr>
        <w:trPr>
          <w:trHeight w:val="20" w:hRule="atLeast"/>
        </w:trPr>
        <w:tc>
          <w:tcPr>
            <w:tcW w:w="547" w:type="pct"/>
            <w:vAlign w:val="center"/>
          </w:tcPr>
          <w:p>
            <w:pPr>
              <w:pStyle w:val="0"/>
              <w:widowControl w:val="0"/>
              <w:jc w:val="center"/>
              <w:rPr>
                <w:rFonts w:hint="default"/>
              </w:rPr>
            </w:pPr>
            <w:r>
              <w:rPr>
                <w:rFonts w:hint="default"/>
              </w:rPr>
              <w:t>12</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炎症性多発性関節障害</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87,823,380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4,337</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w:t>
            </w:r>
          </w:p>
        </w:tc>
      </w:tr>
      <w:tr>
        <w:trPr>
          <w:trHeight w:val="20" w:hRule="atLeast"/>
        </w:trPr>
        <w:tc>
          <w:tcPr>
            <w:tcW w:w="547" w:type="pct"/>
            <w:vAlign w:val="center"/>
          </w:tcPr>
          <w:p>
            <w:pPr>
              <w:pStyle w:val="0"/>
              <w:widowControl w:val="0"/>
              <w:jc w:val="center"/>
              <w:rPr>
                <w:rFonts w:hint="default"/>
              </w:rPr>
            </w:pPr>
            <w:r>
              <w:rPr>
                <w:rFonts w:hint="default"/>
              </w:rPr>
              <w:t>13</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乳房の悪性新生物</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86,031,490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4,248</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w:t>
            </w:r>
          </w:p>
        </w:tc>
      </w:tr>
      <w:tr>
        <w:trPr>
          <w:trHeight w:val="20" w:hRule="atLeast"/>
        </w:trPr>
        <w:tc>
          <w:tcPr>
            <w:tcW w:w="547" w:type="pct"/>
            <w:vAlign w:val="center"/>
          </w:tcPr>
          <w:p>
            <w:pPr>
              <w:pStyle w:val="0"/>
              <w:widowControl w:val="0"/>
              <w:jc w:val="center"/>
              <w:rPr>
                <w:rFonts w:hint="default"/>
              </w:rPr>
            </w:pPr>
            <w:r>
              <w:rPr>
                <w:rFonts w:hint="default"/>
              </w:rPr>
              <w:t>14</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喘息</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79,633,720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3,933</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2.1%</w:t>
            </w:r>
          </w:p>
        </w:tc>
      </w:tr>
      <w:tr>
        <w:trPr>
          <w:trHeight w:val="20" w:hRule="atLeast"/>
        </w:trPr>
        <w:tc>
          <w:tcPr>
            <w:tcW w:w="547" w:type="pct"/>
            <w:vAlign w:val="center"/>
          </w:tcPr>
          <w:p>
            <w:pPr>
              <w:pStyle w:val="0"/>
              <w:widowControl w:val="0"/>
              <w:jc w:val="center"/>
              <w:rPr>
                <w:rFonts w:hint="default"/>
              </w:rPr>
            </w:pPr>
            <w:r>
              <w:rPr>
                <w:rFonts w:hint="default"/>
              </w:rPr>
              <w:t>15</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統合失調症、統合失調症型障害及び妄想性障害</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76,846,960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3,795</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w:t>
            </w:r>
          </w:p>
        </w:tc>
      </w:tr>
      <w:tr>
        <w:trPr>
          <w:trHeight w:val="20" w:hRule="atLeast"/>
        </w:trPr>
        <w:tc>
          <w:tcPr>
            <w:tcW w:w="547" w:type="pct"/>
            <w:vAlign w:val="center"/>
          </w:tcPr>
          <w:p>
            <w:pPr>
              <w:pStyle w:val="0"/>
              <w:widowControl w:val="0"/>
              <w:jc w:val="center"/>
              <w:rPr>
                <w:rFonts w:hint="default"/>
              </w:rPr>
            </w:pPr>
            <w:r>
              <w:rPr>
                <w:rFonts w:hint="default"/>
              </w:rPr>
              <w:t>16</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気分（感情）障害（躁うつ病を含む）</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68,077,070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3,362</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1.8%</w:t>
            </w:r>
          </w:p>
        </w:tc>
      </w:tr>
      <w:tr>
        <w:trPr>
          <w:trHeight w:val="20" w:hRule="atLeast"/>
        </w:trPr>
        <w:tc>
          <w:tcPr>
            <w:tcW w:w="547" w:type="pct"/>
            <w:vAlign w:val="center"/>
          </w:tcPr>
          <w:p>
            <w:pPr>
              <w:pStyle w:val="0"/>
              <w:widowControl w:val="0"/>
              <w:jc w:val="center"/>
              <w:rPr>
                <w:rFonts w:hint="default"/>
              </w:rPr>
            </w:pPr>
            <w:r>
              <w:rPr>
                <w:rFonts w:hint="default"/>
              </w:rPr>
              <w:t>17</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関節症</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50,145,720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2,476</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w:t>
            </w:r>
          </w:p>
        </w:tc>
      </w:tr>
      <w:tr>
        <w:trPr>
          <w:trHeight w:val="20" w:hRule="atLeast"/>
        </w:trPr>
        <w:tc>
          <w:tcPr>
            <w:tcW w:w="547" w:type="pct"/>
            <w:vAlign w:val="center"/>
          </w:tcPr>
          <w:p>
            <w:pPr>
              <w:pStyle w:val="0"/>
              <w:widowControl w:val="0"/>
              <w:jc w:val="center"/>
              <w:rPr>
                <w:rFonts w:hint="default"/>
              </w:rPr>
            </w:pPr>
            <w:r>
              <w:rPr>
                <w:rFonts w:hint="default"/>
              </w:rPr>
              <w:t>18</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その他の血液及び造血器の疾患並びに免疫機構の障害</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47,278,630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2,335</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w:t>
            </w:r>
          </w:p>
        </w:tc>
      </w:tr>
      <w:tr>
        <w:trPr>
          <w:trHeight w:val="20" w:hRule="atLeast"/>
        </w:trPr>
        <w:tc>
          <w:tcPr>
            <w:tcW w:w="547" w:type="pct"/>
            <w:vAlign w:val="center"/>
          </w:tcPr>
          <w:p>
            <w:pPr>
              <w:pStyle w:val="0"/>
              <w:widowControl w:val="0"/>
              <w:jc w:val="center"/>
              <w:rPr>
                <w:rFonts w:hint="default"/>
              </w:rPr>
            </w:pPr>
            <w:r>
              <w:rPr>
                <w:rFonts w:hint="default"/>
              </w:rPr>
              <w:t>19</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骨の密度及び構造の障害</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40,967,230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2,023</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w:t>
            </w:r>
          </w:p>
        </w:tc>
      </w:tr>
      <w:tr>
        <w:trPr>
          <w:trHeight w:val="20" w:hRule="atLeast"/>
        </w:trPr>
        <w:tc>
          <w:tcPr>
            <w:tcW w:w="547" w:type="pct"/>
            <w:vAlign w:val="center"/>
          </w:tcPr>
          <w:p>
            <w:pPr>
              <w:pStyle w:val="0"/>
              <w:widowControl w:val="0"/>
              <w:jc w:val="center"/>
              <w:rPr>
                <w:rFonts w:hint="default"/>
              </w:rPr>
            </w:pPr>
            <w:r>
              <w:rPr>
                <w:rFonts w:hint="default"/>
              </w:rPr>
              <w:t>20</w:t>
            </w:r>
            <w:r>
              <w:rPr>
                <w:rFonts w:hint="eastAsia"/>
              </w:rPr>
              <w:t>位</w:t>
            </w:r>
          </w:p>
        </w:tc>
        <w:tc>
          <w:tcPr>
            <w:tcW w:w="1259"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胃の悪性新生物</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40,490,000</w:t>
            </w:r>
          </w:p>
        </w:tc>
        <w:tc>
          <w:tcPr>
            <w:tcW w:w="1257"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2,000</w:t>
            </w:r>
          </w:p>
        </w:tc>
        <w:tc>
          <w:tcPr>
            <w:tcW w:w="68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w:t>
            </w:r>
          </w:p>
        </w:tc>
      </w:tr>
    </w:tbl>
    <w:p>
      <w:pPr>
        <w:pStyle w:val="40"/>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2</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38"/>
        <w:rPr>
          <w:rFonts w:hint="default"/>
        </w:rPr>
      </w:pPr>
      <w:bookmarkStart w:id="125" w:name="_Ref13118462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125"/>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一人当たり外来医療費（</w:t>
      </w:r>
      <w:r>
        <w:rPr>
          <w:rFonts w:hint="eastAsia"/>
        </w:rPr>
        <w:t>令和</w:t>
      </w:r>
      <w:r>
        <w:rPr>
          <w:rFonts w:hint="default"/>
        </w:rPr>
        <w:t>3</w:t>
      </w:r>
      <w:r>
        <w:rPr>
          <w:rFonts w:hint="eastAsia"/>
        </w:rPr>
        <w:t>年度</w:t>
      </w:r>
      <w:r>
        <w:rPr>
          <w:rFonts w:hint="default"/>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Look w:firstRow="0" w:lastRow="0" w:firstColumn="0" w:lastColumn="0" w:noHBand="1" w:noVBand="1" w:val="0600"/>
      </w:tblPr>
      <w:tblGrid>
        <w:gridCol w:w="1015"/>
        <w:gridCol w:w="1256"/>
        <w:gridCol w:w="2366"/>
        <w:gridCol w:w="2366"/>
        <w:gridCol w:w="2372"/>
      </w:tblGrid>
      <w:tr>
        <w:trPr>
          <w:trHeight w:val="20" w:hRule="atLeast"/>
        </w:trPr>
        <w:tc>
          <w:tcPr>
            <w:tcW w:w="541" w:type="pct"/>
            <w:vMerge w:val="restart"/>
            <w:shd w:val="clear" w:color="auto" w:fill="CCD6FF"/>
            <w:vAlign w:val="center"/>
          </w:tcPr>
          <w:p>
            <w:pPr>
              <w:pStyle w:val="0"/>
              <w:widowControl w:val="0"/>
              <w:jc w:val="center"/>
              <w:rPr>
                <w:rFonts w:hint="default"/>
                <w:b w:val="1"/>
              </w:rPr>
            </w:pPr>
            <w:r>
              <w:rPr>
                <w:rFonts w:hint="default"/>
                <w:b w:val="1"/>
              </w:rPr>
              <w:t>順位</w:t>
            </w:r>
          </w:p>
        </w:tc>
        <w:tc>
          <w:tcPr>
            <w:tcW w:w="4459" w:type="pct"/>
            <w:gridSpan w:val="4"/>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3</w:t>
            </w:r>
            <w:r>
              <w:rPr>
                <w:rFonts w:hint="default"/>
                <w:b w:val="1"/>
              </w:rPr>
              <w:t>年度</w:t>
            </w:r>
          </w:p>
        </w:tc>
      </w:tr>
      <w:tr>
        <w:trPr>
          <w:trHeight w:val="20" w:hRule="atLeast"/>
        </w:trPr>
        <w:tc>
          <w:tcPr>
            <w:tcW w:w="541" w:type="pct"/>
            <w:vMerge w:val="continue"/>
            <w:shd w:val="clear" w:color="auto" w:fill="CCD6FF"/>
            <w:vAlign w:val="center"/>
          </w:tcPr>
          <w:p>
            <w:pPr>
              <w:pStyle w:val="0"/>
              <w:widowControl w:val="0"/>
              <w:jc w:val="center"/>
              <w:rPr>
                <w:rFonts w:hint="default"/>
                <w:b w:val="1"/>
              </w:rPr>
            </w:pPr>
          </w:p>
        </w:tc>
        <w:tc>
          <w:tcPr>
            <w:tcW w:w="670"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割合</w:t>
            </w:r>
          </w:p>
        </w:tc>
        <w:tc>
          <w:tcPr>
            <w:tcW w:w="1262"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疾病</w:t>
            </w:r>
          </w:p>
        </w:tc>
        <w:tc>
          <w:tcPr>
            <w:tcW w:w="1262"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医療費（円）</w:t>
            </w:r>
          </w:p>
        </w:tc>
        <w:tc>
          <w:tcPr>
            <w:tcW w:w="1265"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一人当たり医療費（円）</w:t>
            </w:r>
          </w:p>
        </w:tc>
      </w:tr>
      <w:tr>
        <w:trPr>
          <w:trHeight w:val="20" w:hRule="atLeast"/>
        </w:trPr>
        <w:tc>
          <w:tcPr>
            <w:tcW w:w="541" w:type="pct"/>
            <w:vAlign w:val="center"/>
          </w:tcPr>
          <w:p>
            <w:pPr>
              <w:pStyle w:val="0"/>
              <w:widowControl w:val="0"/>
              <w:jc w:val="center"/>
              <w:rPr>
                <w:rFonts w:hint="default"/>
              </w:rPr>
            </w:pPr>
            <w:r>
              <w:rPr>
                <w:rFonts w:hint="default"/>
              </w:rPr>
              <w:t>1</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12.2%</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腎不全</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468,172,020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23,674</w:t>
            </w:r>
          </w:p>
        </w:tc>
      </w:tr>
      <w:tr>
        <w:trPr>
          <w:trHeight w:val="20" w:hRule="atLeast"/>
        </w:trPr>
        <w:tc>
          <w:tcPr>
            <w:tcW w:w="541" w:type="pct"/>
            <w:vAlign w:val="center"/>
          </w:tcPr>
          <w:p>
            <w:pPr>
              <w:pStyle w:val="0"/>
              <w:widowControl w:val="0"/>
              <w:jc w:val="center"/>
              <w:rPr>
                <w:rFonts w:hint="default"/>
              </w:rPr>
            </w:pPr>
            <w:r>
              <w:rPr>
                <w:rFonts w:hint="default"/>
              </w:rPr>
              <w:t>2</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9.9%</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糖尿病</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403,404,020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20,399</w:t>
            </w:r>
          </w:p>
        </w:tc>
      </w:tr>
      <w:tr>
        <w:trPr>
          <w:trHeight w:val="20" w:hRule="atLeast"/>
        </w:trPr>
        <w:tc>
          <w:tcPr>
            <w:tcW w:w="541" w:type="pct"/>
            <w:vAlign w:val="center"/>
          </w:tcPr>
          <w:p>
            <w:pPr>
              <w:pStyle w:val="0"/>
              <w:widowControl w:val="0"/>
              <w:jc w:val="center"/>
              <w:rPr>
                <w:rFonts w:hint="default"/>
              </w:rPr>
            </w:pPr>
            <w:r>
              <w:rPr>
                <w:rFonts w:hint="default"/>
              </w:rPr>
              <w:t>3</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5.4%</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その他の悪性新生物</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206,697,240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10,452</w:t>
            </w:r>
          </w:p>
        </w:tc>
      </w:tr>
      <w:tr>
        <w:trPr>
          <w:trHeight w:val="20" w:hRule="atLeast"/>
        </w:trPr>
        <w:tc>
          <w:tcPr>
            <w:tcW w:w="541" w:type="pct"/>
            <w:vAlign w:val="center"/>
          </w:tcPr>
          <w:p>
            <w:pPr>
              <w:pStyle w:val="0"/>
              <w:widowControl w:val="0"/>
              <w:jc w:val="center"/>
              <w:rPr>
                <w:rFonts w:hint="default"/>
              </w:rPr>
            </w:pPr>
            <w:r>
              <w:rPr>
                <w:rFonts w:hint="default"/>
              </w:rPr>
              <w:t>4</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4.7%</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高血圧症</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198,041,790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10,014</w:t>
            </w:r>
          </w:p>
        </w:tc>
      </w:tr>
      <w:tr>
        <w:trPr>
          <w:trHeight w:val="20" w:hRule="atLeast"/>
        </w:trPr>
        <w:tc>
          <w:tcPr>
            <w:tcW w:w="541" w:type="pct"/>
            <w:vAlign w:val="center"/>
          </w:tcPr>
          <w:p>
            <w:pPr>
              <w:pStyle w:val="0"/>
              <w:widowControl w:val="0"/>
              <w:jc w:val="center"/>
              <w:rPr>
                <w:rFonts w:hint="default"/>
              </w:rPr>
            </w:pPr>
            <w:r>
              <w:rPr>
                <w:rFonts w:hint="default"/>
              </w:rPr>
              <w:t>5</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4.2%</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その他の消化器系の疾患</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151,851,520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7,679</w:t>
            </w:r>
          </w:p>
        </w:tc>
      </w:tr>
      <w:tr>
        <w:trPr>
          <w:trHeight w:val="20" w:hRule="atLeast"/>
        </w:trPr>
        <w:tc>
          <w:tcPr>
            <w:tcW w:w="541" w:type="pct"/>
            <w:vAlign w:val="center"/>
          </w:tcPr>
          <w:p>
            <w:pPr>
              <w:pStyle w:val="0"/>
              <w:widowControl w:val="0"/>
              <w:jc w:val="center"/>
              <w:rPr>
                <w:rFonts w:hint="default"/>
              </w:rPr>
            </w:pPr>
            <w:r>
              <w:rPr>
                <w:rFonts w:hint="default"/>
              </w:rPr>
              <w:t>6</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3.7%</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その他の眼及び付属器の疾患</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147,199,760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7,443</w:t>
            </w:r>
          </w:p>
        </w:tc>
      </w:tr>
      <w:tr>
        <w:trPr>
          <w:trHeight w:val="20" w:hRule="atLeast"/>
        </w:trPr>
        <w:tc>
          <w:tcPr>
            <w:tcW w:w="541" w:type="pct"/>
            <w:vAlign w:val="center"/>
          </w:tcPr>
          <w:p>
            <w:pPr>
              <w:pStyle w:val="0"/>
              <w:widowControl w:val="0"/>
              <w:jc w:val="center"/>
              <w:rPr>
                <w:rFonts w:hint="default"/>
              </w:rPr>
            </w:pPr>
            <w:r>
              <w:rPr>
                <w:rFonts w:hint="default"/>
              </w:rPr>
              <w:t>7</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3.6%</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その他の神経系の疾患</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146,108,060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7,388</w:t>
            </w:r>
          </w:p>
        </w:tc>
      </w:tr>
      <w:tr>
        <w:trPr>
          <w:trHeight w:val="20" w:hRule="atLeast"/>
        </w:trPr>
        <w:tc>
          <w:tcPr>
            <w:tcW w:w="541" w:type="pct"/>
            <w:vAlign w:val="center"/>
          </w:tcPr>
          <w:p>
            <w:pPr>
              <w:pStyle w:val="0"/>
              <w:widowControl w:val="0"/>
              <w:jc w:val="center"/>
              <w:rPr>
                <w:rFonts w:hint="default"/>
              </w:rPr>
            </w:pPr>
            <w:r>
              <w:rPr>
                <w:rFonts w:hint="default"/>
              </w:rPr>
              <w:t>8</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その他の心疾患</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136,999,290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6,928</w:t>
            </w:r>
          </w:p>
        </w:tc>
      </w:tr>
      <w:tr>
        <w:trPr>
          <w:trHeight w:val="20" w:hRule="atLeast"/>
        </w:trPr>
        <w:tc>
          <w:tcPr>
            <w:tcW w:w="541" w:type="pct"/>
            <w:vAlign w:val="center"/>
          </w:tcPr>
          <w:p>
            <w:pPr>
              <w:pStyle w:val="0"/>
              <w:widowControl w:val="0"/>
              <w:jc w:val="center"/>
              <w:rPr>
                <w:rFonts w:hint="default"/>
              </w:rPr>
            </w:pPr>
            <w:r>
              <w:rPr>
                <w:rFonts w:hint="default"/>
              </w:rPr>
              <w:t>9</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3.4%</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脂質異常症</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122,919,860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6,216</w:t>
            </w:r>
          </w:p>
        </w:tc>
      </w:tr>
      <w:tr>
        <w:trPr>
          <w:trHeight w:val="20" w:hRule="atLeast"/>
        </w:trPr>
        <w:tc>
          <w:tcPr>
            <w:tcW w:w="541" w:type="pct"/>
            <w:vAlign w:val="center"/>
          </w:tcPr>
          <w:p>
            <w:pPr>
              <w:pStyle w:val="0"/>
              <w:widowControl w:val="0"/>
              <w:jc w:val="center"/>
              <w:rPr>
                <w:rFonts w:hint="default"/>
              </w:rPr>
            </w:pPr>
            <w:r>
              <w:rPr>
                <w:rFonts w:hint="default"/>
              </w:rPr>
              <w:t>10</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3.0%</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気管、気管支及び肺の悪性新生物</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120,002,530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6,068</w:t>
            </w:r>
          </w:p>
        </w:tc>
      </w:tr>
      <w:tr>
        <w:trPr>
          <w:trHeight w:val="20" w:hRule="atLeast"/>
        </w:trPr>
        <w:tc>
          <w:tcPr>
            <w:tcW w:w="541" w:type="pct"/>
            <w:vAlign w:val="center"/>
          </w:tcPr>
          <w:p>
            <w:pPr>
              <w:pStyle w:val="0"/>
              <w:widowControl w:val="0"/>
              <w:jc w:val="center"/>
              <w:rPr>
                <w:rFonts w:hint="default"/>
              </w:rPr>
            </w:pPr>
            <w:r>
              <w:rPr>
                <w:rFonts w:hint="default"/>
              </w:rPr>
              <w:t>11</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2.5%</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炎症性多発性関節障害</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90,163,660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4,559</w:t>
            </w:r>
          </w:p>
        </w:tc>
      </w:tr>
      <w:tr>
        <w:trPr>
          <w:trHeight w:val="20" w:hRule="atLeast"/>
        </w:trPr>
        <w:tc>
          <w:tcPr>
            <w:tcW w:w="541" w:type="pct"/>
            <w:vAlign w:val="center"/>
          </w:tcPr>
          <w:p>
            <w:pPr>
              <w:pStyle w:val="0"/>
              <w:widowControl w:val="0"/>
              <w:jc w:val="center"/>
              <w:rPr>
                <w:rFonts w:hint="default"/>
              </w:rPr>
            </w:pPr>
            <w:r>
              <w:rPr>
                <w:rFonts w:hint="default"/>
              </w:rPr>
              <w:t>12</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喘息</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82,199,620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4,157</w:t>
            </w:r>
          </w:p>
        </w:tc>
      </w:tr>
      <w:tr>
        <w:trPr>
          <w:trHeight w:val="20" w:hRule="atLeast"/>
        </w:trPr>
        <w:tc>
          <w:tcPr>
            <w:tcW w:w="541" w:type="pct"/>
            <w:vAlign w:val="center"/>
          </w:tcPr>
          <w:p>
            <w:pPr>
              <w:pStyle w:val="0"/>
              <w:widowControl w:val="0"/>
              <w:jc w:val="center"/>
              <w:rPr>
                <w:rFonts w:hint="default"/>
              </w:rPr>
            </w:pPr>
            <w:r>
              <w:rPr>
                <w:rFonts w:hint="default"/>
              </w:rPr>
              <w:t>13</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統合失調症、統合失調症型障害及び妄想性障害</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79,129,310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4,001</w:t>
            </w:r>
          </w:p>
        </w:tc>
      </w:tr>
      <w:tr>
        <w:trPr>
          <w:trHeight w:val="20" w:hRule="atLeast"/>
        </w:trPr>
        <w:tc>
          <w:tcPr>
            <w:tcW w:w="541" w:type="pct"/>
            <w:vAlign w:val="center"/>
          </w:tcPr>
          <w:p>
            <w:pPr>
              <w:pStyle w:val="0"/>
              <w:widowControl w:val="0"/>
              <w:jc w:val="center"/>
              <w:rPr>
                <w:rFonts w:hint="default"/>
              </w:rPr>
            </w:pPr>
            <w:r>
              <w:rPr>
                <w:rFonts w:hint="default"/>
              </w:rPr>
              <w:t>14</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2.1%</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気分（感情）障害（躁うつ病を含む）</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69,893,210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3,534</w:t>
            </w:r>
          </w:p>
        </w:tc>
      </w:tr>
      <w:tr>
        <w:trPr>
          <w:trHeight w:val="20" w:hRule="atLeast"/>
        </w:trPr>
        <w:tc>
          <w:tcPr>
            <w:tcW w:w="541" w:type="pct"/>
            <w:vAlign w:val="center"/>
          </w:tcPr>
          <w:p>
            <w:pPr>
              <w:pStyle w:val="0"/>
              <w:widowControl w:val="0"/>
              <w:jc w:val="center"/>
              <w:rPr>
                <w:rFonts w:hint="default"/>
              </w:rPr>
            </w:pPr>
            <w:r>
              <w:rPr>
                <w:rFonts w:hint="default"/>
              </w:rPr>
              <w:t>15</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2.0%</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その他の血液及び造血器の疾患並びに免疫機構の障害</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66,690,860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3,372</w:t>
            </w:r>
          </w:p>
        </w:tc>
      </w:tr>
      <w:tr>
        <w:trPr>
          <w:trHeight w:val="20" w:hRule="atLeast"/>
        </w:trPr>
        <w:tc>
          <w:tcPr>
            <w:tcW w:w="541" w:type="pct"/>
            <w:vAlign w:val="center"/>
          </w:tcPr>
          <w:p>
            <w:pPr>
              <w:pStyle w:val="0"/>
              <w:widowControl w:val="0"/>
              <w:jc w:val="center"/>
              <w:rPr>
                <w:rFonts w:hint="default"/>
              </w:rPr>
            </w:pPr>
            <w:r>
              <w:rPr>
                <w:rFonts w:hint="default"/>
              </w:rPr>
              <w:t>16</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1.8%</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その他の内分泌、栄養及び代謝障害</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64,309,460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3,252</w:t>
            </w:r>
          </w:p>
        </w:tc>
      </w:tr>
      <w:tr>
        <w:trPr>
          <w:trHeight w:val="20" w:hRule="atLeast"/>
        </w:trPr>
        <w:tc>
          <w:tcPr>
            <w:tcW w:w="541" w:type="pct"/>
            <w:vAlign w:val="center"/>
          </w:tcPr>
          <w:p>
            <w:pPr>
              <w:pStyle w:val="0"/>
              <w:widowControl w:val="0"/>
              <w:jc w:val="center"/>
              <w:rPr>
                <w:rFonts w:hint="default"/>
              </w:rPr>
            </w:pPr>
            <w:r>
              <w:rPr>
                <w:rFonts w:hint="default"/>
              </w:rPr>
              <w:t>17</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1.3%</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乳房の悪性新生物</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57,898,680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2,928</w:t>
            </w:r>
          </w:p>
        </w:tc>
      </w:tr>
      <w:tr>
        <w:trPr>
          <w:trHeight w:val="20" w:hRule="atLeast"/>
        </w:trPr>
        <w:tc>
          <w:tcPr>
            <w:tcW w:w="541" w:type="pct"/>
            <w:vAlign w:val="center"/>
          </w:tcPr>
          <w:p>
            <w:pPr>
              <w:pStyle w:val="0"/>
              <w:widowControl w:val="0"/>
              <w:jc w:val="center"/>
              <w:rPr>
                <w:rFonts w:hint="default"/>
              </w:rPr>
            </w:pPr>
            <w:r>
              <w:rPr>
                <w:rFonts w:hint="default"/>
              </w:rPr>
              <w:t>18</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関節症</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52,779,800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2,669</w:t>
            </w:r>
          </w:p>
        </w:tc>
      </w:tr>
      <w:tr>
        <w:trPr>
          <w:trHeight w:val="20" w:hRule="atLeast"/>
        </w:trPr>
        <w:tc>
          <w:tcPr>
            <w:tcW w:w="541" w:type="pct"/>
            <w:vAlign w:val="center"/>
          </w:tcPr>
          <w:p>
            <w:pPr>
              <w:pStyle w:val="0"/>
              <w:widowControl w:val="0"/>
              <w:jc w:val="center"/>
              <w:rPr>
                <w:rFonts w:hint="default"/>
              </w:rPr>
            </w:pPr>
            <w:r>
              <w:rPr>
                <w:rFonts w:hint="default"/>
              </w:rPr>
              <w:t>19</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その他の皮膚及び皮下組織の疾患</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44,917,720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2,271</w:t>
            </w:r>
          </w:p>
        </w:tc>
      </w:tr>
      <w:tr>
        <w:trPr>
          <w:trHeight w:val="20" w:hRule="atLeast"/>
        </w:trPr>
        <w:tc>
          <w:tcPr>
            <w:tcW w:w="541" w:type="pct"/>
            <w:vAlign w:val="center"/>
          </w:tcPr>
          <w:p>
            <w:pPr>
              <w:pStyle w:val="0"/>
              <w:widowControl w:val="0"/>
              <w:jc w:val="center"/>
              <w:rPr>
                <w:rFonts w:hint="default"/>
              </w:rPr>
            </w:pPr>
            <w:r>
              <w:rPr>
                <w:rFonts w:hint="default"/>
              </w:rPr>
              <w:t>20</w:t>
            </w:r>
            <w:r>
              <w:rPr>
                <w:rFonts w:hint="eastAsia"/>
              </w:rPr>
              <w:t>位</w:t>
            </w:r>
          </w:p>
        </w:tc>
        <w:tc>
          <w:tcPr>
            <w:tcW w:w="670"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1.1%</w:t>
            </w:r>
          </w:p>
        </w:tc>
        <w:tc>
          <w:tcPr>
            <w:tcW w:w="1262"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その他（上記以外のもの）</w:t>
            </w:r>
          </w:p>
        </w:tc>
        <w:tc>
          <w:tcPr>
            <w:tcW w:w="126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44,296,240</w:t>
            </w:r>
          </w:p>
        </w:tc>
        <w:tc>
          <w:tcPr>
            <w:tcW w:w="1265"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2,240</w:t>
            </w:r>
          </w:p>
        </w:tc>
      </w:tr>
    </w:tbl>
    <w:p>
      <w:pPr>
        <w:pStyle w:val="40"/>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eastAsia"/>
        </w:rPr>
        <w:t>3</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38"/>
        <w:rPr>
          <w:rFonts w:hint="default"/>
        </w:rPr>
      </w:pPr>
      <w:bookmarkStart w:id="126" w:name="_Ref13118469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5</w:t>
      </w:r>
      <w:r>
        <w:rPr>
          <w:rFonts w:hint="eastAsia"/>
        </w:rPr>
        <w:fldChar w:fldCharType="end"/>
      </w:r>
      <w:bookmarkEnd w:id="126"/>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一人当たり外来医療費（</w:t>
      </w:r>
      <w:r>
        <w:rPr>
          <w:rFonts w:hint="eastAsia"/>
        </w:rPr>
        <w:t>令和</w:t>
      </w:r>
      <w:r>
        <w:rPr>
          <w:rFonts w:hint="default"/>
        </w:rPr>
        <w:t>4</w:t>
      </w:r>
      <w:r>
        <w:rPr>
          <w:rFonts w:hint="eastAsia"/>
        </w:rPr>
        <w:t>年度</w:t>
      </w:r>
      <w:r>
        <w:rPr>
          <w:rFonts w:hint="default"/>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Look w:firstRow="0" w:lastRow="0" w:firstColumn="0" w:lastColumn="0" w:noHBand="1" w:noVBand="1" w:val="0600"/>
      </w:tblPr>
      <w:tblGrid>
        <w:gridCol w:w="1023"/>
        <w:gridCol w:w="2452"/>
        <w:gridCol w:w="2453"/>
        <w:gridCol w:w="2453"/>
        <w:gridCol w:w="994"/>
      </w:tblGrid>
      <w:tr>
        <w:trPr>
          <w:trHeight w:val="20" w:hRule="atLeast"/>
        </w:trPr>
        <w:tc>
          <w:tcPr>
            <w:tcW w:w="546" w:type="pct"/>
            <w:vMerge w:val="restart"/>
            <w:shd w:val="clear" w:color="auto" w:fill="CCD6FF"/>
            <w:vAlign w:val="center"/>
          </w:tcPr>
          <w:p>
            <w:pPr>
              <w:pStyle w:val="0"/>
              <w:widowControl w:val="0"/>
              <w:jc w:val="center"/>
              <w:rPr>
                <w:rFonts w:hint="default"/>
                <w:b w:val="1"/>
              </w:rPr>
            </w:pPr>
            <w:r>
              <w:rPr>
                <w:rFonts w:hint="default"/>
                <w:b w:val="1"/>
              </w:rPr>
              <w:t>順位</w:t>
            </w:r>
          </w:p>
        </w:tc>
        <w:tc>
          <w:tcPr>
            <w:tcW w:w="4454" w:type="pct"/>
            <w:gridSpan w:val="4"/>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eastAsia"/>
                <w:b w:val="1"/>
              </w:rPr>
              <w:t>令和</w:t>
            </w:r>
            <w:r>
              <w:rPr>
                <w:rFonts w:hint="eastAsia"/>
                <w:b w:val="1"/>
              </w:rPr>
              <w:t>4</w:t>
            </w:r>
            <w:r>
              <w:rPr>
                <w:rFonts w:hint="eastAsia"/>
                <w:b w:val="1"/>
              </w:rPr>
              <w:t>年度</w:t>
            </w:r>
          </w:p>
        </w:tc>
      </w:tr>
      <w:tr>
        <w:trPr>
          <w:trHeight w:val="20" w:hRule="atLeast"/>
        </w:trPr>
        <w:tc>
          <w:tcPr>
            <w:tcW w:w="546" w:type="pct"/>
            <w:vMerge w:val="continue"/>
            <w:shd w:val="clear" w:color="auto" w:fill="CCD6FF"/>
            <w:vAlign w:val="center"/>
          </w:tcPr>
          <w:p>
            <w:pPr>
              <w:pStyle w:val="0"/>
              <w:widowControl w:val="0"/>
              <w:jc w:val="center"/>
              <w:rPr>
                <w:rFonts w:hint="default"/>
                <w:b w:val="1"/>
              </w:rPr>
            </w:pPr>
          </w:p>
        </w:tc>
        <w:tc>
          <w:tcPr>
            <w:tcW w:w="130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疾病</w:t>
            </w:r>
          </w:p>
        </w:tc>
        <w:tc>
          <w:tcPr>
            <w:tcW w:w="130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医療費（円）</w:t>
            </w:r>
          </w:p>
        </w:tc>
        <w:tc>
          <w:tcPr>
            <w:tcW w:w="130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一人当たり医療費（円）</w:t>
            </w:r>
          </w:p>
        </w:tc>
        <w:tc>
          <w:tcPr>
            <w:tcW w:w="5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割合</w:t>
            </w:r>
          </w:p>
        </w:tc>
      </w:tr>
      <w:tr>
        <w:trPr>
          <w:trHeight w:val="20" w:hRule="atLeast"/>
        </w:trPr>
        <w:tc>
          <w:tcPr>
            <w:tcW w:w="546" w:type="pct"/>
            <w:vAlign w:val="center"/>
          </w:tcPr>
          <w:p>
            <w:pPr>
              <w:pStyle w:val="0"/>
              <w:widowControl w:val="0"/>
              <w:jc w:val="center"/>
              <w:rPr>
                <w:rFonts w:hint="default"/>
              </w:rPr>
            </w:pPr>
            <w:r>
              <w:rPr>
                <w:rFonts w:hint="default"/>
              </w:rPr>
              <w:t>1</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腎不全</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498,963,820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25,658</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12.9%</w:t>
            </w:r>
          </w:p>
        </w:tc>
      </w:tr>
      <w:tr>
        <w:trPr>
          <w:trHeight w:val="20" w:hRule="atLeast"/>
        </w:trPr>
        <w:tc>
          <w:tcPr>
            <w:tcW w:w="546" w:type="pct"/>
            <w:vAlign w:val="center"/>
          </w:tcPr>
          <w:p>
            <w:pPr>
              <w:pStyle w:val="0"/>
              <w:widowControl w:val="0"/>
              <w:jc w:val="center"/>
              <w:rPr>
                <w:rFonts w:hint="default"/>
              </w:rPr>
            </w:pPr>
            <w:r>
              <w:rPr>
                <w:rFonts w:hint="default"/>
              </w:rPr>
              <w:t>2</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糖尿病</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405,477,230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20,850</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10.5%</w:t>
            </w:r>
          </w:p>
        </w:tc>
      </w:tr>
      <w:tr>
        <w:trPr>
          <w:trHeight w:val="20" w:hRule="atLeast"/>
        </w:trPr>
        <w:tc>
          <w:tcPr>
            <w:tcW w:w="546" w:type="pct"/>
            <w:vAlign w:val="center"/>
          </w:tcPr>
          <w:p>
            <w:pPr>
              <w:pStyle w:val="0"/>
              <w:widowControl w:val="0"/>
              <w:jc w:val="center"/>
              <w:rPr>
                <w:rFonts w:hint="default"/>
              </w:rPr>
            </w:pPr>
            <w:r>
              <w:rPr>
                <w:rFonts w:hint="default"/>
              </w:rPr>
              <w:t>3</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その他の悪性新生物</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198,425,620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10,203</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5.1%</w:t>
            </w:r>
          </w:p>
        </w:tc>
      </w:tr>
      <w:tr>
        <w:trPr>
          <w:trHeight w:val="20" w:hRule="atLeast"/>
        </w:trPr>
        <w:tc>
          <w:tcPr>
            <w:tcW w:w="546" w:type="pct"/>
            <w:vAlign w:val="center"/>
          </w:tcPr>
          <w:p>
            <w:pPr>
              <w:pStyle w:val="0"/>
              <w:widowControl w:val="0"/>
              <w:jc w:val="center"/>
              <w:rPr>
                <w:rFonts w:hint="default"/>
              </w:rPr>
            </w:pPr>
            <w:r>
              <w:rPr>
                <w:rFonts w:hint="default"/>
              </w:rPr>
              <w:t>4</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高血圧症</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175,656,630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9,033</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4.5%</w:t>
            </w:r>
          </w:p>
        </w:tc>
      </w:tr>
      <w:tr>
        <w:trPr>
          <w:trHeight w:val="20" w:hRule="atLeast"/>
        </w:trPr>
        <w:tc>
          <w:tcPr>
            <w:tcW w:w="546" w:type="pct"/>
            <w:vAlign w:val="center"/>
          </w:tcPr>
          <w:p>
            <w:pPr>
              <w:pStyle w:val="0"/>
              <w:widowControl w:val="0"/>
              <w:jc w:val="center"/>
              <w:rPr>
                <w:rFonts w:hint="default"/>
              </w:rPr>
            </w:pPr>
            <w:r>
              <w:rPr>
                <w:rFonts w:hint="default"/>
              </w:rPr>
              <w:t>5</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その他の消化器系の疾患</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142,224,760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7,313</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3.7%</w:t>
            </w:r>
          </w:p>
        </w:tc>
      </w:tr>
      <w:tr>
        <w:trPr>
          <w:trHeight w:val="20" w:hRule="atLeast"/>
        </w:trPr>
        <w:tc>
          <w:tcPr>
            <w:tcW w:w="546" w:type="pct"/>
            <w:vAlign w:val="center"/>
          </w:tcPr>
          <w:p>
            <w:pPr>
              <w:pStyle w:val="0"/>
              <w:widowControl w:val="0"/>
              <w:jc w:val="center"/>
              <w:rPr>
                <w:rFonts w:hint="default"/>
              </w:rPr>
            </w:pPr>
            <w:r>
              <w:rPr>
                <w:rFonts w:hint="default"/>
              </w:rPr>
              <w:t>6</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その他の心疾患</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141,602,680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7,281</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3.7%</w:t>
            </w:r>
          </w:p>
        </w:tc>
      </w:tr>
      <w:tr>
        <w:trPr>
          <w:trHeight w:val="20" w:hRule="atLeast"/>
        </w:trPr>
        <w:tc>
          <w:tcPr>
            <w:tcW w:w="546" w:type="pct"/>
            <w:vAlign w:val="center"/>
          </w:tcPr>
          <w:p>
            <w:pPr>
              <w:pStyle w:val="0"/>
              <w:widowControl w:val="0"/>
              <w:jc w:val="center"/>
              <w:rPr>
                <w:rFonts w:hint="default"/>
              </w:rPr>
            </w:pPr>
            <w:r>
              <w:rPr>
                <w:rFonts w:hint="default"/>
              </w:rPr>
              <w:t>7</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その他の眼及び付属器の疾患</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137,145,860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7,052</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3.6%</w:t>
            </w:r>
          </w:p>
        </w:tc>
      </w:tr>
      <w:tr>
        <w:trPr>
          <w:trHeight w:val="20" w:hRule="atLeast"/>
        </w:trPr>
        <w:tc>
          <w:tcPr>
            <w:tcW w:w="546" w:type="pct"/>
            <w:vAlign w:val="center"/>
          </w:tcPr>
          <w:p>
            <w:pPr>
              <w:pStyle w:val="0"/>
              <w:widowControl w:val="0"/>
              <w:jc w:val="center"/>
              <w:rPr>
                <w:rFonts w:hint="default"/>
              </w:rPr>
            </w:pPr>
            <w:r>
              <w:rPr>
                <w:rFonts w:hint="default"/>
              </w:rPr>
              <w:t>8</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その他の神経系の疾患</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120,215,630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6,182</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3.1%</w:t>
            </w:r>
          </w:p>
        </w:tc>
      </w:tr>
      <w:tr>
        <w:trPr>
          <w:trHeight w:val="20" w:hRule="atLeast"/>
        </w:trPr>
        <w:tc>
          <w:tcPr>
            <w:tcW w:w="546" w:type="pct"/>
            <w:vAlign w:val="center"/>
          </w:tcPr>
          <w:p>
            <w:pPr>
              <w:pStyle w:val="0"/>
              <w:widowControl w:val="0"/>
              <w:jc w:val="center"/>
              <w:rPr>
                <w:rFonts w:hint="default"/>
              </w:rPr>
            </w:pPr>
            <w:r>
              <w:rPr>
                <w:rFonts w:hint="default"/>
              </w:rPr>
              <w:t>9</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気管、気管支及び肺の悪性新生物</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115,163,750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5,922</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3.0%</w:t>
            </w:r>
          </w:p>
        </w:tc>
      </w:tr>
      <w:tr>
        <w:trPr>
          <w:trHeight w:val="20" w:hRule="atLeast"/>
        </w:trPr>
        <w:tc>
          <w:tcPr>
            <w:tcW w:w="546" w:type="pct"/>
            <w:vAlign w:val="center"/>
          </w:tcPr>
          <w:p>
            <w:pPr>
              <w:pStyle w:val="0"/>
              <w:widowControl w:val="0"/>
              <w:jc w:val="center"/>
              <w:rPr>
                <w:rFonts w:hint="default"/>
              </w:rPr>
            </w:pPr>
            <w:r>
              <w:rPr>
                <w:rFonts w:hint="default"/>
              </w:rPr>
              <w:t>10</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脂質異常症</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107,177,020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5,511</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2.8%</w:t>
            </w:r>
          </w:p>
        </w:tc>
      </w:tr>
      <w:tr>
        <w:trPr>
          <w:trHeight w:val="20" w:hRule="atLeast"/>
        </w:trPr>
        <w:tc>
          <w:tcPr>
            <w:tcW w:w="546" w:type="pct"/>
            <w:vAlign w:val="center"/>
          </w:tcPr>
          <w:p>
            <w:pPr>
              <w:pStyle w:val="0"/>
              <w:widowControl w:val="0"/>
              <w:jc w:val="center"/>
              <w:rPr>
                <w:rFonts w:hint="default"/>
              </w:rPr>
            </w:pPr>
            <w:r>
              <w:rPr>
                <w:rFonts w:hint="default"/>
              </w:rPr>
              <w:t>11</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炎症性多発性関節障害</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92,587,950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4,761</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2.4%</w:t>
            </w:r>
          </w:p>
        </w:tc>
      </w:tr>
      <w:tr>
        <w:trPr>
          <w:trHeight w:val="20" w:hRule="atLeast"/>
        </w:trPr>
        <w:tc>
          <w:tcPr>
            <w:tcW w:w="546" w:type="pct"/>
            <w:vAlign w:val="center"/>
          </w:tcPr>
          <w:p>
            <w:pPr>
              <w:pStyle w:val="0"/>
              <w:widowControl w:val="0"/>
              <w:jc w:val="center"/>
              <w:rPr>
                <w:rFonts w:hint="default"/>
              </w:rPr>
            </w:pPr>
            <w:r>
              <w:rPr>
                <w:rFonts w:hint="default"/>
              </w:rPr>
              <w:t>12</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統合失調症、統合失調症型障害及び妄想性障害</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80,121,400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4,120</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2.1%</w:t>
            </w:r>
          </w:p>
        </w:tc>
      </w:tr>
      <w:tr>
        <w:trPr>
          <w:trHeight w:val="20" w:hRule="atLeast"/>
        </w:trPr>
        <w:tc>
          <w:tcPr>
            <w:tcW w:w="546" w:type="pct"/>
            <w:vAlign w:val="center"/>
          </w:tcPr>
          <w:p>
            <w:pPr>
              <w:pStyle w:val="0"/>
              <w:widowControl w:val="0"/>
              <w:jc w:val="center"/>
              <w:rPr>
                <w:rFonts w:hint="default"/>
              </w:rPr>
            </w:pPr>
            <w:r>
              <w:rPr>
                <w:rFonts w:hint="default"/>
              </w:rPr>
              <w:t>13</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その他の内分泌、栄養及び代謝障害</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76,828,970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3,951</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2.0%</w:t>
            </w:r>
          </w:p>
        </w:tc>
      </w:tr>
      <w:tr>
        <w:trPr>
          <w:trHeight w:val="20" w:hRule="atLeast"/>
        </w:trPr>
        <w:tc>
          <w:tcPr>
            <w:tcW w:w="546" w:type="pct"/>
            <w:vAlign w:val="center"/>
          </w:tcPr>
          <w:p>
            <w:pPr>
              <w:pStyle w:val="0"/>
              <w:widowControl w:val="0"/>
              <w:jc w:val="center"/>
              <w:rPr>
                <w:rFonts w:hint="default"/>
              </w:rPr>
            </w:pPr>
            <w:r>
              <w:rPr>
                <w:rFonts w:hint="default"/>
              </w:rPr>
              <w:t>14</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喘息</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71,029,430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3,652</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1.8%</w:t>
            </w:r>
          </w:p>
        </w:tc>
      </w:tr>
      <w:tr>
        <w:trPr>
          <w:trHeight w:val="20" w:hRule="atLeast"/>
        </w:trPr>
        <w:tc>
          <w:tcPr>
            <w:tcW w:w="546" w:type="pct"/>
            <w:vAlign w:val="center"/>
          </w:tcPr>
          <w:p>
            <w:pPr>
              <w:pStyle w:val="0"/>
              <w:widowControl w:val="0"/>
              <w:jc w:val="center"/>
              <w:rPr>
                <w:rFonts w:hint="default"/>
              </w:rPr>
            </w:pPr>
            <w:r>
              <w:rPr>
                <w:rFonts w:hint="default"/>
              </w:rPr>
              <w:t>15</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気分（感情）障害（躁うつ病を含む）</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64,513,260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3,317</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1.7%</w:t>
            </w:r>
          </w:p>
        </w:tc>
      </w:tr>
      <w:tr>
        <w:trPr>
          <w:trHeight w:val="20" w:hRule="atLeast"/>
        </w:trPr>
        <w:tc>
          <w:tcPr>
            <w:tcW w:w="546" w:type="pct"/>
            <w:vAlign w:val="center"/>
          </w:tcPr>
          <w:p>
            <w:pPr>
              <w:pStyle w:val="0"/>
              <w:widowControl w:val="0"/>
              <w:jc w:val="center"/>
              <w:rPr>
                <w:rFonts w:hint="default"/>
              </w:rPr>
            </w:pPr>
            <w:r>
              <w:rPr>
                <w:rFonts w:hint="default"/>
              </w:rPr>
              <w:t>16</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乳房の悪性新生物</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60,228,670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3,097</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1.6%</w:t>
            </w:r>
          </w:p>
        </w:tc>
      </w:tr>
      <w:tr>
        <w:trPr>
          <w:trHeight w:val="20" w:hRule="atLeast"/>
        </w:trPr>
        <w:tc>
          <w:tcPr>
            <w:tcW w:w="546" w:type="pct"/>
            <w:vAlign w:val="center"/>
          </w:tcPr>
          <w:p>
            <w:pPr>
              <w:pStyle w:val="0"/>
              <w:widowControl w:val="0"/>
              <w:jc w:val="center"/>
              <w:rPr>
                <w:rFonts w:hint="default"/>
              </w:rPr>
            </w:pPr>
            <w:r>
              <w:rPr>
                <w:rFonts w:hint="default"/>
              </w:rPr>
              <w:t>17</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関節症</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52,416,620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2,695</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1.4%</w:t>
            </w:r>
          </w:p>
        </w:tc>
      </w:tr>
      <w:tr>
        <w:trPr>
          <w:trHeight w:val="20" w:hRule="atLeast"/>
        </w:trPr>
        <w:tc>
          <w:tcPr>
            <w:tcW w:w="546" w:type="pct"/>
            <w:vAlign w:val="center"/>
          </w:tcPr>
          <w:p>
            <w:pPr>
              <w:pStyle w:val="0"/>
              <w:widowControl w:val="0"/>
              <w:jc w:val="center"/>
              <w:rPr>
                <w:rFonts w:hint="default"/>
              </w:rPr>
            </w:pPr>
            <w:r>
              <w:rPr>
                <w:rFonts w:hint="default"/>
              </w:rPr>
              <w:t>18</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その他の皮膚及び皮下組織の疾患</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52,107,200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2,679</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1.3%</w:t>
            </w:r>
          </w:p>
        </w:tc>
      </w:tr>
      <w:tr>
        <w:trPr>
          <w:trHeight w:val="20" w:hRule="atLeast"/>
        </w:trPr>
        <w:tc>
          <w:tcPr>
            <w:tcW w:w="546" w:type="pct"/>
            <w:vAlign w:val="center"/>
          </w:tcPr>
          <w:p>
            <w:pPr>
              <w:pStyle w:val="0"/>
              <w:widowControl w:val="0"/>
              <w:jc w:val="center"/>
              <w:rPr>
                <w:rFonts w:hint="default"/>
              </w:rPr>
            </w:pPr>
            <w:r>
              <w:rPr>
                <w:rFonts w:hint="default"/>
              </w:rPr>
              <w:t>19</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結腸の悪性新生物</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45,709,000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2,350</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1.2%</w:t>
            </w:r>
          </w:p>
        </w:tc>
      </w:tr>
      <w:tr>
        <w:trPr>
          <w:trHeight w:val="20" w:hRule="atLeast"/>
        </w:trPr>
        <w:tc>
          <w:tcPr>
            <w:tcW w:w="546" w:type="pct"/>
            <w:vAlign w:val="center"/>
          </w:tcPr>
          <w:p>
            <w:pPr>
              <w:pStyle w:val="0"/>
              <w:widowControl w:val="0"/>
              <w:jc w:val="center"/>
              <w:rPr>
                <w:rFonts w:hint="default"/>
              </w:rPr>
            </w:pPr>
            <w:r>
              <w:rPr>
                <w:rFonts w:hint="default"/>
              </w:rPr>
              <w:t>20</w:t>
            </w:r>
            <w:r>
              <w:rPr>
                <w:rFonts w:hint="eastAsia"/>
              </w:rPr>
              <w:t>位</w:t>
            </w:r>
          </w:p>
        </w:tc>
        <w:tc>
          <w:tcPr>
            <w:tcW w:w="1308" w:type="pct"/>
            <w:tcMar>
              <w:top w:w="28" w:type="dxa"/>
              <w:left w:w="28" w:type="dxa"/>
              <w:bottom w:w="28" w:type="dxa"/>
              <w:right w:w="28" w:type="dxa"/>
            </w:tcMar>
            <w:vAlign w:val="center"/>
          </w:tcPr>
          <w:p>
            <w:pPr>
              <w:pStyle w:val="0"/>
              <w:widowControl w:val="0"/>
              <w:jc w:val="both"/>
              <w:rPr>
                <w:rFonts w:hint="default"/>
              </w:rPr>
            </w:pPr>
            <w:r>
              <w:rPr>
                <w:rFonts w:hint="default"/>
              </w:rPr>
              <w:t>白血病</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42,370,190</w:t>
            </w:r>
          </w:p>
        </w:tc>
        <w:tc>
          <w:tcPr>
            <w:tcW w:w="1308" w:type="pct"/>
            <w:tcMar>
              <w:top w:w="28" w:type="dxa"/>
              <w:left w:w="28" w:type="dxa"/>
              <w:bottom w:w="28" w:type="dxa"/>
              <w:right w:w="28" w:type="dxa"/>
            </w:tcMar>
            <w:vAlign w:val="center"/>
          </w:tcPr>
          <w:p>
            <w:pPr>
              <w:pStyle w:val="0"/>
              <w:widowControl w:val="0"/>
              <w:jc w:val="right"/>
              <w:rPr>
                <w:rFonts w:hint="default"/>
              </w:rPr>
            </w:pPr>
            <w:r>
              <w:rPr>
                <w:rFonts w:hint="default"/>
              </w:rPr>
              <w:t>2,179</w:t>
            </w:r>
          </w:p>
        </w:tc>
        <w:tc>
          <w:tcPr>
            <w:tcW w:w="530" w:type="pct"/>
            <w:tcMar>
              <w:top w:w="28" w:type="dxa"/>
              <w:left w:w="28" w:type="dxa"/>
              <w:bottom w:w="28" w:type="dxa"/>
              <w:right w:w="28" w:type="dxa"/>
            </w:tcMar>
            <w:vAlign w:val="center"/>
          </w:tcPr>
          <w:p>
            <w:pPr>
              <w:pStyle w:val="0"/>
              <w:widowControl w:val="0"/>
              <w:jc w:val="right"/>
              <w:rPr>
                <w:rFonts w:hint="default"/>
              </w:rPr>
            </w:pPr>
            <w:r>
              <w:rPr>
                <w:rFonts w:hint="default"/>
              </w:rPr>
              <w:t>1.1%</w:t>
            </w:r>
          </w:p>
        </w:tc>
      </w:tr>
    </w:tbl>
    <w:p>
      <w:pPr>
        <w:pStyle w:val="40"/>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default"/>
        </w:rPr>
        <w:t xml:space="preserve"> </w:t>
      </w:r>
      <w:r>
        <w:rPr>
          <w:rFonts w:hint="default"/>
        </w:rPr>
        <w:t>令和</w:t>
      </w:r>
      <w:r>
        <w:rPr>
          <w:rFonts w:hint="default"/>
        </w:rPr>
        <w:t>4</w:t>
      </w:r>
      <w:r>
        <w:rPr>
          <w:rFonts w:hint="default"/>
        </w:rPr>
        <w:t>年度</w:t>
      </w:r>
      <w:r>
        <w:rPr>
          <w:rFonts w:hint="default"/>
        </w:rPr>
        <w:t xml:space="preserve"> </w:t>
      </w:r>
      <w:r>
        <w:rPr>
          <w:rFonts w:hint="default"/>
        </w:rPr>
        <w:t>累計</w:t>
      </w:r>
    </w:p>
    <w:p>
      <w:pPr>
        <w:pStyle w:val="0"/>
        <w:rPr>
          <w:rFonts w:hint="default"/>
        </w:rPr>
      </w:pPr>
    </w:p>
    <w:p>
      <w:pPr>
        <w:pStyle w:val="0"/>
        <w:rPr>
          <w:rFonts w:hint="default"/>
        </w:rPr>
      </w:pPr>
      <w:r>
        <w:rPr>
          <w:rFonts w:hint="default"/>
        </w:rPr>
        <w:br w:type="page"/>
      </w:r>
    </w:p>
    <w:p>
      <w:pPr>
        <w:pStyle w:val="4"/>
        <w:rPr>
          <w:rFonts w:hint="default"/>
        </w:rPr>
      </w:pPr>
      <w:r>
        <w:rPr>
          <w:rFonts w:hint="eastAsia"/>
        </w:rPr>
        <w:t>疾病分類（中分類）別外来受診率の比較</w:t>
      </w:r>
    </w:p>
    <w:p>
      <w:pPr>
        <w:pStyle w:val="39"/>
        <w:ind w:firstLine="200"/>
        <w:rPr>
          <w:rFonts w:hint="default"/>
        </w:rPr>
      </w:pPr>
      <w:r>
        <w:rPr>
          <w:rFonts w:hint="eastAsia"/>
        </w:rPr>
        <w:t>外来医療費が上位の疾病について、国と受診率を比較する（</w:t>
      </w:r>
      <w:r>
        <w:rPr>
          <w:rFonts w:hint="eastAsia"/>
        </w:rPr>
        <w:fldChar w:fldCharType="begin"/>
      </w:r>
      <w:r>
        <w:rPr>
          <w:rFonts w:hint="eastAsia"/>
        </w:rPr>
        <w:instrText xml:space="preserve">REF _Ref122534199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6</w:t>
      </w:r>
      <w:r>
        <w:rPr>
          <w:rFonts w:hint="eastAsia"/>
        </w:rPr>
        <w:fldChar w:fldCharType="end"/>
      </w:r>
      <w:r>
        <w:rPr>
          <w:rFonts w:hint="default"/>
        </w:rPr>
        <w:t>）。国との比が</w:t>
      </w:r>
      <w:r>
        <w:rPr>
          <w:rFonts w:hint="default"/>
        </w:rPr>
        <w:t>1</w:t>
      </w:r>
      <w:r>
        <w:rPr>
          <w:rFonts w:hint="default"/>
        </w:rPr>
        <w:t>を超えているものは、国よりも受診率が高い疾病、すなわち医療機関を受診している</w:t>
      </w:r>
      <w:r>
        <w:rPr>
          <w:rFonts w:hint="eastAsia"/>
        </w:rPr>
        <w:t>もの</w:t>
      </w:r>
      <w:r>
        <w:rPr>
          <w:rFonts w:hint="default"/>
        </w:rPr>
        <w:t>が国平均よりも多い疾病である。国と比較して受診率が特に高い疾病は「腎不全」である。</w:t>
      </w:r>
    </w:p>
    <w:p>
      <w:pPr>
        <w:pStyle w:val="39"/>
        <w:ind w:firstLine="200"/>
        <w:rPr>
          <w:rFonts w:hint="default"/>
        </w:rPr>
      </w:pPr>
      <w:r>
        <w:rPr>
          <w:rFonts w:hint="eastAsia"/>
        </w:rPr>
        <w:t>重篤な疾患について国との受診率の比をみると、「腎不全」（</w:t>
      </w:r>
      <w:r>
        <w:rPr>
          <w:rFonts w:hint="eastAsia"/>
        </w:rPr>
        <w:t>1.4</w:t>
      </w:r>
      <w:r>
        <w:rPr>
          <w:rFonts w:hint="eastAsia"/>
        </w:rPr>
        <w:t>）となっている。</w:t>
      </w:r>
      <w:r>
        <w:rPr>
          <w:rFonts w:hint="default"/>
        </w:rPr>
        <w:t>基礎疾患</w:t>
      </w:r>
      <w:r>
        <w:rPr>
          <w:rFonts w:hint="eastAsia"/>
        </w:rPr>
        <w:t>について</w:t>
      </w:r>
      <w:r>
        <w:rPr>
          <w:rFonts w:hint="default"/>
        </w:rPr>
        <w:t>は</w:t>
      </w:r>
      <w:r>
        <w:rPr>
          <w:rFonts w:hint="eastAsia"/>
        </w:rPr>
        <w:t>「糖尿病」（</w:t>
      </w:r>
      <w:r>
        <w:rPr>
          <w:rFonts w:hint="eastAsia"/>
        </w:rPr>
        <w:t>1.1</w:t>
      </w:r>
      <w:r>
        <w:rPr>
          <w:rFonts w:hint="eastAsia"/>
        </w:rPr>
        <w:t>）、「高血圧症」（</w:t>
      </w:r>
      <w:r>
        <w:rPr>
          <w:rFonts w:hint="eastAsia"/>
        </w:rPr>
        <w:t>0.8</w:t>
      </w:r>
      <w:r>
        <w:rPr>
          <w:rFonts w:hint="eastAsia"/>
        </w:rPr>
        <w:t>）、「脂質異常症」（</w:t>
      </w:r>
      <w:r>
        <w:rPr>
          <w:rFonts w:hint="eastAsia"/>
        </w:rPr>
        <w:t>0.7</w:t>
      </w:r>
      <w:r>
        <w:rPr>
          <w:rFonts w:hint="eastAsia"/>
        </w:rPr>
        <w:t>）となっている。</w:t>
      </w:r>
    </w:p>
    <w:p>
      <w:pPr>
        <w:pStyle w:val="0"/>
        <w:rPr>
          <w:rFonts w:hint="default"/>
        </w:rPr>
      </w:pPr>
    </w:p>
    <w:p>
      <w:pPr>
        <w:pStyle w:val="38"/>
        <w:rPr>
          <w:rFonts w:hint="default"/>
        </w:rPr>
      </w:pPr>
      <w:bookmarkStart w:id="127" w:name="_Ref122534199"/>
      <w:bookmarkStart w:id="128" w:name="_Toc12493682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6</w:t>
      </w:r>
      <w:r>
        <w:rPr>
          <w:rFonts w:hint="eastAsia"/>
        </w:rPr>
        <w:fldChar w:fldCharType="end"/>
      </w:r>
      <w:bookmarkEnd w:id="127"/>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外来</w:t>
      </w:r>
      <w:r>
        <w:rPr>
          <w:rFonts w:hint="eastAsia"/>
        </w:rPr>
        <w:t>受診率</w:t>
      </w:r>
      <w:r>
        <w:rPr>
          <w:rFonts w:hint="default"/>
        </w:rPr>
        <w:t>比較</w:t>
      </w:r>
      <w:r>
        <w:rPr>
          <w:rFonts w:hint="default"/>
        </w:rPr>
        <w:t>_</w:t>
      </w:r>
      <w:r>
        <w:rPr>
          <w:rFonts w:hint="default"/>
        </w:rPr>
        <w:t>上位の疾病（男女</w:t>
      </w:r>
      <w:r>
        <w:rPr>
          <w:rFonts w:hint="eastAsia"/>
        </w:rPr>
        <w:t>合計</w:t>
      </w:r>
      <w:r>
        <w:rPr>
          <w:rFonts w:hint="default"/>
        </w:rPr>
        <w:t>）</w:t>
      </w:r>
      <w:bookmarkEnd w:id="128"/>
    </w:p>
    <w:p>
      <w:pPr>
        <w:pStyle w:val="0"/>
        <w:jc w:val="center"/>
        <w:rPr>
          <w:rFonts w:hint="default" w:ascii="Arial" w:hAnsi="Arial"/>
        </w:rPr>
      </w:pPr>
      <w:r>
        <w:rPr>
          <w:rFonts w:hint="default" w:ascii="Arial" w:hAnsi="Arial"/>
          <w:b w:val="1"/>
        </w:rPr>
        <w:drawing>
          <wp:inline distT="0" distB="0" distL="0" distR="0">
            <wp:extent cx="5939790" cy="2375535"/>
            <wp:effectExtent l="0" t="0" r="0" b="0"/>
            <wp:docPr id="1093" name="オブジェクト 0"/>
            <a:graphic xmlns:a="http://schemas.openxmlformats.org/drawingml/2006/main">
              <a:graphicData uri="http://schemas.openxmlformats.org/drawingml/2006/chart">
                <c:chart xmlns:c="http://schemas.openxmlformats.org/drawingml/2006/chart" r:id="rId48"/>
              </a:graphicData>
            </a:graphic>
          </wp:inline>
        </w:drawing>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07"/>
        <w:gridCol w:w="3515"/>
        <w:gridCol w:w="737"/>
        <w:gridCol w:w="737"/>
        <w:gridCol w:w="737"/>
        <w:gridCol w:w="737"/>
        <w:gridCol w:w="767"/>
        <w:gridCol w:w="769"/>
        <w:gridCol w:w="769"/>
      </w:tblGrid>
      <w:tr>
        <w:trPr>
          <w:trHeight w:val="20" w:hRule="atLeast"/>
        </w:trPr>
        <w:tc>
          <w:tcPr>
            <w:tcW w:w="324"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順位</w:t>
            </w:r>
          </w:p>
        </w:tc>
        <w:tc>
          <w:tcPr>
            <w:tcW w:w="1875"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疾病分類（中分類）</w:t>
            </w:r>
          </w:p>
        </w:tc>
        <w:tc>
          <w:tcPr>
            <w:tcW w:w="2801" w:type="pct"/>
            <w:gridSpan w:val="7"/>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受診率</w:t>
            </w:r>
          </w:p>
        </w:tc>
      </w:tr>
      <w:tr>
        <w:trPr>
          <w:trHeight w:val="20" w:hRule="atLeast"/>
        </w:trPr>
        <w:tc>
          <w:tcPr>
            <w:tcW w:w="324"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875"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393"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393"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国</w:t>
            </w:r>
          </w:p>
        </w:tc>
        <w:tc>
          <w:tcPr>
            <w:tcW w:w="393"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393"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同規模</w:t>
            </w:r>
          </w:p>
        </w:tc>
        <w:tc>
          <w:tcPr>
            <w:tcW w:w="1229" w:type="pct"/>
            <w:gridSpan w:val="3"/>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国との</w:t>
            </w:r>
            <w:r>
              <w:rPr>
                <w:rFonts w:hint="eastAsia"/>
                <w:b w:val="1"/>
                <w:sz w:val="14"/>
              </w:rPr>
              <w:t>比</w:t>
            </w:r>
          </w:p>
        </w:tc>
      </w:tr>
      <w:tr>
        <w:trPr>
          <w:trHeight w:val="20" w:hRule="atLeast"/>
        </w:trPr>
        <w:tc>
          <w:tcPr>
            <w:tcW w:w="324"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875"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393"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93"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93"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393"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409"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410"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410"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同規模</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82.7</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59.5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62.5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61.0</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1.39</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1.03</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702.7</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651.2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605.5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711.9</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1.08</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1.09</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その他の悪性新生物</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75.3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85.0</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86.3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88.6</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0.89</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720.3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868.1</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764.1</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963.1</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0.88</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その他の消化器系の疾患</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265.8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259.2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263.6</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264.2</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1.03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その他の心疾患</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195.2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236.5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215.6</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249.1</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0.91</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その他の眼及び付属器の疾患</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436.4</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522.7</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488.8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528.1</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0.94</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その他の神経系の疾患</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230.2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288.9</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262.7</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281.8</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0.80</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0.91</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0.98</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気管、気管支及び肺の悪性新生物</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18.0</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20.4</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19.3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21.2</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0.88</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0.95</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407.5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570.5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510.0</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605.8</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0.71</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0.89</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1.06</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11</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炎症性多発性関節障害</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102.5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100.5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95.4</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103.9</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0.95</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1.03</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12</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統合失調症、統合失調症型障害及び妄想性障害</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114.3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132.0</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128.2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136.9</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0.87</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0.97</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1.04</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13</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その他の内分泌、栄養及び代謝障害</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37.2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50.1</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44.6</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48.0</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0.74</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0.89</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0.96</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14</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喘息</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160.5</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167.9</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149.8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159.7</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0.96</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0.89</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0.95</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15</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気分（感情）障害（躁うつ病を含む）</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175.0</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223.8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208.9</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212.9</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0.78</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0.95</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16</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乳房の悪性新生物</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32.0</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44.6</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44.1</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42.7</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0.72</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0.99</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0.96</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17</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関節症</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183.4</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210.3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197.4</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211.0</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0.87</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0.94</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1.00</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18</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その他の皮膚及び皮下組織の疾患</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127.8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207.7</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189.8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185.3</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0.62</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0.91</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0.89</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19</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結腸の悪性新生物</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14.2</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17.1</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16.6</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17.6</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0.83</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0.97</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r>
      <w:tr>
        <w:trPr>
          <w:trHeight w:val="20" w:hRule="atLeast"/>
        </w:trPr>
        <w:tc>
          <w:tcPr>
            <w:tcW w:w="324" w:type="pct"/>
            <w:shd w:val="clear" w:color="auto" w:fill="auto"/>
            <w:tcMar>
              <w:top w:w="28" w:type="dxa"/>
              <w:left w:w="28" w:type="dxa"/>
              <w:bottom w:w="28" w:type="dxa"/>
              <w:right w:w="28" w:type="dxa"/>
            </w:tcMar>
            <w:vAlign w:val="center"/>
          </w:tcPr>
          <w:p>
            <w:pPr>
              <w:pStyle w:val="0"/>
              <w:jc w:val="center"/>
              <w:rPr>
                <w:rFonts w:hint="default"/>
              </w:rPr>
            </w:pPr>
            <w:r>
              <w:rPr>
                <w:rFonts w:hint="default"/>
              </w:rPr>
              <w:t>20</w:t>
            </w:r>
            <w:r>
              <w:rPr>
                <w:rFonts w:hint="eastAsia"/>
              </w:rPr>
              <w:t>位</w:t>
            </w:r>
          </w:p>
        </w:tc>
        <w:tc>
          <w:tcPr>
            <w:tcW w:w="1875" w:type="pct"/>
            <w:shd w:val="clear" w:color="auto" w:fill="auto"/>
            <w:tcMar>
              <w:top w:w="28" w:type="dxa"/>
              <w:left w:w="28" w:type="dxa"/>
              <w:bottom w:w="28" w:type="dxa"/>
              <w:right w:w="28" w:type="dxa"/>
            </w:tcMar>
            <w:vAlign w:val="center"/>
          </w:tcPr>
          <w:p>
            <w:pPr>
              <w:pStyle w:val="0"/>
              <w:rPr>
                <w:rFonts w:hint="default"/>
              </w:rPr>
            </w:pPr>
            <w:r>
              <w:rPr>
                <w:rFonts w:hint="default"/>
              </w:rPr>
              <w:t>白血病</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3.3</w:t>
            </w:r>
          </w:p>
        </w:tc>
        <w:tc>
          <w:tcPr>
            <w:tcW w:w="393"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409" w:type="pct"/>
            <w:shd w:val="clear" w:color="auto" w:fill="auto"/>
            <w:tcMar>
              <w:top w:w="28" w:type="dxa"/>
              <w:left w:w="28" w:type="dxa"/>
              <w:bottom w:w="28" w:type="dxa"/>
              <w:right w:w="28" w:type="dxa"/>
            </w:tcMar>
            <w:vAlign w:val="center"/>
          </w:tcPr>
          <w:p>
            <w:pPr>
              <w:pStyle w:val="0"/>
              <w:jc w:val="right"/>
              <w:rPr>
                <w:rFonts w:hint="default"/>
              </w:rPr>
            </w:pPr>
            <w:r>
              <w:rPr>
                <w:rFonts w:hint="default"/>
              </w:rPr>
              <w:t>0.84</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0.97</w:t>
            </w:r>
          </w:p>
        </w:tc>
        <w:tc>
          <w:tcPr>
            <w:tcW w:w="410" w:type="pct"/>
            <w:shd w:val="clear" w:color="auto" w:fill="auto"/>
            <w:tcMar>
              <w:top w:w="28" w:type="dxa"/>
              <w:left w:w="28" w:type="dxa"/>
              <w:bottom w:w="28" w:type="dxa"/>
              <w:right w:w="28" w:type="dxa"/>
            </w:tcMar>
            <w:vAlign w:val="center"/>
          </w:tcPr>
          <w:p>
            <w:pPr>
              <w:pStyle w:val="0"/>
              <w:jc w:val="right"/>
              <w:rPr>
                <w:rFonts w:hint="default"/>
              </w:rPr>
            </w:pPr>
            <w:r>
              <w:rPr>
                <w:rFonts w:hint="default"/>
              </w:rPr>
              <w:t>1.05</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eastAsia"/>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r>
        <w:rPr>
          <w:rFonts w:hint="default"/>
        </w:rPr>
        <w:br w:type="page"/>
      </w:r>
    </w:p>
    <w:p>
      <w:pPr>
        <w:pStyle w:val="4"/>
        <w:rPr>
          <w:rFonts w:hint="default"/>
        </w:rPr>
      </w:pPr>
      <w:r>
        <w:rPr>
          <w:rFonts w:hint="eastAsia"/>
        </w:rPr>
        <w:t>疾病分類（中分類）別外来に係る一人当たり医療費と標準化比</w:t>
      </w:r>
    </w:p>
    <w:p>
      <w:pPr>
        <w:pStyle w:val="39"/>
        <w:ind w:firstLine="200"/>
        <w:rPr>
          <w:rFonts w:hint="default"/>
        </w:rPr>
      </w:pPr>
      <w:r>
        <w:rPr>
          <w:rFonts w:hint="eastAsia"/>
        </w:rPr>
        <w:t>疾病別の一人当たり外来医療費について、国の一人当たり医療費を</w:t>
      </w:r>
      <w:r>
        <w:rPr>
          <w:rFonts w:hint="default"/>
        </w:rPr>
        <w:t>100</w:t>
      </w:r>
      <w:r>
        <w:rPr>
          <w:rFonts w:hint="default"/>
        </w:rPr>
        <w:t>とした標準化比を求め、人口構成による影響を取り除いた</w:t>
      </w:r>
      <w:r>
        <w:rPr>
          <w:rFonts w:hint="eastAsia"/>
        </w:rPr>
        <w:t>上</w:t>
      </w:r>
      <w:r>
        <w:rPr>
          <w:rFonts w:hint="default"/>
        </w:rPr>
        <w:t>で国と比較する。</w:t>
      </w:r>
    </w:p>
    <w:p>
      <w:pPr>
        <w:pStyle w:val="39"/>
        <w:ind w:firstLine="200"/>
        <w:rPr>
          <w:rFonts w:hint="default"/>
        </w:rPr>
      </w:pPr>
      <w:r>
        <w:rPr>
          <w:rFonts w:hint="eastAsia"/>
        </w:rPr>
        <w:t>男性においては（</w:t>
      </w:r>
      <w:r>
        <w:rPr>
          <w:rFonts w:hint="eastAsia"/>
        </w:rPr>
        <w:fldChar w:fldCharType="begin"/>
      </w:r>
      <w:r>
        <w:rPr>
          <w:rFonts w:hint="eastAsia"/>
        </w:rPr>
        <w:instrText xml:space="preserve">REF _Ref122534280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7</w:t>
      </w:r>
      <w:r>
        <w:rPr>
          <w:rFonts w:hint="eastAsia"/>
        </w:rPr>
        <w:fldChar w:fldCharType="end"/>
      </w:r>
      <w:r>
        <w:rPr>
          <w:rFonts w:hint="default"/>
        </w:rPr>
        <w:t>）、一人当たり外来医療費は「腎不全」「糖尿病」「その他の悪性新生物」の順に高く、標準化比は「その他の内分泌、栄養及び代謝障害」「腎不全」「気管、気管支及び肺の悪性新生物」の順に高くなっている。</w:t>
      </w:r>
      <w:r>
        <w:rPr>
          <w:rFonts w:hint="eastAsia"/>
        </w:rPr>
        <w:t>重篤な疾患である「腎不全」は</w:t>
      </w:r>
      <w:r>
        <w:rPr>
          <w:rFonts w:hint="eastAsia"/>
        </w:rPr>
        <w:t>1</w:t>
      </w:r>
      <w:r>
        <w:rPr>
          <w:rFonts w:hint="eastAsia"/>
        </w:rPr>
        <w:t>位（標準化比</w:t>
      </w:r>
      <w:r>
        <w:rPr>
          <w:rFonts w:hint="eastAsia"/>
        </w:rPr>
        <w:t>155.5</w:t>
      </w:r>
      <w:r>
        <w:rPr>
          <w:rFonts w:hint="eastAsia"/>
        </w:rPr>
        <w:t>）、基礎疾患である「糖尿病」は</w:t>
      </w:r>
      <w:r>
        <w:rPr>
          <w:rFonts w:hint="eastAsia"/>
        </w:rPr>
        <w:t>2</w:t>
      </w:r>
      <w:r>
        <w:rPr>
          <w:rFonts w:hint="eastAsia"/>
        </w:rPr>
        <w:t>位（標準化比</w:t>
      </w:r>
      <w:r>
        <w:rPr>
          <w:rFonts w:hint="eastAsia"/>
        </w:rPr>
        <w:t>107.8</w:t>
      </w:r>
      <w:r>
        <w:rPr>
          <w:rFonts w:hint="eastAsia"/>
        </w:rPr>
        <w:t>）、「高血圧症」は</w:t>
      </w:r>
      <w:r>
        <w:rPr>
          <w:rFonts w:hint="eastAsia"/>
        </w:rPr>
        <w:t>6</w:t>
      </w:r>
      <w:r>
        <w:rPr>
          <w:rFonts w:hint="eastAsia"/>
        </w:rPr>
        <w:t>位（標準化比</w:t>
      </w:r>
      <w:r>
        <w:rPr>
          <w:rFonts w:hint="eastAsia"/>
        </w:rPr>
        <w:t>86.5</w:t>
      </w:r>
      <w:r>
        <w:rPr>
          <w:rFonts w:hint="eastAsia"/>
        </w:rPr>
        <w:t>）となっている</w:t>
      </w:r>
      <w:r>
        <w:rPr>
          <w:rFonts w:hint="default"/>
        </w:rPr>
        <w:t>。</w:t>
      </w:r>
    </w:p>
    <w:p>
      <w:pPr>
        <w:pStyle w:val="39"/>
        <w:ind w:firstLine="200"/>
        <w:rPr>
          <w:rFonts w:hint="default"/>
        </w:rPr>
      </w:pPr>
      <w:r>
        <w:rPr>
          <w:rFonts w:hint="eastAsia"/>
        </w:rPr>
        <w:t>女性においては（</w:t>
      </w:r>
      <w:r>
        <w:rPr>
          <w:rFonts w:hint="eastAsia"/>
        </w:rPr>
        <w:fldChar w:fldCharType="begin"/>
      </w:r>
      <w:r>
        <w:rPr>
          <w:rFonts w:hint="eastAsia"/>
        </w:rPr>
        <w:instrText xml:space="preserve">REF _Ref124209166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8</w:t>
      </w:r>
      <w:r>
        <w:rPr>
          <w:rFonts w:hint="eastAsia"/>
        </w:rPr>
        <w:fldChar w:fldCharType="end"/>
      </w:r>
      <w:r>
        <w:rPr>
          <w:rFonts w:hint="default"/>
        </w:rPr>
        <w:t>）、一人当たり外来医療費は「糖尿病」「腎不全」「高血圧症」の順に高く、標準化比は「腎不全」「糖尿病」「その他の消化器系の疾患」の順に高くなっている。</w:t>
      </w:r>
      <w:r>
        <w:rPr>
          <w:rFonts w:hint="eastAsia"/>
        </w:rPr>
        <w:t>重篤な疾患である「腎不全」は</w:t>
      </w:r>
      <w:r>
        <w:rPr>
          <w:rFonts w:hint="eastAsia"/>
        </w:rPr>
        <w:t>2</w:t>
      </w:r>
      <w:r>
        <w:rPr>
          <w:rFonts w:hint="eastAsia"/>
        </w:rPr>
        <w:t>位（標準化比</w:t>
      </w:r>
      <w:r>
        <w:rPr>
          <w:rFonts w:hint="eastAsia"/>
        </w:rPr>
        <w:t>150.8</w:t>
      </w:r>
      <w:r>
        <w:rPr>
          <w:rFonts w:hint="eastAsia"/>
        </w:rPr>
        <w:t>）、基礎疾患である「糖尿病」は</w:t>
      </w:r>
      <w:r>
        <w:rPr>
          <w:rFonts w:hint="eastAsia"/>
        </w:rPr>
        <w:t>1</w:t>
      </w:r>
      <w:r>
        <w:rPr>
          <w:rFonts w:hint="eastAsia"/>
        </w:rPr>
        <w:t>位（標準化比</w:t>
      </w:r>
      <w:r>
        <w:rPr>
          <w:rFonts w:hint="eastAsia"/>
        </w:rPr>
        <w:t>132.1</w:t>
      </w:r>
      <w:r>
        <w:rPr>
          <w:rFonts w:hint="eastAsia"/>
        </w:rPr>
        <w:t>）、「高血圧症」は</w:t>
      </w:r>
      <w:r>
        <w:rPr>
          <w:rFonts w:hint="eastAsia"/>
        </w:rPr>
        <w:t>3</w:t>
      </w:r>
      <w:r>
        <w:rPr>
          <w:rFonts w:hint="eastAsia"/>
        </w:rPr>
        <w:t>位（標準化比</w:t>
      </w:r>
      <w:r>
        <w:rPr>
          <w:rFonts w:hint="eastAsia"/>
        </w:rPr>
        <w:t>95.4</w:t>
      </w:r>
      <w:r>
        <w:rPr>
          <w:rFonts w:hint="eastAsia"/>
        </w:rPr>
        <w:t>）、「脂質異常症」は</w:t>
      </w:r>
      <w:r>
        <w:rPr>
          <w:rFonts w:hint="eastAsia"/>
        </w:rPr>
        <w:t>8</w:t>
      </w:r>
      <w:r>
        <w:rPr>
          <w:rFonts w:hint="eastAsia"/>
        </w:rPr>
        <w:t>位（標準化比</w:t>
      </w:r>
      <w:r>
        <w:rPr>
          <w:rFonts w:hint="eastAsia"/>
        </w:rPr>
        <w:t>78.9</w:t>
      </w:r>
      <w:r>
        <w:rPr>
          <w:rFonts w:hint="eastAsia"/>
        </w:rPr>
        <w:t>）となっている</w:t>
      </w:r>
      <w:r>
        <w:rPr>
          <w:rFonts w:hint="default"/>
        </w:rPr>
        <w:t>。</w:t>
      </w:r>
    </w:p>
    <w:p>
      <w:pPr>
        <w:pStyle w:val="0"/>
        <w:rPr>
          <w:rFonts w:hint="default"/>
        </w:rPr>
      </w:pPr>
    </w:p>
    <w:p>
      <w:pPr>
        <w:pStyle w:val="38"/>
        <w:rPr>
          <w:rFonts w:hint="default"/>
        </w:rPr>
      </w:pPr>
      <w:bookmarkStart w:id="129" w:name="_Ref122534280"/>
      <w:bookmarkStart w:id="130" w:name="_Toc12493683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7</w:t>
      </w:r>
      <w:r>
        <w:rPr>
          <w:rFonts w:hint="eastAsia"/>
        </w:rPr>
        <w:fldChar w:fldCharType="end"/>
      </w:r>
      <w:bookmarkEnd w:id="129"/>
      <w:r>
        <w:rPr>
          <w:rFonts w:hint="default"/>
        </w:rPr>
        <w:t>：疾病</w:t>
      </w:r>
      <w:r>
        <w:rPr>
          <w:rFonts w:hint="eastAsia"/>
        </w:rPr>
        <w:t>分類（</w:t>
      </w:r>
      <w:r>
        <w:rPr>
          <w:rFonts w:hint="default"/>
        </w:rPr>
        <w:t>中分類</w:t>
      </w:r>
      <w:r>
        <w:rPr>
          <w:rFonts w:hint="eastAsia"/>
        </w:rPr>
        <w:t>）</w:t>
      </w:r>
      <w:r>
        <w:rPr>
          <w:rFonts w:hint="default"/>
        </w:rPr>
        <w:t>別</w:t>
      </w:r>
      <w:r>
        <w:rPr>
          <w:rFonts w:hint="default"/>
        </w:rPr>
        <w:t>_</w:t>
      </w:r>
      <w:r>
        <w:rPr>
          <w:rFonts w:hint="default"/>
        </w:rPr>
        <w:t>外来医療費・標準化比</w:t>
      </w:r>
      <w:r>
        <w:rPr>
          <w:rFonts w:hint="default"/>
        </w:rPr>
        <w:t>_</w:t>
      </w:r>
      <w:r>
        <w:rPr>
          <w:rFonts w:hint="default"/>
        </w:rPr>
        <w:t>一人当たり医療費上位</w:t>
      </w:r>
      <w:r>
        <w:rPr>
          <w:rFonts w:hint="default"/>
        </w:rPr>
        <w:t>10</w:t>
      </w:r>
      <w:r>
        <w:rPr>
          <w:rFonts w:hint="default"/>
        </w:rPr>
        <w:t>疾病</w:t>
      </w:r>
      <w:r>
        <w:rPr>
          <w:rFonts w:hint="default"/>
        </w:rPr>
        <w:t>_</w:t>
      </w:r>
      <w:r>
        <w:rPr>
          <w:rFonts w:hint="default"/>
        </w:rPr>
        <w:t>男性</w:t>
      </w:r>
      <w:bookmarkEnd w:id="130"/>
    </w:p>
    <w:p>
      <w:pPr>
        <w:pStyle w:val="0"/>
        <w:jc w:val="center"/>
        <w:rPr>
          <w:rFonts w:hint="default"/>
        </w:rPr>
      </w:pPr>
      <w:r>
        <w:rPr>
          <w:rFonts w:hint="default"/>
        </w:rPr>
        <w:drawing>
          <wp:inline distT="0" distB="0" distL="0" distR="0">
            <wp:extent cx="5939790" cy="2519680"/>
            <wp:effectExtent l="0" t="0" r="0" b="0"/>
            <wp:docPr id="1094" name="オブジェクト 0"/>
            <a:graphic xmlns:a="http://schemas.openxmlformats.org/drawingml/2006/main">
              <a:graphicData uri="http://schemas.openxmlformats.org/drawingml/2006/chart">
                <c:chart xmlns:c="http://schemas.openxmlformats.org/drawingml/2006/chart" r:id="rId49"/>
              </a:graphicData>
            </a:graphic>
          </wp:inline>
        </w:drawing>
      </w:r>
    </w:p>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eastAsia"/>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0"/>
        <w:rPr>
          <w:rFonts w:hint="default"/>
        </w:rPr>
      </w:pPr>
    </w:p>
    <w:p>
      <w:pPr>
        <w:pStyle w:val="38"/>
        <w:rPr>
          <w:rFonts w:hint="default"/>
        </w:rPr>
      </w:pPr>
      <w:bookmarkStart w:id="131" w:name="_Ref124209166"/>
      <w:bookmarkStart w:id="132" w:name="_Toc12493683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8</w:t>
      </w:r>
      <w:r>
        <w:rPr>
          <w:rFonts w:hint="eastAsia"/>
        </w:rPr>
        <w:fldChar w:fldCharType="end"/>
      </w:r>
      <w:bookmarkEnd w:id="131"/>
      <w:r>
        <w:rPr>
          <w:rFonts w:hint="default"/>
        </w:rPr>
        <w:t>：疾病分類</w:t>
      </w:r>
      <w:r>
        <w:rPr>
          <w:rFonts w:hint="eastAsia"/>
        </w:rPr>
        <w:t>（中分類）</w:t>
      </w:r>
      <w:r>
        <w:rPr>
          <w:rFonts w:hint="default"/>
        </w:rPr>
        <w:t>別</w:t>
      </w:r>
      <w:r>
        <w:rPr>
          <w:rFonts w:hint="default"/>
        </w:rPr>
        <w:t>_</w:t>
      </w:r>
      <w:r>
        <w:rPr>
          <w:rFonts w:hint="default"/>
        </w:rPr>
        <w:t>外来医療費・標準化比</w:t>
      </w:r>
      <w:r>
        <w:rPr>
          <w:rFonts w:hint="default"/>
        </w:rPr>
        <w:t>_</w:t>
      </w:r>
      <w:r>
        <w:rPr>
          <w:rFonts w:hint="default"/>
        </w:rPr>
        <w:t>一人当たり医療費上位</w:t>
      </w:r>
      <w:r>
        <w:rPr>
          <w:rFonts w:hint="default"/>
        </w:rPr>
        <w:t>10</w:t>
      </w:r>
      <w:r>
        <w:rPr>
          <w:rFonts w:hint="default"/>
        </w:rPr>
        <w:t>疾病</w:t>
      </w:r>
      <w:r>
        <w:rPr>
          <w:rFonts w:hint="default"/>
        </w:rPr>
        <w:t>_</w:t>
      </w:r>
      <w:r>
        <w:rPr>
          <w:rFonts w:hint="default"/>
        </w:rPr>
        <w:t>女性</w:t>
      </w:r>
      <w:bookmarkEnd w:id="132"/>
    </w:p>
    <w:p>
      <w:pPr>
        <w:pStyle w:val="0"/>
        <w:jc w:val="center"/>
        <w:rPr>
          <w:rFonts w:hint="default"/>
        </w:rPr>
      </w:pPr>
      <w:r>
        <w:rPr>
          <w:rFonts w:hint="default"/>
        </w:rPr>
        <w:drawing>
          <wp:inline distT="0" distB="0" distL="0" distR="0">
            <wp:extent cx="5939790" cy="2519680"/>
            <wp:effectExtent l="0" t="0" r="0" b="0"/>
            <wp:docPr id="1095" name="オブジェクト 0"/>
            <a:graphic xmlns:a="http://schemas.openxmlformats.org/drawingml/2006/main">
              <a:graphicData uri="http://schemas.openxmlformats.org/drawingml/2006/chart">
                <c:chart xmlns:c="http://schemas.openxmlformats.org/drawingml/2006/chart" r:id="rId50"/>
              </a:graphicData>
            </a:graphic>
          </wp:inline>
        </w:drawing>
      </w:r>
    </w:p>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eastAsia"/>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bookmarkStart w:id="133" w:name="_sb4vgx40atm9"/>
      <w:bookmarkEnd w:id="133"/>
    </w:p>
    <w:p>
      <w:pPr>
        <w:pStyle w:val="44"/>
        <w:ind w:right="640"/>
        <w:jc w:val="left"/>
        <w:rPr>
          <w:rFonts w:hint="default"/>
        </w:rPr>
      </w:pPr>
      <w:r>
        <w:rPr>
          <w:rFonts w:hint="default"/>
        </w:rPr>
        <w:br w:type="page"/>
      </w:r>
    </w:p>
    <w:p>
      <w:pPr>
        <w:pStyle w:val="3"/>
        <w:rPr>
          <w:rFonts w:hint="default"/>
        </w:rPr>
      </w:pPr>
      <w:bookmarkStart w:id="134" w:name="_Toc162548698"/>
      <w:r>
        <w:rPr>
          <w:rFonts w:hint="default"/>
        </w:rPr>
        <w:t>生活習慣病（</w:t>
      </w:r>
      <w:r>
        <w:rPr>
          <w:rFonts w:hint="eastAsia"/>
        </w:rPr>
        <w:t>重篤な疾患・基礎疾患</w:t>
      </w:r>
      <w:r>
        <w:rPr>
          <w:rFonts w:hint="default"/>
        </w:rPr>
        <w:t>）における受診率</w:t>
      </w:r>
      <w:bookmarkEnd w:id="134"/>
    </w:p>
    <w:p>
      <w:pPr>
        <w:pStyle w:val="4"/>
        <w:rPr>
          <w:rFonts w:hint="default"/>
        </w:rPr>
      </w:pPr>
      <w:r>
        <w:rPr>
          <w:rFonts w:hint="eastAsia"/>
        </w:rPr>
        <w:t>生活習慣病における重篤な疾患と基礎疾患の受診率</w:t>
      </w:r>
    </w:p>
    <w:p>
      <w:pPr>
        <w:pStyle w:val="39"/>
        <w:ind w:firstLine="200"/>
        <w:rPr>
          <w:rFonts w:hint="default"/>
        </w:rPr>
      </w:pPr>
      <w:r>
        <w:rPr>
          <w:rFonts w:hint="eastAsia"/>
        </w:rPr>
        <w:t>ここでは、保健事業により予防可能な疾患における健康課題を抽出するという観点で生活習慣病に焦点をあて、重篤な疾患、基礎疾患及び人工透析が必要になる前段階の「慢性腎臓病（透析なし）」に絞り、受診率や有病状況の推移について概観する。</w:t>
      </w:r>
    </w:p>
    <w:p>
      <w:pPr>
        <w:pStyle w:val="39"/>
        <w:ind w:firstLine="200"/>
        <w:rPr>
          <w:rFonts w:hint="default"/>
        </w:rPr>
      </w:pPr>
      <w:r>
        <w:rPr>
          <w:rFonts w:hint="eastAsia"/>
        </w:rPr>
        <w:t>国との比が</w:t>
      </w:r>
      <w:r>
        <w:rPr>
          <w:rFonts w:hint="eastAsia"/>
        </w:rPr>
        <w:t>1</w:t>
      </w:r>
      <w:r>
        <w:rPr>
          <w:rFonts w:hint="eastAsia"/>
        </w:rPr>
        <w:t>を超えている場合、その疾患における受診率は国より高い、すなわちその疾患において医療機関にかかっているものが国平均よりも多いことを意味している。国との比が</w:t>
      </w:r>
      <w:r>
        <w:rPr>
          <w:rFonts w:hint="eastAsia"/>
        </w:rPr>
        <w:t>1</w:t>
      </w:r>
      <w:r>
        <w:rPr>
          <w:rFonts w:hint="eastAsia"/>
        </w:rPr>
        <w:t>を下回る場合には、該当するものが国平均よりも少ないことを意味する。</w:t>
      </w:r>
    </w:p>
    <w:p>
      <w:pPr>
        <w:pStyle w:val="39"/>
        <w:ind w:firstLine="200"/>
        <w:rPr>
          <w:rFonts w:hint="default"/>
        </w:rPr>
      </w:pPr>
      <w:r>
        <w:rPr>
          <w:rFonts w:hint="eastAsia"/>
        </w:rPr>
        <w:t>重篤な疾患の受診率をみると（</w:t>
      </w:r>
      <w:r>
        <w:rPr>
          <w:rFonts w:hint="eastAsia"/>
        </w:rPr>
        <w:fldChar w:fldCharType="begin"/>
      </w:r>
      <w:r>
        <w:rPr>
          <w:rFonts w:hint="eastAsia"/>
        </w:rPr>
        <w:instrText xml:space="preserve">REF _Ref122534353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4</w:t>
      </w:r>
      <w:r>
        <w:rPr>
          <w:rFonts w:hint="eastAsia"/>
        </w:rPr>
        <w:t>-</w:t>
      </w:r>
      <w:r>
        <w:rPr>
          <w:rFonts w:hint="default"/>
        </w:rPr>
        <w:t>1</w:t>
      </w:r>
      <w:r>
        <w:rPr>
          <w:rFonts w:hint="eastAsia"/>
        </w:rPr>
        <w:fldChar w:fldCharType="end"/>
      </w:r>
      <w:r>
        <w:rPr>
          <w:rFonts w:hint="default"/>
        </w:rPr>
        <w:t>）、「慢性腎臓病（透析あり）」が国より高い。</w:t>
      </w:r>
    </w:p>
    <w:p>
      <w:pPr>
        <w:pStyle w:val="39"/>
        <w:ind w:firstLine="200"/>
        <w:rPr>
          <w:rFonts w:hint="default"/>
        </w:rPr>
      </w:pPr>
      <w:r>
        <w:rPr>
          <w:rFonts w:hint="default"/>
        </w:rPr>
        <w:t>基礎</w:t>
      </w:r>
      <w:r>
        <w:rPr>
          <w:rFonts w:hint="eastAsia"/>
        </w:rPr>
        <w:t>疾患の受診率は、</w:t>
      </w:r>
      <w:r>
        <w:rPr>
          <w:rFonts w:hint="default"/>
        </w:rPr>
        <w:t>「高血圧症」「脂質異常症」が国より低い。</w:t>
      </w:r>
    </w:p>
    <w:p>
      <w:pPr>
        <w:pStyle w:val="0"/>
        <w:rPr>
          <w:rFonts w:hint="default"/>
          <w:sz w:val="18"/>
        </w:rPr>
      </w:pPr>
    </w:p>
    <w:p>
      <w:pPr>
        <w:pStyle w:val="38"/>
        <w:rPr>
          <w:rFonts w:hint="default"/>
        </w:rPr>
      </w:pPr>
      <w:bookmarkStart w:id="135" w:name="_Ref122534353"/>
      <w:bookmarkStart w:id="136" w:name="_Ref138936862"/>
      <w:bookmarkStart w:id="137" w:name="_Toc12493683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35"/>
      <w:r>
        <w:rPr>
          <w:rFonts w:hint="default"/>
        </w:rPr>
        <w:t>：</w:t>
      </w:r>
      <w:r>
        <w:rPr>
          <w:rFonts w:hint="eastAsia"/>
        </w:rPr>
        <w:t>生活習慣病における</w:t>
      </w:r>
      <w:r>
        <w:rPr>
          <w:rFonts w:hint="default"/>
        </w:rPr>
        <w:t>重篤な</w:t>
      </w:r>
      <w:r>
        <w:rPr>
          <w:rFonts w:hint="eastAsia"/>
        </w:rPr>
        <w:t>疾患</w:t>
      </w:r>
      <w:r>
        <w:rPr>
          <w:rFonts w:hint="default"/>
        </w:rPr>
        <w:t>と基礎疾患の受診率</w:t>
      </w:r>
      <w:bookmarkEnd w:id="136"/>
      <w:bookmarkEnd w:id="137"/>
    </w:p>
    <w:p>
      <w:pPr>
        <w:pStyle w:val="0"/>
        <w:jc w:val="center"/>
        <w:rPr>
          <w:rFonts w:hint="default"/>
        </w:rPr>
      </w:pPr>
      <w:r>
        <w:rPr>
          <w:rFonts w:hint="eastAsia"/>
          <w:b w:val="1"/>
        </w:rPr>
        <w:drawing>
          <wp:inline distT="0" distB="0" distL="0" distR="0">
            <wp:extent cx="2879725" cy="2159635"/>
            <wp:effectExtent l="0" t="0" r="0" b="0"/>
            <wp:docPr id="1096" name="オブジェクト 0"/>
            <a:graphic xmlns:a="http://schemas.openxmlformats.org/drawingml/2006/main">
              <a:graphicData uri="http://schemas.openxmlformats.org/drawingml/2006/chart">
                <c:chart xmlns:c="http://schemas.openxmlformats.org/drawingml/2006/chart" r:id="rId51"/>
              </a:graphicData>
            </a:graphic>
          </wp:inline>
        </w:drawing>
      </w:r>
      <w:r>
        <w:rPr>
          <w:rFonts w:hint="eastAsia"/>
          <w:b w:val="1"/>
        </w:rPr>
        <w:drawing>
          <wp:inline distT="0" distB="0" distL="0" distR="0">
            <wp:extent cx="2879725" cy="2159635"/>
            <wp:effectExtent l="0" t="0" r="0" b="0"/>
            <wp:docPr id="1097" name="オブジェクト 0"/>
            <a:graphic xmlns:a="http://schemas.openxmlformats.org/drawingml/2006/main">
              <a:graphicData uri="http://schemas.openxmlformats.org/drawingml/2006/chart">
                <c:chart xmlns:c="http://schemas.openxmlformats.org/drawingml/2006/chart" r:id="rId52"/>
              </a:graphicData>
            </a:graphic>
          </wp:inline>
        </w:drawing>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515"/>
        <w:gridCol w:w="1009"/>
        <w:gridCol w:w="996"/>
        <w:gridCol w:w="996"/>
        <w:gridCol w:w="983"/>
        <w:gridCol w:w="983"/>
        <w:gridCol w:w="954"/>
        <w:gridCol w:w="939"/>
      </w:tblGrid>
      <w:tr>
        <w:trPr>
          <w:trHeight w:val="20" w:hRule="atLeast"/>
        </w:trPr>
        <w:tc>
          <w:tcPr>
            <w:tcW w:w="1342"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重篤な疾患</w:t>
            </w:r>
          </w:p>
        </w:tc>
        <w:tc>
          <w:tcPr>
            <w:tcW w:w="3658" w:type="pct"/>
            <w:gridSpan w:val="7"/>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受診率</w:t>
            </w:r>
          </w:p>
        </w:tc>
      </w:tr>
      <w:tr>
        <w:trPr>
          <w:trHeight w:val="20" w:hRule="atLeast"/>
        </w:trPr>
        <w:tc>
          <w:tcPr>
            <w:tcW w:w="1342"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38"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531"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531"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524"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同規模</w:t>
            </w:r>
          </w:p>
        </w:tc>
        <w:tc>
          <w:tcPr>
            <w:tcW w:w="1534" w:type="pct"/>
            <w:gridSpan w:val="3"/>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国との比</w:t>
            </w:r>
          </w:p>
        </w:tc>
      </w:tr>
      <w:tr>
        <w:trPr>
          <w:trHeight w:val="20" w:hRule="atLeast"/>
        </w:trPr>
        <w:tc>
          <w:tcPr>
            <w:tcW w:w="1342"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38"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531"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531"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524"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524"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509"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501"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同規模</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虚血性心疾患</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4.4</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4.7</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5.4</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4.7</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0.93</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1.15</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1.00</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脳血管疾患</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8.5</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10.2</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9.3</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10.5</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0.83</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0.91</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1.03</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慢性腎臓病（透析あり）</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42.6</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30.3</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32.2</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29.2</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1.41</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1.06</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0.96</w:t>
            </w:r>
          </w:p>
        </w:tc>
      </w:tr>
    </w:tbl>
    <w:p>
      <w:pPr>
        <w:pStyle w:val="0"/>
        <w:rPr>
          <w:rFonts w:hint="default"/>
        </w:rPr>
      </w:pP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515"/>
        <w:gridCol w:w="1009"/>
        <w:gridCol w:w="996"/>
        <w:gridCol w:w="996"/>
        <w:gridCol w:w="983"/>
        <w:gridCol w:w="983"/>
        <w:gridCol w:w="954"/>
        <w:gridCol w:w="939"/>
      </w:tblGrid>
      <w:tr>
        <w:trPr>
          <w:trHeight w:val="20" w:hRule="atLeast"/>
        </w:trPr>
        <w:tc>
          <w:tcPr>
            <w:tcW w:w="1342" w:type="pct"/>
            <w:vMerge w:val="restart"/>
            <w:tcBorders>
              <w:top w:val="none" w:color="auto" w:sz="0" w:space="0"/>
              <w:left w:val="none" w:color="auto" w:sz="0" w:space="0"/>
              <w:bottom w:val="none" w:color="auto" w:sz="0" w:space="0"/>
              <w:right w:val="nil"/>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基礎疾患及び</w:t>
            </w:r>
          </w:p>
          <w:p>
            <w:pPr>
              <w:pStyle w:val="0"/>
              <w:jc w:val="center"/>
              <w:rPr>
                <w:rFonts w:hint="default"/>
                <w:b w:val="1"/>
              </w:rPr>
            </w:pPr>
            <w:r>
              <w:rPr>
                <w:rFonts w:hint="eastAsia"/>
                <w:b w:val="1"/>
              </w:rPr>
              <w:t>慢性腎臓病（透析なし）</w:t>
            </w:r>
          </w:p>
        </w:tc>
        <w:tc>
          <w:tcPr>
            <w:tcW w:w="3658" w:type="pct"/>
            <w:gridSpan w:val="7"/>
            <w:tcBorders>
              <w:top w:val="none" w:color="auto" w:sz="0" w:space="0"/>
              <w:left w:val="nil"/>
              <w:bottom w:val="none" w:color="auto" w:sz="0"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受診率</w:t>
            </w:r>
          </w:p>
        </w:tc>
      </w:tr>
      <w:tr>
        <w:trPr>
          <w:trHeight w:val="20" w:hRule="atLeast"/>
        </w:trPr>
        <w:tc>
          <w:tcPr>
            <w:tcW w:w="1342" w:type="pct"/>
            <w:vMerge w:val="continue"/>
            <w:tcMar>
              <w:top w:w="28" w:type="dxa"/>
              <w:left w:w="28" w:type="dxa"/>
              <w:bottom w:w="28" w:type="dxa"/>
              <w:right w:w="28" w:type="dxa"/>
            </w:tcMar>
            <w:vAlign w:val="center"/>
          </w:tcPr>
          <w:p>
            <w:pPr>
              <w:pStyle w:val="0"/>
              <w:jc w:val="center"/>
              <w:rPr>
                <w:rFonts w:hint="default"/>
                <w:b w:val="1"/>
              </w:rPr>
            </w:pPr>
          </w:p>
        </w:tc>
        <w:tc>
          <w:tcPr>
            <w:tcW w:w="538"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531"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531"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524"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同規模</w:t>
            </w:r>
          </w:p>
        </w:tc>
        <w:tc>
          <w:tcPr>
            <w:tcW w:w="1534" w:type="pct"/>
            <w:gridSpan w:val="3"/>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国との比</w:t>
            </w:r>
          </w:p>
        </w:tc>
      </w:tr>
      <w:tr>
        <w:trPr>
          <w:trHeight w:val="20" w:hRule="atLeast"/>
        </w:trPr>
        <w:tc>
          <w:tcPr>
            <w:tcW w:w="1342" w:type="pct"/>
            <w:vMerge w:val="continue"/>
            <w:tcMar>
              <w:top w:w="28" w:type="dxa"/>
              <w:left w:w="28" w:type="dxa"/>
              <w:bottom w:w="28" w:type="dxa"/>
              <w:right w:w="28" w:type="dxa"/>
            </w:tcMar>
            <w:vAlign w:val="center"/>
          </w:tcPr>
          <w:p>
            <w:pPr>
              <w:pStyle w:val="0"/>
              <w:jc w:val="center"/>
              <w:rPr>
                <w:rFonts w:hint="default"/>
                <w:b w:val="1"/>
              </w:rPr>
            </w:pPr>
          </w:p>
        </w:tc>
        <w:tc>
          <w:tcPr>
            <w:tcW w:w="538" w:type="pct"/>
            <w:vMerge w:val="continue"/>
            <w:tcMar>
              <w:top w:w="28" w:type="dxa"/>
              <w:left w:w="28" w:type="dxa"/>
              <w:bottom w:w="28" w:type="dxa"/>
              <w:right w:w="28" w:type="dxa"/>
            </w:tcMar>
            <w:vAlign w:val="center"/>
          </w:tcPr>
          <w:p>
            <w:pPr>
              <w:pStyle w:val="0"/>
              <w:jc w:val="center"/>
              <w:rPr>
                <w:rFonts w:hint="default"/>
                <w:b w:val="1"/>
                <w:sz w:val="14"/>
              </w:rPr>
            </w:pPr>
          </w:p>
        </w:tc>
        <w:tc>
          <w:tcPr>
            <w:tcW w:w="531" w:type="pct"/>
            <w:vMerge w:val="continue"/>
            <w:tcMar>
              <w:top w:w="28" w:type="dxa"/>
              <w:left w:w="28" w:type="dxa"/>
              <w:bottom w:w="28" w:type="dxa"/>
              <w:right w:w="28" w:type="dxa"/>
            </w:tcMar>
            <w:vAlign w:val="center"/>
          </w:tcPr>
          <w:p>
            <w:pPr>
              <w:pStyle w:val="0"/>
              <w:jc w:val="center"/>
              <w:rPr>
                <w:rFonts w:hint="default"/>
                <w:b w:val="1"/>
                <w:sz w:val="14"/>
              </w:rPr>
            </w:pPr>
          </w:p>
        </w:tc>
        <w:tc>
          <w:tcPr>
            <w:tcW w:w="531" w:type="pct"/>
            <w:vMerge w:val="continue"/>
            <w:tcMar>
              <w:top w:w="28" w:type="dxa"/>
              <w:left w:w="28" w:type="dxa"/>
              <w:bottom w:w="28" w:type="dxa"/>
              <w:right w:w="28" w:type="dxa"/>
            </w:tcMar>
            <w:vAlign w:val="center"/>
          </w:tcPr>
          <w:p>
            <w:pPr>
              <w:pStyle w:val="0"/>
              <w:jc w:val="center"/>
              <w:rPr>
                <w:rFonts w:hint="default"/>
                <w:b w:val="1"/>
                <w:sz w:val="14"/>
              </w:rPr>
            </w:pPr>
          </w:p>
        </w:tc>
        <w:tc>
          <w:tcPr>
            <w:tcW w:w="524" w:type="pct"/>
            <w:vMerge w:val="continue"/>
            <w:tcMar>
              <w:top w:w="28" w:type="dxa"/>
              <w:left w:w="28" w:type="dxa"/>
              <w:bottom w:w="28" w:type="dxa"/>
              <w:right w:w="28" w:type="dxa"/>
            </w:tcMar>
            <w:vAlign w:val="center"/>
          </w:tcPr>
          <w:p>
            <w:pPr>
              <w:pStyle w:val="0"/>
              <w:jc w:val="center"/>
              <w:rPr>
                <w:rFonts w:hint="default"/>
                <w:b w:val="1"/>
                <w:sz w:val="14"/>
              </w:rPr>
            </w:pPr>
          </w:p>
        </w:tc>
        <w:tc>
          <w:tcPr>
            <w:tcW w:w="524"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八街市</w:t>
            </w:r>
          </w:p>
        </w:tc>
        <w:tc>
          <w:tcPr>
            <w:tcW w:w="509"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default"/>
                <w:b w:val="1"/>
                <w:sz w:val="14"/>
              </w:rPr>
              <w:t>県</w:t>
            </w:r>
          </w:p>
        </w:tc>
        <w:tc>
          <w:tcPr>
            <w:tcW w:w="501"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同規模</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702.7</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651.2</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605.5</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711.9</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1.08</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0.93</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1.09</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720.3</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868.1</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764.1</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963.1</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0.83</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0.88</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1.11</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407.5</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570.5</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510.0</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605.8</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0.71</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0.89</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1.06</w:t>
            </w:r>
          </w:p>
        </w:tc>
      </w:tr>
      <w:tr>
        <w:trPr>
          <w:trHeight w:val="20" w:hRule="atLeast"/>
        </w:trPr>
        <w:tc>
          <w:tcPr>
            <w:tcW w:w="1342" w:type="pct"/>
            <w:shd w:val="clear" w:color="auto" w:fill="auto"/>
            <w:tcMar>
              <w:top w:w="28" w:type="dxa"/>
              <w:left w:w="28" w:type="dxa"/>
              <w:bottom w:w="28" w:type="dxa"/>
              <w:right w:w="28" w:type="dxa"/>
            </w:tcMar>
            <w:vAlign w:val="center"/>
          </w:tcPr>
          <w:p>
            <w:pPr>
              <w:pStyle w:val="0"/>
              <w:rPr>
                <w:rFonts w:hint="default"/>
              </w:rPr>
            </w:pPr>
            <w:r>
              <w:rPr>
                <w:rFonts w:hint="default"/>
              </w:rPr>
              <w:t>慢性腎臓病（透析なし）</w:t>
            </w:r>
          </w:p>
        </w:tc>
        <w:tc>
          <w:tcPr>
            <w:tcW w:w="538" w:type="pct"/>
            <w:shd w:val="clear" w:color="auto" w:fill="auto"/>
            <w:tcMar>
              <w:top w:w="28" w:type="dxa"/>
              <w:left w:w="28" w:type="dxa"/>
              <w:bottom w:w="28" w:type="dxa"/>
              <w:right w:w="28" w:type="dxa"/>
            </w:tcMar>
            <w:vAlign w:val="center"/>
          </w:tcPr>
          <w:p>
            <w:pPr>
              <w:pStyle w:val="0"/>
              <w:jc w:val="right"/>
              <w:rPr>
                <w:rFonts w:hint="default"/>
              </w:rPr>
            </w:pPr>
            <w:r>
              <w:rPr>
                <w:rFonts w:hint="eastAsia"/>
              </w:rPr>
              <w:t>16.1</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14.4</w:t>
            </w:r>
          </w:p>
        </w:tc>
        <w:tc>
          <w:tcPr>
            <w:tcW w:w="531" w:type="pct"/>
            <w:shd w:val="clear" w:color="auto" w:fill="auto"/>
            <w:tcMar>
              <w:top w:w="28" w:type="dxa"/>
              <w:left w:w="28" w:type="dxa"/>
              <w:bottom w:w="28" w:type="dxa"/>
              <w:right w:w="28" w:type="dxa"/>
            </w:tcMar>
            <w:vAlign w:val="center"/>
          </w:tcPr>
          <w:p>
            <w:pPr>
              <w:pStyle w:val="0"/>
              <w:jc w:val="right"/>
              <w:rPr>
                <w:rFonts w:hint="default"/>
              </w:rPr>
            </w:pPr>
            <w:r>
              <w:rPr>
                <w:rFonts w:hint="eastAsia"/>
              </w:rPr>
              <w:t>12.9</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15.0</w:t>
            </w:r>
          </w:p>
        </w:tc>
        <w:tc>
          <w:tcPr>
            <w:tcW w:w="524" w:type="pct"/>
            <w:shd w:val="clear" w:color="auto" w:fill="auto"/>
            <w:tcMar>
              <w:top w:w="28" w:type="dxa"/>
              <w:left w:w="28" w:type="dxa"/>
              <w:bottom w:w="28" w:type="dxa"/>
              <w:right w:w="28" w:type="dxa"/>
            </w:tcMar>
            <w:vAlign w:val="center"/>
          </w:tcPr>
          <w:p>
            <w:pPr>
              <w:pStyle w:val="0"/>
              <w:jc w:val="right"/>
              <w:rPr>
                <w:rFonts w:hint="default"/>
              </w:rPr>
            </w:pPr>
            <w:r>
              <w:rPr>
                <w:rFonts w:hint="eastAsia"/>
              </w:rPr>
              <w:t>1.11</w:t>
            </w:r>
          </w:p>
        </w:tc>
        <w:tc>
          <w:tcPr>
            <w:tcW w:w="509" w:type="pct"/>
            <w:shd w:val="clear" w:color="auto" w:fill="auto"/>
            <w:tcMar>
              <w:top w:w="28" w:type="dxa"/>
              <w:left w:w="28" w:type="dxa"/>
              <w:bottom w:w="28" w:type="dxa"/>
              <w:right w:w="28" w:type="dxa"/>
            </w:tcMar>
            <w:vAlign w:val="center"/>
          </w:tcPr>
          <w:p>
            <w:pPr>
              <w:pStyle w:val="0"/>
              <w:jc w:val="right"/>
              <w:rPr>
                <w:rFonts w:hint="default"/>
              </w:rPr>
            </w:pPr>
            <w:r>
              <w:rPr>
                <w:rFonts w:hint="eastAsia"/>
              </w:rPr>
              <w:t>0.89</w:t>
            </w:r>
          </w:p>
        </w:tc>
        <w:tc>
          <w:tcPr>
            <w:tcW w:w="501" w:type="pct"/>
            <w:shd w:val="clear" w:color="auto" w:fill="auto"/>
            <w:tcMar>
              <w:top w:w="28" w:type="dxa"/>
              <w:left w:w="28" w:type="dxa"/>
              <w:bottom w:w="28" w:type="dxa"/>
              <w:right w:w="28" w:type="dxa"/>
            </w:tcMar>
            <w:vAlign w:val="center"/>
          </w:tcPr>
          <w:p>
            <w:pPr>
              <w:pStyle w:val="0"/>
              <w:jc w:val="right"/>
              <w:rPr>
                <w:rFonts w:hint="default"/>
              </w:rPr>
            </w:pPr>
            <w:r>
              <w:rPr>
                <w:rFonts w:hint="eastAsia"/>
              </w:rPr>
              <w:t>1.04</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eastAsia"/>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4"/>
        <w:rPr>
          <w:rFonts w:hint="default"/>
        </w:rPr>
      </w:pPr>
      <w:r>
        <w:rPr>
          <w:rFonts w:hint="default"/>
        </w:rPr>
        <w:t>KDB</w:t>
      </w:r>
      <w:r>
        <w:rPr>
          <w:rFonts w:hint="default"/>
        </w:rPr>
        <w:t>帳票</w:t>
      </w:r>
      <w:r>
        <w:rPr>
          <w:rFonts w:hint="default"/>
        </w:rPr>
        <w:t xml:space="preserve"> S23_005-</w:t>
      </w:r>
      <w:r>
        <w:rPr>
          <w:rFonts w:hint="default"/>
        </w:rPr>
        <w:t>疾病別医療費分析（細小（</w:t>
      </w:r>
      <w:r>
        <w:rPr>
          <w:rFonts w:hint="default"/>
        </w:rPr>
        <w:t>82</w:t>
      </w:r>
      <w:r>
        <w:rPr>
          <w:rFonts w:hint="default"/>
        </w:rPr>
        <w:t>）分類）</w:t>
      </w:r>
      <w:r>
        <w:rPr>
          <w:rFonts w:hint="eastAsia"/>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※表内の脳血管疾患は、</w:t>
      </w:r>
      <w:r>
        <w:rPr>
          <w:rFonts w:hint="eastAsia"/>
        </w:rPr>
        <w:t>KDB</w:t>
      </w:r>
      <w:r>
        <w:rPr>
          <w:rFonts w:hint="eastAsia"/>
        </w:rPr>
        <w:t>システムにて設定されている疾病分類（中分類）区分のうち「くも膜下出血」「脳内出血」「脳梗塞」「脳動脈硬化（症）」「その他の脳血管疾患」をまとめている</w:t>
      </w:r>
    </w:p>
    <w:p>
      <w:pPr>
        <w:pStyle w:val="42"/>
        <w:rPr>
          <w:rFonts w:hint="default"/>
        </w:rPr>
      </w:pPr>
      <w:r>
        <w:rPr>
          <w:rFonts w:hint="eastAsia"/>
        </w:rPr>
        <w:t>※表内の「糖尿病」「高血圧症」「脂質異常症」は、</w:t>
      </w:r>
      <w:r>
        <w:rPr>
          <w:rFonts w:hint="eastAsia"/>
        </w:rPr>
        <w:t>K</w:t>
      </w:r>
      <w:r>
        <w:rPr>
          <w:rFonts w:hint="default"/>
        </w:rPr>
        <w:t>DB</w:t>
      </w:r>
      <w:r>
        <w:rPr>
          <w:rFonts w:hint="eastAsia"/>
        </w:rPr>
        <w:t>システムにて設定されている疾病分類（中分類）区分を集計している</w:t>
      </w:r>
    </w:p>
    <w:p>
      <w:pPr>
        <w:pStyle w:val="42"/>
        <w:rPr>
          <w:rFonts w:hint="default"/>
        </w:rPr>
      </w:pPr>
      <w:r>
        <w:rPr>
          <w:rFonts w:hint="eastAsia"/>
        </w:rPr>
        <w:t>※表内の「虚血性心疾患」「脳血管疾患」は入院、それ以外の疾病分類は外来を集計している</w:t>
      </w:r>
    </w:p>
    <w:p>
      <w:pPr>
        <w:pStyle w:val="0"/>
        <w:rPr>
          <w:rFonts w:hint="default"/>
        </w:rPr>
      </w:pPr>
      <w:r>
        <w:rPr>
          <w:rFonts w:hint="default"/>
        </w:rPr>
        <w:br w:type="page"/>
      </w:r>
    </w:p>
    <w:p>
      <w:pPr>
        <w:pStyle w:val="4"/>
        <w:rPr>
          <w:rFonts w:hint="default"/>
        </w:rPr>
      </w:pPr>
      <w:r>
        <w:rPr>
          <w:rFonts w:hint="eastAsia"/>
        </w:rPr>
        <w:t>生活習慣病における重篤な疾患の受診率の推移</w:t>
      </w:r>
    </w:p>
    <w:p>
      <w:pPr>
        <w:pStyle w:val="39"/>
        <w:ind w:firstLine="200"/>
        <w:rPr>
          <w:rFonts w:hint="default"/>
        </w:rPr>
      </w:pPr>
      <w:r>
        <w:rPr>
          <w:rFonts w:hint="eastAsia"/>
        </w:rPr>
        <w:t>重篤な疾患における受診率の推移（</w:t>
      </w:r>
      <w:r>
        <w:rPr>
          <w:rFonts w:hint="eastAsia"/>
        </w:rPr>
        <w:fldChar w:fldCharType="begin"/>
      </w:r>
      <w:r>
        <w:rPr>
          <w:rFonts w:hint="eastAsia"/>
        </w:rPr>
        <w:instrText xml:space="preserve">REF _Ref122534385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4</w:t>
      </w:r>
      <w:r>
        <w:rPr>
          <w:rFonts w:hint="eastAsia"/>
        </w:rPr>
        <w:t>-</w:t>
      </w:r>
      <w:r>
        <w:rPr>
          <w:rFonts w:hint="default"/>
        </w:rPr>
        <w:t>2</w:t>
      </w:r>
      <w:r>
        <w:rPr>
          <w:rFonts w:hint="eastAsia"/>
        </w:rPr>
        <w:fldChar w:fldCharType="end"/>
      </w:r>
      <w:r>
        <w:rPr>
          <w:rFonts w:hint="default"/>
        </w:rPr>
        <w:t>）をみると、令和</w:t>
      </w:r>
      <w:r>
        <w:rPr>
          <w:rFonts w:hint="default"/>
        </w:rPr>
        <w:t>4</w:t>
      </w:r>
      <w:r>
        <w:rPr>
          <w:rFonts w:hint="default"/>
        </w:rPr>
        <w:t>年度の</w:t>
      </w:r>
      <w:r>
        <w:rPr>
          <w:rFonts w:hint="eastAsia"/>
        </w:rPr>
        <w:t>「</w:t>
      </w:r>
      <w:r>
        <w:rPr>
          <w:rFonts w:hint="default"/>
        </w:rPr>
        <w:t>虚血性心疾患</w:t>
      </w:r>
      <w:r>
        <w:rPr>
          <w:rFonts w:hint="eastAsia"/>
        </w:rPr>
        <w:t>」</w:t>
      </w:r>
      <w:r>
        <w:rPr>
          <w:rFonts w:hint="default"/>
        </w:rPr>
        <w:t>の受診率は、令和</w:t>
      </w:r>
      <w:r>
        <w:rPr>
          <w:rFonts w:hint="default"/>
        </w:rPr>
        <w:t>1</w:t>
      </w:r>
      <w:r>
        <w:rPr>
          <w:rFonts w:hint="default"/>
        </w:rPr>
        <w:t>年度</w:t>
      </w:r>
      <w:r>
        <w:rPr>
          <w:rFonts w:hint="eastAsia"/>
        </w:rPr>
        <w:t>と比較して</w:t>
      </w:r>
      <w:r>
        <w:rPr>
          <w:rFonts w:hint="default"/>
        </w:rPr>
        <w:t>-18.5%</w:t>
      </w:r>
      <w:r>
        <w:rPr>
          <w:rFonts w:hint="eastAsia"/>
        </w:rPr>
        <w:t>、「脳血管疾患」</w:t>
      </w:r>
      <w:r>
        <w:rPr>
          <w:rFonts w:hint="default"/>
        </w:rPr>
        <w:t>の受診率は、令和</w:t>
      </w:r>
      <w:r>
        <w:rPr>
          <w:rFonts w:hint="default"/>
        </w:rPr>
        <w:t>1</w:t>
      </w:r>
      <w:r>
        <w:rPr>
          <w:rFonts w:hint="default"/>
        </w:rPr>
        <w:t>年度</w:t>
      </w:r>
      <w:r>
        <w:rPr>
          <w:rFonts w:hint="eastAsia"/>
        </w:rPr>
        <w:t>と比較して</w:t>
      </w:r>
      <w:r>
        <w:rPr>
          <w:rFonts w:hint="default"/>
        </w:rPr>
        <w:t>-24.8%</w:t>
      </w:r>
      <w:r>
        <w:rPr>
          <w:rFonts w:hint="default"/>
        </w:rPr>
        <w:t>で減少率は</w:t>
      </w:r>
      <w:r>
        <w:rPr>
          <w:rFonts w:hint="eastAsia"/>
        </w:rPr>
        <w:t>ともに</w:t>
      </w:r>
      <w:r>
        <w:rPr>
          <w:rFonts w:hint="default"/>
        </w:rPr>
        <w:t>国・県より大きい。</w:t>
      </w:r>
      <w:r>
        <w:rPr>
          <w:rFonts w:hint="eastAsia"/>
        </w:rPr>
        <w:t>「慢性腎臓病（透析あり）」</w:t>
      </w:r>
      <w:r>
        <w:rPr>
          <w:rFonts w:hint="default"/>
        </w:rPr>
        <w:t>の受診率は、令和</w:t>
      </w:r>
      <w:r>
        <w:rPr>
          <w:rFonts w:hint="default"/>
        </w:rPr>
        <w:t>1</w:t>
      </w:r>
      <w:r>
        <w:rPr>
          <w:rFonts w:hint="default"/>
        </w:rPr>
        <w:t>年度</w:t>
      </w:r>
      <w:r>
        <w:rPr>
          <w:rFonts w:hint="eastAsia"/>
        </w:rPr>
        <w:t>と比較して</w:t>
      </w:r>
    </w:p>
    <w:p>
      <w:pPr>
        <w:pStyle w:val="39"/>
        <w:ind w:left="0" w:firstLine="300" w:firstLineChars="150"/>
        <w:rPr>
          <w:rFonts w:hint="default"/>
        </w:rPr>
      </w:pPr>
      <w:r>
        <w:rPr>
          <w:rFonts w:hint="default"/>
        </w:rPr>
        <w:t>＋</w:t>
      </w:r>
      <w:r>
        <w:rPr>
          <w:rFonts w:hint="default"/>
        </w:rPr>
        <w:t>16.4%</w:t>
      </w:r>
      <w:r>
        <w:rPr>
          <w:rFonts w:hint="default"/>
        </w:rPr>
        <w:t>で伸び率は国・県より大きい</w:t>
      </w:r>
      <w:r>
        <w:rPr>
          <w:rFonts w:hint="eastAsia"/>
        </w:rPr>
        <w:t>為、増加が顕著である。</w:t>
      </w:r>
    </w:p>
    <w:p>
      <w:pPr>
        <w:pStyle w:val="0"/>
        <w:rPr>
          <w:rFonts w:hint="default"/>
        </w:rPr>
      </w:pPr>
    </w:p>
    <w:p>
      <w:pPr>
        <w:pStyle w:val="38"/>
        <w:rPr>
          <w:rFonts w:hint="default"/>
        </w:rPr>
      </w:pPr>
      <w:bookmarkStart w:id="138" w:name="_Ref122534385"/>
      <w:bookmarkStart w:id="139" w:name="_Toc12493683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138"/>
      <w:r>
        <w:rPr>
          <w:rFonts w:hint="default"/>
        </w:rPr>
        <w:t>：生活習慣病</w:t>
      </w:r>
      <w:r>
        <w:rPr>
          <w:rFonts w:hint="eastAsia"/>
        </w:rPr>
        <w:t>における重篤な疾患</w:t>
      </w:r>
      <w:r>
        <w:rPr>
          <w:rFonts w:hint="default"/>
        </w:rPr>
        <w:t>の受診率</w:t>
      </w:r>
      <w:bookmarkEnd w:id="139"/>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1"/>
        <w:gridCol w:w="1564"/>
        <w:gridCol w:w="1562"/>
        <w:gridCol w:w="1564"/>
        <w:gridCol w:w="1562"/>
        <w:gridCol w:w="1562"/>
      </w:tblGrid>
      <w:tr>
        <w:trPr>
          <w:trHeight w:val="32" w:hRule="atLeast"/>
        </w:trPr>
        <w:tc>
          <w:tcPr>
            <w:tcW w:w="833"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虚血性心疾患</w:t>
            </w:r>
          </w:p>
        </w:tc>
        <w:tc>
          <w:tcPr>
            <w:tcW w:w="83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833"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83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833"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834" w:type="pct"/>
            <w:shd w:val="clear" w:color="auto" w:fill="F2F2F2"/>
            <w:tcMar>
              <w:top w:w="28" w:type="dxa"/>
              <w:left w:w="28" w:type="dxa"/>
              <w:bottom w:w="28" w:type="dxa"/>
              <w:right w:w="28" w:type="dxa"/>
            </w:tcMar>
            <w:vAlign w:val="center"/>
          </w:tcPr>
          <w:p>
            <w:pPr>
              <w:pStyle w:val="0"/>
              <w:jc w:val="center"/>
              <w:rPr>
                <w:rFonts w:hint="default"/>
                <w:b w:val="1"/>
              </w:rPr>
            </w:pPr>
            <w:r>
              <w:rPr>
                <w:rFonts w:hint="eastAsia"/>
                <w:b w:val="1"/>
                <w:sz w:val="14"/>
              </w:rPr>
              <w:t>令和</w:t>
            </w:r>
            <w:r>
              <w:rPr>
                <w:rFonts w:hint="eastAsia"/>
                <w:b w:val="1"/>
                <w:sz w:val="14"/>
              </w:rPr>
              <w:t>1</w:t>
            </w:r>
            <w:r>
              <w:rPr>
                <w:rFonts w:hint="eastAsia"/>
                <w:b w:val="1"/>
                <w:sz w:val="14"/>
              </w:rPr>
              <w:t>年度と令和</w:t>
            </w:r>
            <w:r>
              <w:rPr>
                <w:rFonts w:hint="eastAsia"/>
                <w:b w:val="1"/>
                <w:sz w:val="14"/>
              </w:rPr>
              <w:t>4</w:t>
            </w:r>
            <w:r>
              <w:rPr>
                <w:rFonts w:hint="eastAsia"/>
                <w:b w:val="1"/>
                <w:sz w:val="14"/>
              </w:rPr>
              <w:t>年度の変化率（</w:t>
            </w:r>
            <w:r>
              <w:rPr>
                <w:rFonts w:hint="eastAsia"/>
                <w:b w:val="1"/>
                <w:sz w:val="14"/>
              </w:rPr>
              <w:t>%</w:t>
            </w:r>
            <w:r>
              <w:rPr>
                <w:rFonts w:hint="eastAsia"/>
                <w:b w:val="1"/>
                <w:sz w:val="14"/>
              </w:rPr>
              <w:t>）</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5.4</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5.2</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6.0</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4.4</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-18.5</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5.7</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5.0</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5.0</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4.7</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-17.5</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6.2</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5.6</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5.8</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5.4</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-12.9</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同規模</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5.0</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5.0</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4.7</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-16.1</w:t>
            </w:r>
          </w:p>
        </w:tc>
      </w:tr>
    </w:tbl>
    <w:p>
      <w:pPr>
        <w:pStyle w:val="0"/>
        <w:rPr>
          <w:rFonts w:hint="default"/>
        </w:rPr>
      </w:pP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1"/>
        <w:gridCol w:w="1564"/>
        <w:gridCol w:w="1562"/>
        <w:gridCol w:w="1564"/>
        <w:gridCol w:w="1562"/>
        <w:gridCol w:w="1562"/>
      </w:tblGrid>
      <w:tr>
        <w:trPr>
          <w:trHeight w:val="32" w:hRule="atLeast"/>
        </w:trPr>
        <w:tc>
          <w:tcPr>
            <w:tcW w:w="833"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脳血管疾患</w:t>
            </w:r>
          </w:p>
        </w:tc>
        <w:tc>
          <w:tcPr>
            <w:tcW w:w="83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833"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83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833"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834" w:type="pct"/>
            <w:shd w:val="clear" w:color="auto" w:fill="F2F2F2"/>
            <w:tcMar>
              <w:top w:w="28" w:type="dxa"/>
              <w:left w:w="28" w:type="dxa"/>
              <w:bottom w:w="28" w:type="dxa"/>
              <w:right w:w="28" w:type="dxa"/>
            </w:tcMar>
            <w:vAlign w:val="center"/>
          </w:tcPr>
          <w:p>
            <w:pPr>
              <w:pStyle w:val="0"/>
              <w:jc w:val="center"/>
              <w:rPr>
                <w:rFonts w:hint="default"/>
                <w:b w:val="1"/>
              </w:rPr>
            </w:pPr>
            <w:r>
              <w:rPr>
                <w:rFonts w:hint="eastAsia"/>
                <w:b w:val="1"/>
                <w:sz w:val="14"/>
              </w:rPr>
              <w:t>令和</w:t>
            </w:r>
            <w:r>
              <w:rPr>
                <w:rFonts w:hint="eastAsia"/>
                <w:b w:val="1"/>
                <w:sz w:val="14"/>
              </w:rPr>
              <w:t>1</w:t>
            </w:r>
            <w:r>
              <w:rPr>
                <w:rFonts w:hint="eastAsia"/>
                <w:b w:val="1"/>
                <w:sz w:val="14"/>
              </w:rPr>
              <w:t>年度と令和</w:t>
            </w:r>
            <w:r>
              <w:rPr>
                <w:rFonts w:hint="eastAsia"/>
                <w:b w:val="1"/>
                <w:sz w:val="14"/>
              </w:rPr>
              <w:t>4</w:t>
            </w:r>
            <w:r>
              <w:rPr>
                <w:rFonts w:hint="eastAsia"/>
                <w:b w:val="1"/>
                <w:sz w:val="14"/>
              </w:rPr>
              <w:t>年度の変化率（</w:t>
            </w:r>
            <w:r>
              <w:rPr>
                <w:rFonts w:hint="eastAsia"/>
                <w:b w:val="1"/>
                <w:sz w:val="14"/>
              </w:rPr>
              <w:t>%</w:t>
            </w:r>
            <w:r>
              <w:rPr>
                <w:rFonts w:hint="eastAsia"/>
                <w:b w:val="1"/>
                <w:sz w:val="14"/>
              </w:rPr>
              <w:t>）</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11.3</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12.3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11.6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8.5</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-24.8</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10.6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10.4</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10.6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10.2</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-3.8</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9.5</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9.5</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9.5</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9.3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-2.1</w:t>
            </w:r>
          </w:p>
        </w:tc>
      </w:tr>
      <w:tr>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同規模</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10.9</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10.9</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10.8</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10.5</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-3.7</w:t>
            </w:r>
          </w:p>
        </w:tc>
      </w:tr>
    </w:tbl>
    <w:p>
      <w:pPr>
        <w:pStyle w:val="0"/>
        <w:rPr>
          <w:rFonts w:hint="default"/>
        </w:rPr>
      </w:pPr>
    </w:p>
    <w:tbl>
      <w:tblPr>
        <w:tblStyle w:val="11"/>
        <w:tblW w:w="5000" w:type="pct"/>
        <w:tblInd w:w="0" w:type="dxa"/>
        <w:tblLayout w:type="fixed"/>
        <w:tblLook w:firstRow="0" w:lastRow="0" w:firstColumn="0" w:lastColumn="0" w:noHBand="1" w:noVBand="1" w:val="0600"/>
      </w:tblPr>
      <w:tblGrid>
        <w:gridCol w:w="1561"/>
        <w:gridCol w:w="1564"/>
        <w:gridCol w:w="1562"/>
        <w:gridCol w:w="1564"/>
        <w:gridCol w:w="1562"/>
        <w:gridCol w:w="1562"/>
      </w:tblGrid>
      <w:tr>
        <w:trPr>
          <w:trHeight w:val="20" w:hRule="atLeast"/>
        </w:trPr>
        <w:tc>
          <w:tcPr>
            <w:tcW w:w="83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慢性腎臓病（透析あり）</w:t>
            </w:r>
          </w:p>
        </w:tc>
        <w:tc>
          <w:tcPr>
            <w:tcW w:w="83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83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83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83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83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F2F2F2"/>
            <w:tcMar>
              <w:top w:w="28" w:type="dxa"/>
              <w:left w:w="28" w:type="dxa"/>
              <w:bottom w:w="28" w:type="dxa"/>
              <w:right w:w="28" w:type="dxa"/>
            </w:tcMar>
            <w:vAlign w:val="center"/>
          </w:tcPr>
          <w:p>
            <w:pPr>
              <w:pStyle w:val="0"/>
              <w:jc w:val="center"/>
              <w:rPr>
                <w:rFonts w:hint="default"/>
                <w:b w:val="1"/>
              </w:rPr>
            </w:pPr>
            <w:r>
              <w:rPr>
                <w:rFonts w:hint="eastAsia"/>
                <w:b w:val="1"/>
                <w:sz w:val="14"/>
              </w:rPr>
              <w:t>令和</w:t>
            </w:r>
            <w:r>
              <w:rPr>
                <w:rFonts w:hint="eastAsia"/>
                <w:b w:val="1"/>
                <w:sz w:val="14"/>
              </w:rPr>
              <w:t>1</w:t>
            </w:r>
            <w:r>
              <w:rPr>
                <w:rFonts w:hint="eastAsia"/>
                <w:b w:val="1"/>
                <w:sz w:val="14"/>
              </w:rPr>
              <w:t>年度と令和</w:t>
            </w:r>
            <w:r>
              <w:rPr>
                <w:rFonts w:hint="eastAsia"/>
                <w:b w:val="1"/>
                <w:sz w:val="14"/>
              </w:rPr>
              <w:t>4</w:t>
            </w:r>
            <w:r>
              <w:rPr>
                <w:rFonts w:hint="eastAsia"/>
                <w:b w:val="1"/>
                <w:sz w:val="14"/>
              </w:rPr>
              <w:t>年度の変化率（</w:t>
            </w:r>
            <w:r>
              <w:rPr>
                <w:rFonts w:hint="eastAsia"/>
                <w:b w:val="1"/>
                <w:sz w:val="14"/>
              </w:rPr>
              <w:t>%</w:t>
            </w:r>
            <w:r>
              <w:rPr>
                <w:rFonts w:hint="eastAsia"/>
                <w:b w:val="1"/>
                <w:sz w:val="1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0" w:type="dxa"/>
            <w:left w:w="100" w:type="dxa"/>
            <w:bottom w:w="100" w:type="dxa"/>
            <w:right w:w="100" w:type="dxa"/>
          </w:tblCellMar>
        </w:tblPrEx>
        <w:trPr>
          <w:trHeight w:val="20" w:hRule="atLeast"/>
        </w:trPr>
        <w:tc>
          <w:tcPr>
            <w:tcW w:w="833"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83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36.6</w:t>
            </w:r>
          </w:p>
        </w:tc>
        <w:tc>
          <w:tcPr>
            <w:tcW w:w="833"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37.3</w:t>
            </w:r>
          </w:p>
        </w:tc>
        <w:tc>
          <w:tcPr>
            <w:tcW w:w="83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37.6</w:t>
            </w:r>
          </w:p>
        </w:tc>
        <w:tc>
          <w:tcPr>
            <w:tcW w:w="833"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42.6</w:t>
            </w:r>
          </w:p>
        </w:tc>
        <w:tc>
          <w:tcPr>
            <w:tcW w:w="83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0" w:type="dxa"/>
            <w:left w:w="100" w:type="dxa"/>
            <w:bottom w:w="100" w:type="dxa"/>
            <w:right w:w="100" w:type="dxa"/>
          </w:tblCellMar>
        </w:tblPrEx>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28.6</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29.1</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29.8</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30.3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0" w:type="dxa"/>
            <w:left w:w="100" w:type="dxa"/>
            <w:bottom w:w="100" w:type="dxa"/>
            <w:right w:w="100" w:type="dxa"/>
          </w:tblCellMar>
        </w:tblPrEx>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29.0</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29.3</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30.7</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32.2</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0" w:type="dxa"/>
            <w:left w:w="100" w:type="dxa"/>
            <w:bottom w:w="100" w:type="dxa"/>
            <w:right w:w="100" w:type="dxa"/>
          </w:tblCellMar>
        </w:tblPrEx>
        <w:trPr>
          <w:trHeight w:val="20" w:hRule="atLeast"/>
        </w:trPr>
        <w:tc>
          <w:tcPr>
            <w:tcW w:w="833" w:type="pct"/>
            <w:shd w:val="clear" w:color="auto" w:fill="auto"/>
            <w:tcMar>
              <w:top w:w="28" w:type="dxa"/>
              <w:left w:w="28" w:type="dxa"/>
              <w:bottom w:w="28" w:type="dxa"/>
              <w:right w:w="28" w:type="dxa"/>
            </w:tcMar>
            <w:vAlign w:val="center"/>
          </w:tcPr>
          <w:p>
            <w:pPr>
              <w:pStyle w:val="0"/>
              <w:rPr>
                <w:rFonts w:hint="default"/>
              </w:rPr>
            </w:pPr>
            <w:r>
              <w:rPr>
                <w:rFonts w:hint="default"/>
              </w:rPr>
              <w:t>同規模</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27.3</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27.7</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28.5</w:t>
            </w:r>
          </w:p>
        </w:tc>
        <w:tc>
          <w:tcPr>
            <w:tcW w:w="833" w:type="pct"/>
            <w:shd w:val="clear" w:color="auto" w:fill="auto"/>
            <w:tcMar>
              <w:top w:w="28" w:type="dxa"/>
              <w:left w:w="28" w:type="dxa"/>
              <w:bottom w:w="28" w:type="dxa"/>
              <w:right w:w="28" w:type="dxa"/>
            </w:tcMar>
            <w:vAlign w:val="center"/>
          </w:tcPr>
          <w:p>
            <w:pPr>
              <w:pStyle w:val="0"/>
              <w:jc w:val="right"/>
              <w:rPr>
                <w:rFonts w:hint="default"/>
              </w:rPr>
            </w:pPr>
            <w:r>
              <w:rPr>
                <w:rFonts w:hint="eastAsia"/>
              </w:rPr>
              <w:t>29.2</w:t>
            </w:r>
          </w:p>
        </w:tc>
        <w:tc>
          <w:tcPr>
            <w:tcW w:w="834" w:type="pct"/>
            <w:shd w:val="clear" w:color="auto" w:fill="auto"/>
            <w:tcMar>
              <w:top w:w="28" w:type="dxa"/>
              <w:left w:w="28" w:type="dxa"/>
              <w:bottom w:w="28" w:type="dxa"/>
              <w:right w:w="28" w:type="dxa"/>
            </w:tcMar>
            <w:vAlign w:val="center"/>
          </w:tcPr>
          <w:p>
            <w:pPr>
              <w:pStyle w:val="0"/>
              <w:jc w:val="right"/>
              <w:rPr>
                <w:rFonts w:hint="default"/>
              </w:rPr>
            </w:pPr>
            <w:r>
              <w:rPr>
                <w:rFonts w:hint="eastAsia"/>
              </w:rPr>
              <w:t>7.0</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S23_004-</w:t>
      </w:r>
      <w:r>
        <w:rPr>
          <w:rFonts w:hint="default"/>
        </w:rPr>
        <w:t>疾病別医療費分析（中分類）</w:t>
      </w:r>
      <w:r>
        <w:rPr>
          <w:rFonts w:hint="eastAsia"/>
        </w:rPr>
        <w:t xml:space="preserve"> </w:t>
      </w:r>
      <w:r>
        <w:rPr>
          <w:rFonts w:hint="eastAsia"/>
        </w:rPr>
        <w:t>令和</w:t>
      </w:r>
      <w:r>
        <w:rPr>
          <w:rFonts w:hint="eastAsia"/>
        </w:rPr>
        <w:t>1</w:t>
      </w:r>
      <w:r>
        <w:rPr>
          <w:rFonts w:hint="eastAsia"/>
        </w:rPr>
        <w:t>年度から</w:t>
      </w:r>
      <w:r>
        <w:rPr>
          <w:rFonts w:hint="default"/>
        </w:rPr>
        <w:t>令和</w:t>
      </w:r>
      <w:r>
        <w:rPr>
          <w:rFonts w:hint="eastAsia"/>
        </w:rPr>
        <w:t>4</w:t>
      </w:r>
      <w:r>
        <w:rPr>
          <w:rFonts w:hint="default"/>
        </w:rPr>
        <w:t>年度</w:t>
      </w:r>
      <w:r>
        <w:rPr>
          <w:rFonts w:hint="default"/>
        </w:rPr>
        <w:t xml:space="preserve"> </w:t>
      </w:r>
      <w:r>
        <w:rPr>
          <w:rFonts w:hint="default"/>
        </w:rPr>
        <w:t>累計</w:t>
      </w:r>
    </w:p>
    <w:p>
      <w:pPr>
        <w:pStyle w:val="44"/>
        <w:rPr>
          <w:rFonts w:hint="default"/>
        </w:rPr>
      </w:pPr>
      <w:r>
        <w:rPr>
          <w:rFonts w:hint="default"/>
        </w:rPr>
        <w:t>KDB</w:t>
      </w:r>
      <w:r>
        <w:rPr>
          <w:rFonts w:hint="default"/>
        </w:rPr>
        <w:t>帳票</w:t>
      </w:r>
      <w:r>
        <w:rPr>
          <w:rFonts w:hint="default"/>
        </w:rPr>
        <w:t xml:space="preserve"> S23_005-</w:t>
      </w:r>
      <w:r>
        <w:rPr>
          <w:rFonts w:hint="default"/>
        </w:rPr>
        <w:t>疾病別医療費分析（細小（</w:t>
      </w:r>
      <w:r>
        <w:rPr>
          <w:rFonts w:hint="default"/>
        </w:rPr>
        <w:t>82</w:t>
      </w:r>
      <w:r>
        <w:rPr>
          <w:rFonts w:hint="default"/>
        </w:rPr>
        <w:t>）分類）</w:t>
      </w:r>
      <w:r>
        <w:rPr>
          <w:rFonts w:hint="eastAsia"/>
        </w:rPr>
        <w:t xml:space="preserve"> </w:t>
      </w:r>
      <w:r>
        <w:rPr>
          <w:rFonts w:hint="eastAsia"/>
        </w:rPr>
        <w:t>令和</w:t>
      </w:r>
      <w:r>
        <w:rPr>
          <w:rFonts w:hint="eastAsia"/>
        </w:rPr>
        <w:t>1</w:t>
      </w:r>
      <w:r>
        <w:rPr>
          <w:rFonts w:hint="eastAsia"/>
        </w:rPr>
        <w:t>年度から</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※表内の「虚血性心疾患」と「脳血管疾患」は入院、「慢性腎臓病（透析あり）」は外来を集計している</w:t>
      </w:r>
    </w:p>
    <w:p>
      <w:pPr>
        <w:pStyle w:val="0"/>
        <w:rPr>
          <w:rFonts w:hint="default"/>
          <w:b w:val="1"/>
          <w:sz w:val="22"/>
        </w:rPr>
      </w:pPr>
      <w:r>
        <w:rPr>
          <w:rFonts w:hint="default"/>
          <w:b w:val="1"/>
          <w:sz w:val="22"/>
        </w:rPr>
        <w:br w:type="page"/>
      </w:r>
    </w:p>
    <w:p>
      <w:pPr>
        <w:pStyle w:val="4"/>
        <w:rPr>
          <w:rFonts w:hint="default"/>
        </w:rPr>
      </w:pPr>
      <w:r>
        <w:rPr>
          <w:rFonts w:hint="eastAsia"/>
        </w:rPr>
        <w:t>人工透析患者数の推移【県の共通指標】</w:t>
      </w:r>
    </w:p>
    <w:p>
      <w:pPr>
        <w:pStyle w:val="39"/>
        <w:ind w:firstLine="200"/>
        <w:rPr>
          <w:rFonts w:hint="default"/>
        </w:rPr>
      </w:pPr>
      <w:r>
        <w:rPr>
          <w:rFonts w:hint="eastAsia"/>
        </w:rPr>
        <w:t>人工透析患者数の推移（図表</w:t>
      </w:r>
      <w:r>
        <w:rPr>
          <w:rFonts w:hint="default"/>
        </w:rPr>
        <w:t>3-3-4-3</w:t>
      </w:r>
      <w:r>
        <w:rPr>
          <w:rFonts w:hint="default"/>
        </w:rPr>
        <w:t>）をみると、令和</w:t>
      </w:r>
      <w:r>
        <w:rPr>
          <w:rFonts w:hint="default"/>
        </w:rPr>
        <w:t>4</w:t>
      </w:r>
      <w:r>
        <w:rPr>
          <w:rFonts w:hint="default"/>
        </w:rPr>
        <w:t>年度</w:t>
      </w:r>
      <w:r>
        <w:rPr>
          <w:rFonts w:hint="eastAsia"/>
        </w:rPr>
        <w:t>の患者数は</w:t>
      </w:r>
      <w:r>
        <w:rPr>
          <w:rFonts w:hint="default"/>
        </w:rPr>
        <w:t>105</w:t>
      </w:r>
      <w:r>
        <w:rPr>
          <w:rFonts w:hint="default"/>
        </w:rPr>
        <w:t>人</w:t>
      </w:r>
      <w:r>
        <w:rPr>
          <w:rFonts w:hint="eastAsia"/>
        </w:rPr>
        <w:t>で、</w:t>
      </w:r>
      <w:r>
        <w:rPr>
          <w:rFonts w:hint="default"/>
        </w:rPr>
        <w:t>令和</w:t>
      </w:r>
      <w:r>
        <w:rPr>
          <w:rFonts w:hint="default"/>
        </w:rPr>
        <w:t>1</w:t>
      </w:r>
      <w:r>
        <w:rPr>
          <w:rFonts w:hint="default"/>
        </w:rPr>
        <w:t>年度</w:t>
      </w:r>
      <w:r>
        <w:rPr>
          <w:rFonts w:hint="eastAsia"/>
        </w:rPr>
        <w:t>の</w:t>
      </w:r>
      <w:r>
        <w:rPr>
          <w:rFonts w:hint="default"/>
        </w:rPr>
        <w:t>93</w:t>
      </w:r>
      <w:r>
        <w:rPr>
          <w:rFonts w:hint="default"/>
        </w:rPr>
        <w:t>人</w:t>
      </w:r>
      <w:r>
        <w:rPr>
          <w:rFonts w:hint="eastAsia"/>
        </w:rPr>
        <w:t>と比較して</w:t>
      </w:r>
      <w:r>
        <w:rPr>
          <w:rFonts w:hint="default"/>
        </w:rPr>
        <w:t>12</w:t>
      </w:r>
      <w:r>
        <w:rPr>
          <w:rFonts w:hint="default"/>
        </w:rPr>
        <w:t>人増加して</w:t>
      </w:r>
      <w:r>
        <w:rPr>
          <w:rFonts w:hint="eastAsia"/>
        </w:rPr>
        <w:t>おり、令和</w:t>
      </w:r>
      <w:r>
        <w:rPr>
          <w:rFonts w:hint="eastAsia"/>
        </w:rPr>
        <w:t>1</w:t>
      </w:r>
      <w:r>
        <w:rPr>
          <w:rFonts w:hint="eastAsia"/>
        </w:rPr>
        <w:t>年度から年々漸増している</w:t>
      </w:r>
      <w:r>
        <w:rPr>
          <w:rFonts w:hint="default"/>
        </w:rPr>
        <w:t>。</w:t>
      </w:r>
    </w:p>
    <w:p>
      <w:pPr>
        <w:pStyle w:val="39"/>
        <w:ind w:firstLine="200"/>
        <w:rPr>
          <w:rFonts w:hint="default"/>
        </w:rPr>
      </w:pPr>
      <w:r>
        <w:rPr>
          <w:rFonts w:hint="default"/>
        </w:rPr>
        <w:t>令和</w:t>
      </w:r>
      <w:r>
        <w:rPr>
          <w:rFonts w:hint="default"/>
        </w:rPr>
        <w:t>4</w:t>
      </w:r>
      <w:r>
        <w:rPr>
          <w:rFonts w:hint="default"/>
        </w:rPr>
        <w:t>年度</w:t>
      </w:r>
      <w:r>
        <w:rPr>
          <w:rFonts w:hint="eastAsia"/>
        </w:rPr>
        <w:t>における</w:t>
      </w:r>
      <w:r>
        <w:rPr>
          <w:rFonts w:hint="default"/>
        </w:rPr>
        <w:t>新規の人工透析患者数は令和</w:t>
      </w:r>
      <w:r>
        <w:rPr>
          <w:rFonts w:hint="default"/>
        </w:rPr>
        <w:t>1</w:t>
      </w:r>
      <w:r>
        <w:rPr>
          <w:rFonts w:hint="default"/>
        </w:rPr>
        <w:t>年度と比較して減少しており、令和</w:t>
      </w:r>
      <w:r>
        <w:rPr>
          <w:rFonts w:hint="default"/>
        </w:rPr>
        <w:t>4</w:t>
      </w:r>
      <w:r>
        <w:rPr>
          <w:rFonts w:hint="default"/>
        </w:rPr>
        <w:t>年度においては男性</w:t>
      </w:r>
      <w:r>
        <w:rPr>
          <w:rFonts w:hint="default"/>
        </w:rPr>
        <w:t>15</w:t>
      </w:r>
      <w:r>
        <w:rPr>
          <w:rFonts w:hint="default"/>
        </w:rPr>
        <w:t>人、女性</w:t>
      </w:r>
      <w:r>
        <w:rPr>
          <w:rFonts w:hint="default"/>
        </w:rPr>
        <w:t>6</w:t>
      </w:r>
      <w:r>
        <w:rPr>
          <w:rFonts w:hint="default"/>
        </w:rPr>
        <w:t>人となっている。</w:t>
      </w:r>
      <w:r>
        <w:rPr>
          <w:rFonts w:hint="eastAsia"/>
        </w:rPr>
        <w:t>また、県の共通指標である国保継続加入</w:t>
      </w:r>
      <w:r>
        <w:rPr>
          <w:rFonts w:hint="default"/>
        </w:rPr>
        <w:t>5</w:t>
      </w:r>
      <w:r>
        <w:rPr>
          <w:rFonts w:hint="default"/>
        </w:rPr>
        <w:t>年以上の</w:t>
      </w:r>
      <w:r>
        <w:rPr>
          <w:rFonts w:hint="eastAsia"/>
        </w:rPr>
        <w:t>もの</w:t>
      </w:r>
      <w:r>
        <w:rPr>
          <w:rFonts w:hint="default"/>
        </w:rPr>
        <w:t>における新規人工透析患者数の経年推移</w:t>
      </w:r>
      <w:r>
        <w:rPr>
          <w:rFonts w:hint="eastAsia"/>
        </w:rPr>
        <w:t>(</w:t>
      </w:r>
      <w:r>
        <w:rPr>
          <w:rFonts w:hint="eastAsia"/>
        </w:rPr>
        <w:fldChar w:fldCharType="begin"/>
      </w:r>
      <w:r>
        <w:rPr>
          <w:rFonts w:hint="eastAsia"/>
        </w:rPr>
        <w:instrText xml:space="preserve">REF _Ref130884426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4</w:t>
      </w:r>
      <w:r>
        <w:rPr>
          <w:rFonts w:hint="eastAsia"/>
        </w:rPr>
        <w:t>-</w:t>
      </w:r>
      <w:r>
        <w:rPr>
          <w:rFonts w:hint="default"/>
        </w:rPr>
        <w:t>4</w:t>
      </w:r>
      <w:r>
        <w:rPr>
          <w:rFonts w:hint="eastAsia"/>
        </w:rPr>
        <w:fldChar w:fldCharType="end"/>
      </w:r>
      <w:r>
        <w:rPr>
          <w:rFonts w:hint="eastAsia"/>
        </w:rPr>
        <w:t>)</w:t>
      </w:r>
      <w:r>
        <w:rPr>
          <w:rFonts w:hint="default"/>
        </w:rPr>
        <w:t>をみると、令和</w:t>
      </w:r>
      <w:r>
        <w:rPr>
          <w:rFonts w:hint="eastAsia"/>
        </w:rPr>
        <w:t>1</w:t>
      </w:r>
      <w:r>
        <w:rPr>
          <w:rFonts w:hint="default"/>
        </w:rPr>
        <w:t>年度以降</w:t>
      </w:r>
      <w:r>
        <w:rPr>
          <w:rFonts w:hint="eastAsia"/>
        </w:rPr>
        <w:t>横ばいで推移</w:t>
      </w:r>
      <w:r>
        <w:rPr>
          <w:rFonts w:hint="default"/>
        </w:rPr>
        <w:t>している。</w:t>
      </w:r>
    </w:p>
    <w:p>
      <w:pPr>
        <w:pStyle w:val="0"/>
        <w:rPr>
          <w:rFonts w:hint="default"/>
        </w:rPr>
      </w:pPr>
    </w:p>
    <w:p>
      <w:pPr>
        <w:pStyle w:val="38"/>
        <w:rPr>
          <w:rFonts w:hint="default"/>
        </w:rPr>
      </w:pPr>
      <w:bookmarkStart w:id="140" w:name="_Toc124936834"/>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r>
        <w:rPr>
          <w:rFonts w:hint="default"/>
        </w:rPr>
        <w:t>：人工透析患者数</w:t>
      </w:r>
      <w:bookmarkEnd w:id="140"/>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1"/>
        <w:gridCol w:w="1566"/>
        <w:gridCol w:w="1562"/>
        <w:gridCol w:w="1564"/>
        <w:gridCol w:w="1562"/>
        <w:gridCol w:w="1560"/>
      </w:tblGrid>
      <w:tr>
        <w:trPr>
          <w:trHeight w:val="20" w:hRule="atLeast"/>
        </w:trPr>
        <w:tc>
          <w:tcPr>
            <w:tcW w:w="1668" w:type="pct"/>
            <w:gridSpan w:val="2"/>
            <w:shd w:val="clear" w:color="auto" w:fill="CCD6FF"/>
            <w:tcMar>
              <w:top w:w="28" w:type="dxa"/>
              <w:left w:w="28" w:type="dxa"/>
              <w:bottom w:w="28" w:type="dxa"/>
              <w:right w:w="28" w:type="dxa"/>
            </w:tcMar>
            <w:vAlign w:val="center"/>
          </w:tcPr>
          <w:p>
            <w:pPr>
              <w:pStyle w:val="0"/>
              <w:widowControl w:val="0"/>
              <w:rPr>
                <w:rFonts w:hint="default"/>
              </w:rPr>
            </w:pPr>
          </w:p>
        </w:tc>
        <w:tc>
          <w:tcPr>
            <w:tcW w:w="833"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1</w:t>
            </w:r>
            <w:r>
              <w:rPr>
                <w:rFonts w:hint="default"/>
                <w:b w:val="1"/>
              </w:rPr>
              <w:t>年度</w:t>
            </w:r>
          </w:p>
        </w:tc>
        <w:tc>
          <w:tcPr>
            <w:tcW w:w="834"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2</w:t>
            </w:r>
            <w:r>
              <w:rPr>
                <w:rFonts w:hint="default"/>
                <w:b w:val="1"/>
              </w:rPr>
              <w:t>年度</w:t>
            </w:r>
          </w:p>
        </w:tc>
        <w:tc>
          <w:tcPr>
            <w:tcW w:w="833"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3</w:t>
            </w:r>
            <w:r>
              <w:rPr>
                <w:rFonts w:hint="default"/>
                <w:b w:val="1"/>
              </w:rPr>
              <w:t>年度</w:t>
            </w:r>
          </w:p>
        </w:tc>
        <w:tc>
          <w:tcPr>
            <w:tcW w:w="832"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4</w:t>
            </w:r>
            <w:r>
              <w:rPr>
                <w:rFonts w:hint="default"/>
                <w:b w:val="1"/>
              </w:rPr>
              <w:t>年度</w:t>
            </w:r>
          </w:p>
        </w:tc>
      </w:tr>
      <w:tr>
        <w:trPr>
          <w:trHeight w:val="457" w:hRule="atLeast"/>
        </w:trPr>
        <w:tc>
          <w:tcPr>
            <w:tcW w:w="833" w:type="pct"/>
            <w:vMerge w:val="restart"/>
            <w:shd w:val="clear" w:color="auto" w:fill="FFFFFF"/>
            <w:tcMar>
              <w:top w:w="28" w:type="dxa"/>
              <w:left w:w="28" w:type="dxa"/>
              <w:bottom w:w="28" w:type="dxa"/>
              <w:right w:w="28" w:type="dxa"/>
            </w:tcMar>
            <w:vAlign w:val="center"/>
          </w:tcPr>
          <w:p>
            <w:pPr>
              <w:pStyle w:val="0"/>
              <w:widowControl w:val="0"/>
              <w:rPr>
                <w:rFonts w:hint="default"/>
              </w:rPr>
            </w:pPr>
            <w:r>
              <w:rPr>
                <w:rFonts w:hint="default"/>
              </w:rPr>
              <w:t>人工透析患者数</w:t>
            </w:r>
          </w:p>
        </w:tc>
        <w:tc>
          <w:tcPr>
            <w:tcW w:w="835"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男性</w:t>
            </w:r>
            <w:r>
              <w:rPr>
                <w:rFonts w:hint="eastAsia"/>
              </w:rPr>
              <w:t>（人）</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77</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79</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77</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77</w:t>
            </w:r>
          </w:p>
        </w:tc>
      </w:tr>
      <w:tr>
        <w:trPr>
          <w:trHeight w:val="20" w:hRule="atLeast"/>
        </w:trPr>
        <w:tc>
          <w:tcPr>
            <w:tcW w:w="833" w:type="pct"/>
            <w:vMerge w:val="continue"/>
            <w:shd w:val="clear" w:color="auto" w:fill="FFFFFF"/>
            <w:tcMar>
              <w:top w:w="28" w:type="dxa"/>
              <w:left w:w="28" w:type="dxa"/>
              <w:bottom w:w="28" w:type="dxa"/>
              <w:right w:w="28" w:type="dxa"/>
            </w:tcMar>
            <w:vAlign w:val="center"/>
          </w:tcPr>
          <w:p>
            <w:pPr>
              <w:pStyle w:val="0"/>
              <w:widowControl w:val="0"/>
              <w:rPr>
                <w:rFonts w:hint="default"/>
              </w:rPr>
            </w:pPr>
          </w:p>
        </w:tc>
        <w:tc>
          <w:tcPr>
            <w:tcW w:w="835"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女性</w:t>
            </w:r>
            <w:r>
              <w:rPr>
                <w:rFonts w:hint="eastAsia"/>
              </w:rPr>
              <w:t>（人）</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16</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18</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23</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28</w:t>
            </w:r>
          </w:p>
        </w:tc>
      </w:tr>
      <w:tr>
        <w:trPr>
          <w:trHeight w:val="20" w:hRule="atLeast"/>
        </w:trPr>
        <w:tc>
          <w:tcPr>
            <w:tcW w:w="833" w:type="pct"/>
            <w:vMerge w:val="continue"/>
            <w:shd w:val="clear" w:color="auto" w:fill="FFFFFF"/>
            <w:tcMar>
              <w:top w:w="28" w:type="dxa"/>
              <w:left w:w="28" w:type="dxa"/>
              <w:bottom w:w="28" w:type="dxa"/>
              <w:right w:w="28" w:type="dxa"/>
            </w:tcMar>
            <w:vAlign w:val="center"/>
          </w:tcPr>
          <w:p>
            <w:pPr>
              <w:pStyle w:val="0"/>
              <w:widowControl w:val="0"/>
              <w:rPr>
                <w:rFonts w:hint="default"/>
              </w:rPr>
            </w:pPr>
          </w:p>
        </w:tc>
        <w:tc>
          <w:tcPr>
            <w:tcW w:w="835"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合計</w:t>
            </w:r>
            <w:r>
              <w:rPr>
                <w:rFonts w:hint="eastAsia"/>
              </w:rPr>
              <w:t>（人）</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93</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97</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99</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105</w:t>
            </w:r>
          </w:p>
        </w:tc>
      </w:tr>
      <w:tr>
        <w:trPr>
          <w:trHeight w:val="20" w:hRule="atLeast"/>
        </w:trPr>
        <w:tc>
          <w:tcPr>
            <w:tcW w:w="833" w:type="pct"/>
            <w:vMerge w:val="continue"/>
            <w:shd w:val="clear" w:color="auto" w:fill="FFFFFF"/>
            <w:tcMar>
              <w:top w:w="28" w:type="dxa"/>
              <w:left w:w="28" w:type="dxa"/>
              <w:bottom w:w="28" w:type="dxa"/>
              <w:right w:w="28" w:type="dxa"/>
            </w:tcMar>
            <w:vAlign w:val="center"/>
          </w:tcPr>
          <w:p>
            <w:pPr>
              <w:pStyle w:val="0"/>
              <w:widowControl w:val="0"/>
              <w:rPr>
                <w:rFonts w:hint="default"/>
              </w:rPr>
            </w:pPr>
          </w:p>
        </w:tc>
        <w:tc>
          <w:tcPr>
            <w:tcW w:w="835"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男性</w:t>
            </w:r>
            <w:r>
              <w:rPr>
                <w:rFonts w:hint="default"/>
              </w:rPr>
              <w:t>_</w:t>
            </w:r>
            <w:r>
              <w:rPr>
                <w:rFonts w:hint="default"/>
              </w:rPr>
              <w:t>新規</w:t>
            </w:r>
            <w:r>
              <w:rPr>
                <w:rFonts w:hint="eastAsia"/>
              </w:rPr>
              <w:t>（人）</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17</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21</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19</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15</w:t>
            </w:r>
          </w:p>
        </w:tc>
      </w:tr>
      <w:tr>
        <w:trPr>
          <w:trHeight w:val="20" w:hRule="atLeast"/>
        </w:trPr>
        <w:tc>
          <w:tcPr>
            <w:tcW w:w="833" w:type="pct"/>
            <w:vMerge w:val="continue"/>
            <w:shd w:val="clear" w:color="auto" w:fill="FFFFFF"/>
            <w:tcMar>
              <w:top w:w="28" w:type="dxa"/>
              <w:left w:w="28" w:type="dxa"/>
              <w:bottom w:w="28" w:type="dxa"/>
              <w:right w:w="28" w:type="dxa"/>
            </w:tcMar>
            <w:vAlign w:val="center"/>
          </w:tcPr>
          <w:p>
            <w:pPr>
              <w:pStyle w:val="0"/>
              <w:widowControl w:val="0"/>
              <w:rPr>
                <w:rFonts w:hint="default"/>
              </w:rPr>
            </w:pPr>
          </w:p>
        </w:tc>
        <w:tc>
          <w:tcPr>
            <w:tcW w:w="835" w:type="pct"/>
            <w:shd w:val="clear" w:color="auto" w:fill="auto"/>
            <w:tcMar>
              <w:top w:w="28" w:type="dxa"/>
              <w:left w:w="28" w:type="dxa"/>
              <w:bottom w:w="28" w:type="dxa"/>
              <w:right w:w="28" w:type="dxa"/>
            </w:tcMar>
            <w:vAlign w:val="center"/>
          </w:tcPr>
          <w:p>
            <w:pPr>
              <w:pStyle w:val="0"/>
              <w:widowControl w:val="0"/>
              <w:rPr>
                <w:rFonts w:hint="default"/>
              </w:rPr>
            </w:pPr>
            <w:r>
              <w:rPr>
                <w:rFonts w:hint="default"/>
              </w:rPr>
              <w:t>女性</w:t>
            </w:r>
            <w:r>
              <w:rPr>
                <w:rFonts w:hint="default"/>
              </w:rPr>
              <w:t>_</w:t>
            </w:r>
            <w:r>
              <w:rPr>
                <w:rFonts w:hint="default"/>
              </w:rPr>
              <w:t>新規</w:t>
            </w:r>
            <w:r>
              <w:rPr>
                <w:rFonts w:hint="eastAsia"/>
              </w:rPr>
              <w:t>（人）</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8</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12</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default"/>
              </w:rPr>
              <w:t>6</w:t>
            </w:r>
          </w:p>
        </w:tc>
      </w:tr>
    </w:tbl>
    <w:p>
      <w:pPr>
        <w:pStyle w:val="44"/>
        <w:rPr>
          <w:rFonts w:hint="default"/>
        </w:rPr>
      </w:pPr>
      <w:r>
        <w:rPr>
          <w:rFonts w:hint="default"/>
        </w:rPr>
        <w:t>【出典】</w:t>
      </w:r>
      <w:r>
        <w:rPr>
          <w:rFonts w:hint="default"/>
        </w:rPr>
        <w:t>KDB</w:t>
      </w:r>
      <w:r>
        <w:rPr>
          <w:rFonts w:hint="default"/>
        </w:rPr>
        <w:t>帳票</w:t>
      </w:r>
      <w:r>
        <w:rPr>
          <w:rFonts w:hint="default"/>
        </w:rPr>
        <w:t xml:space="preserve"> S23_001-</w:t>
      </w:r>
      <w:r>
        <w:rPr>
          <w:rFonts w:hint="eastAsia"/>
        </w:rPr>
        <w:t>医療費分析（</w:t>
      </w:r>
      <w:r>
        <w:rPr>
          <w:rFonts w:hint="eastAsia"/>
        </w:rPr>
        <w:t>1</w:t>
      </w:r>
      <w:r>
        <w:rPr>
          <w:rFonts w:hint="eastAsia"/>
        </w:rPr>
        <w:t>）細小分類</w:t>
      </w:r>
      <w:r>
        <w:rPr>
          <w:rFonts w:hint="default"/>
        </w:rPr>
        <w:t xml:space="preserve"> </w:t>
      </w:r>
      <w:r>
        <w:rPr>
          <w:rFonts w:hint="eastAsia"/>
        </w:rPr>
        <w:t>令和</w:t>
      </w:r>
      <w:r>
        <w:rPr>
          <w:rFonts w:hint="eastAsia"/>
        </w:rPr>
        <w:t>1</w:t>
      </w:r>
      <w:r>
        <w:rPr>
          <w:rFonts w:hint="default"/>
        </w:rPr>
        <w:t>年から令和</w:t>
      </w:r>
      <w:r>
        <w:rPr>
          <w:rFonts w:hint="default"/>
        </w:rPr>
        <w:t>5</w:t>
      </w:r>
      <w:r>
        <w:rPr>
          <w:rFonts w:hint="default"/>
        </w:rPr>
        <w:t>年</w:t>
      </w:r>
      <w:r>
        <w:rPr>
          <w:rFonts w:hint="eastAsia"/>
        </w:rPr>
        <w:t xml:space="preserve"> </w:t>
      </w:r>
      <w:r>
        <w:rPr>
          <w:rFonts w:hint="eastAsia"/>
        </w:rPr>
        <w:t>各月</w:t>
      </w:r>
    </w:p>
    <w:p>
      <w:pPr>
        <w:pStyle w:val="42"/>
        <w:rPr>
          <w:rFonts w:hint="default"/>
        </w:rPr>
      </w:pPr>
      <w:r>
        <w:rPr>
          <w:rFonts w:hint="eastAsia"/>
        </w:rPr>
        <w:t>※表内の「男性」「女性」「合計」は、各月の患者数から平均患者数を集計している</w:t>
      </w:r>
    </w:p>
    <w:p>
      <w:pPr>
        <w:pStyle w:val="42"/>
        <w:rPr>
          <w:rFonts w:hint="default"/>
        </w:rPr>
      </w:pPr>
      <w:r>
        <w:rPr>
          <w:rFonts w:hint="eastAsia"/>
        </w:rPr>
        <w:t>※表内の「男性</w:t>
      </w:r>
      <w:r>
        <w:rPr>
          <w:rFonts w:hint="eastAsia"/>
        </w:rPr>
        <w:t>_</w:t>
      </w:r>
      <w:r>
        <w:rPr>
          <w:rFonts w:hint="eastAsia"/>
        </w:rPr>
        <w:t>新規」「女性</w:t>
      </w:r>
      <w:r>
        <w:rPr>
          <w:rFonts w:hint="eastAsia"/>
        </w:rPr>
        <w:t>_</w:t>
      </w:r>
      <w:r>
        <w:rPr>
          <w:rFonts w:hint="eastAsia"/>
        </w:rPr>
        <w:t>新規」は、各年度内の新規の人工透析患者数を集計している</w:t>
      </w:r>
    </w:p>
    <w:p>
      <w:pPr>
        <w:pStyle w:val="39"/>
        <w:ind w:firstLine="200"/>
        <w:rPr>
          <w:rFonts w:hint="default"/>
        </w:rPr>
      </w:pPr>
    </w:p>
    <w:p>
      <w:pPr>
        <w:pStyle w:val="38"/>
        <w:rPr>
          <w:rFonts w:hint="default"/>
        </w:rPr>
      </w:pPr>
      <w:bookmarkStart w:id="141" w:name="_Ref13088442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141"/>
      <w:r>
        <w:rPr>
          <w:rFonts w:hint="default"/>
        </w:rPr>
        <w:t>：</w:t>
      </w:r>
      <w:r>
        <w:rPr>
          <w:rFonts w:hint="eastAsia"/>
        </w:rPr>
        <w:t>国保継続加入</w:t>
      </w:r>
      <w:r>
        <w:rPr>
          <w:rFonts w:hint="eastAsia"/>
        </w:rPr>
        <w:t>5</w:t>
      </w:r>
      <w:r>
        <w:rPr>
          <w:rFonts w:hint="eastAsia"/>
        </w:rPr>
        <w:t>年以上のものにおける新規人工透析患者数</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127"/>
        <w:gridCol w:w="1562"/>
        <w:gridCol w:w="1564"/>
        <w:gridCol w:w="1562"/>
        <w:gridCol w:w="1560"/>
      </w:tblGrid>
      <w:tr>
        <w:trPr>
          <w:trHeight w:val="22" w:hRule="atLeast"/>
        </w:trPr>
        <w:tc>
          <w:tcPr>
            <w:tcW w:w="1668" w:type="pct"/>
            <w:shd w:val="clear" w:color="auto" w:fill="CCD6FF"/>
            <w:tcMar>
              <w:top w:w="28" w:type="dxa"/>
              <w:left w:w="28" w:type="dxa"/>
              <w:bottom w:w="28" w:type="dxa"/>
              <w:right w:w="28" w:type="dxa"/>
            </w:tcMar>
            <w:vAlign w:val="center"/>
          </w:tcPr>
          <w:p>
            <w:pPr>
              <w:pStyle w:val="0"/>
              <w:widowControl w:val="0"/>
              <w:rPr>
                <w:rFonts w:hint="default"/>
              </w:rPr>
            </w:pPr>
          </w:p>
        </w:tc>
        <w:tc>
          <w:tcPr>
            <w:tcW w:w="833"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eastAsia"/>
                <w:b w:val="1"/>
              </w:rPr>
              <w:t>1</w:t>
            </w:r>
            <w:r>
              <w:rPr>
                <w:rFonts w:hint="default"/>
                <w:b w:val="1"/>
              </w:rPr>
              <w:t>年度</w:t>
            </w:r>
          </w:p>
        </w:tc>
        <w:tc>
          <w:tcPr>
            <w:tcW w:w="834"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2</w:t>
            </w:r>
            <w:r>
              <w:rPr>
                <w:rFonts w:hint="default"/>
                <w:b w:val="1"/>
              </w:rPr>
              <w:t>年度</w:t>
            </w:r>
          </w:p>
        </w:tc>
        <w:tc>
          <w:tcPr>
            <w:tcW w:w="833"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3</w:t>
            </w:r>
            <w:r>
              <w:rPr>
                <w:rFonts w:hint="default"/>
                <w:b w:val="1"/>
              </w:rPr>
              <w:t>年度</w:t>
            </w:r>
          </w:p>
        </w:tc>
        <w:tc>
          <w:tcPr>
            <w:tcW w:w="832" w:type="pct"/>
            <w:shd w:val="clear" w:color="auto" w:fill="CCD6FF"/>
            <w:tcMar>
              <w:top w:w="28" w:type="dxa"/>
              <w:left w:w="28" w:type="dxa"/>
              <w:bottom w:w="28" w:type="dxa"/>
              <w:right w:w="28" w:type="dxa"/>
            </w:tcMar>
            <w:vAlign w:val="center"/>
          </w:tcPr>
          <w:p>
            <w:pPr>
              <w:pStyle w:val="0"/>
              <w:widowControl w:val="0"/>
              <w:jc w:val="center"/>
              <w:rPr>
                <w:rFonts w:hint="default"/>
              </w:rPr>
            </w:pPr>
            <w:r>
              <w:rPr>
                <w:rFonts w:hint="default"/>
                <w:b w:val="1"/>
              </w:rPr>
              <w:t>令和</w:t>
            </w:r>
            <w:r>
              <w:rPr>
                <w:rFonts w:hint="default"/>
                <w:b w:val="1"/>
              </w:rPr>
              <w:t>4</w:t>
            </w:r>
            <w:r>
              <w:rPr>
                <w:rFonts w:hint="default"/>
                <w:b w:val="1"/>
              </w:rPr>
              <w:t>年度</w:t>
            </w:r>
          </w:p>
        </w:tc>
      </w:tr>
      <w:tr>
        <w:trPr>
          <w:trHeight w:val="92" w:hRule="atLeast"/>
        </w:trPr>
        <w:tc>
          <w:tcPr>
            <w:tcW w:w="1668" w:type="pct"/>
            <w:shd w:val="clear" w:color="auto" w:fill="FFFFFF"/>
            <w:tcMar>
              <w:top w:w="28" w:type="dxa"/>
              <w:left w:w="28" w:type="dxa"/>
              <w:bottom w:w="28" w:type="dxa"/>
              <w:right w:w="28" w:type="dxa"/>
            </w:tcMar>
            <w:vAlign w:val="center"/>
          </w:tcPr>
          <w:p>
            <w:pPr>
              <w:pStyle w:val="0"/>
              <w:widowControl w:val="0"/>
              <w:rPr>
                <w:rFonts w:hint="default"/>
              </w:rPr>
            </w:pPr>
            <w:r>
              <w:rPr>
                <w:rFonts w:hint="eastAsia"/>
              </w:rPr>
              <w:t>国保継続加入者数（</w:t>
            </w:r>
            <w:r>
              <w:rPr>
                <w:rFonts w:hint="default"/>
              </w:rPr>
              <w:t>5</w:t>
            </w:r>
            <w:r>
              <w:rPr>
                <w:rFonts w:hint="default"/>
              </w:rPr>
              <w:t>年以上）</w:t>
            </w:r>
            <w:r>
              <w:rPr>
                <w:rFonts w:hint="eastAsia"/>
              </w:rPr>
              <w:t>(</w:t>
            </w:r>
            <w:r>
              <w:rPr>
                <w:rFonts w:hint="eastAsia"/>
              </w:rPr>
              <w:t>人</w:t>
            </w:r>
            <w:r>
              <w:rPr>
                <w:rFonts w:hint="eastAsia"/>
              </w:rPr>
              <w:t>)</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11</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10</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8</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6</w:t>
            </w:r>
          </w:p>
        </w:tc>
      </w:tr>
      <w:tr>
        <w:trPr>
          <w:trHeight w:val="20" w:hRule="atLeast"/>
        </w:trPr>
        <w:tc>
          <w:tcPr>
            <w:tcW w:w="1668" w:type="pct"/>
            <w:shd w:val="clear" w:color="auto" w:fill="FFFFFF"/>
            <w:tcMar>
              <w:top w:w="28" w:type="dxa"/>
              <w:left w:w="28" w:type="dxa"/>
              <w:bottom w:w="28" w:type="dxa"/>
              <w:right w:w="28" w:type="dxa"/>
            </w:tcMar>
            <w:vAlign w:val="center"/>
          </w:tcPr>
          <w:p>
            <w:pPr>
              <w:pStyle w:val="0"/>
              <w:widowControl w:val="0"/>
              <w:rPr>
                <w:rFonts w:hint="default"/>
              </w:rPr>
            </w:pPr>
            <w:r>
              <w:rPr>
                <w:rFonts w:hint="eastAsia"/>
              </w:rPr>
              <w:t>内、新規人工透析患者数</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21</w:t>
            </w:r>
          </w:p>
        </w:tc>
        <w:tc>
          <w:tcPr>
            <w:tcW w:w="834"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24</w:t>
            </w:r>
          </w:p>
        </w:tc>
        <w:tc>
          <w:tcPr>
            <w:tcW w:w="833"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29</w:t>
            </w:r>
          </w:p>
        </w:tc>
        <w:tc>
          <w:tcPr>
            <w:tcW w:w="832" w:type="pct"/>
            <w:shd w:val="clear" w:color="auto" w:fill="auto"/>
            <w:tcMar>
              <w:top w:w="28" w:type="dxa"/>
              <w:left w:w="28" w:type="dxa"/>
              <w:bottom w:w="28" w:type="dxa"/>
              <w:right w:w="28" w:type="dxa"/>
            </w:tcMar>
            <w:vAlign w:val="center"/>
          </w:tcPr>
          <w:p>
            <w:pPr>
              <w:pStyle w:val="0"/>
              <w:widowControl w:val="0"/>
              <w:jc w:val="right"/>
              <w:rPr>
                <w:rFonts w:hint="default"/>
              </w:rPr>
            </w:pPr>
            <w:r>
              <w:rPr>
                <w:rFonts w:hint="eastAsia"/>
              </w:rPr>
              <w:t>24</w:t>
            </w:r>
          </w:p>
        </w:tc>
      </w:tr>
    </w:tbl>
    <w:p>
      <w:pPr>
        <w:pStyle w:val="39"/>
        <w:jc w:val="right"/>
        <w:rPr>
          <w:rFonts w:hint="default"/>
          <w:sz w:val="21"/>
        </w:rPr>
      </w:pPr>
      <w:r>
        <w:rPr>
          <w:rFonts w:hint="default"/>
          <w:sz w:val="16"/>
        </w:rPr>
        <w:t>【出典】</w:t>
      </w:r>
      <w:r>
        <w:rPr>
          <w:rFonts w:hint="eastAsia"/>
          <w:sz w:val="16"/>
        </w:rPr>
        <w:t>特定疾病療養受療証により人数および継続年数等を確認（他システム等により確認）</w:t>
      </w:r>
    </w:p>
    <w:p>
      <w:pPr>
        <w:pStyle w:val="0"/>
        <w:rPr>
          <w:rFonts w:hint="default"/>
          <w:sz w:val="20"/>
        </w:rPr>
      </w:pPr>
      <w:r>
        <w:rPr>
          <w:rFonts w:hint="default"/>
        </w:rPr>
        <w:br w:type="page"/>
      </w:r>
    </w:p>
    <w:p>
      <w:pPr>
        <w:pStyle w:val="3"/>
        <w:rPr>
          <w:rFonts w:hint="default"/>
        </w:rPr>
      </w:pPr>
      <w:bookmarkStart w:id="142" w:name="_Toc162548699"/>
      <w:r>
        <w:rPr>
          <w:rFonts w:hint="default"/>
        </w:rPr>
        <w:t>生活習慣病</w:t>
      </w:r>
      <w:r>
        <w:rPr>
          <w:rFonts w:hint="eastAsia"/>
        </w:rPr>
        <w:t>の重篤な疾患患者</w:t>
      </w:r>
      <w:r>
        <w:rPr>
          <w:rFonts w:hint="default"/>
        </w:rPr>
        <w:t>における基礎疾患の有病状況</w:t>
      </w:r>
      <w:bookmarkEnd w:id="142"/>
    </w:p>
    <w:p>
      <w:pPr>
        <w:pStyle w:val="4"/>
        <w:rPr>
          <w:rFonts w:hint="default"/>
        </w:rPr>
      </w:pPr>
      <w:r>
        <w:rPr>
          <w:rFonts w:hint="eastAsia"/>
        </w:rPr>
        <w:t>生活習慣病の重篤な疾患患者における基礎疾患の有病状況</w:t>
      </w:r>
    </w:p>
    <w:p>
      <w:pPr>
        <w:pStyle w:val="39"/>
        <w:ind w:firstLine="200"/>
        <w:rPr>
          <w:rFonts w:hint="default"/>
        </w:rPr>
      </w:pPr>
      <w:r>
        <w:rPr>
          <w:rFonts w:hint="eastAsia"/>
        </w:rPr>
        <w:t>生活習慣病の重篤な疾患患者において、基礎疾患のレセプトが同時に出ているものの割合をみる。</w:t>
      </w:r>
    </w:p>
    <w:p>
      <w:pPr>
        <w:pStyle w:val="39"/>
        <w:ind w:firstLine="200"/>
        <w:rPr>
          <w:rFonts w:hint="default"/>
        </w:rPr>
      </w:pPr>
      <w:r>
        <w:rPr>
          <w:rFonts w:hint="eastAsia"/>
        </w:rPr>
        <w:t>令和</w:t>
      </w:r>
      <w:r>
        <w:rPr>
          <w:rFonts w:hint="default"/>
        </w:rPr>
        <w:t>4</w:t>
      </w:r>
      <w:r>
        <w:rPr>
          <w:rFonts w:hint="default"/>
        </w:rPr>
        <w:t>年度</w:t>
      </w:r>
      <w:r>
        <w:rPr>
          <w:rFonts w:hint="default"/>
        </w:rPr>
        <w:t>3</w:t>
      </w:r>
      <w:r>
        <w:rPr>
          <w:rFonts w:hint="default"/>
        </w:rPr>
        <w:t>月時点の</w:t>
      </w:r>
      <w:r>
        <w:rPr>
          <w:rFonts w:hint="eastAsia"/>
        </w:rPr>
        <w:t>「</w:t>
      </w:r>
      <w:r>
        <w:rPr>
          <w:rFonts w:hint="default"/>
        </w:rPr>
        <w:t>虚血性心疾患</w:t>
      </w:r>
      <w:r>
        <w:rPr>
          <w:rFonts w:hint="eastAsia"/>
        </w:rPr>
        <w:t>」</w:t>
      </w:r>
      <w:r>
        <w:rPr>
          <w:rFonts w:hint="default"/>
        </w:rPr>
        <w:t>の患者</w:t>
      </w:r>
      <w:r>
        <w:rPr>
          <w:rFonts w:hint="default"/>
        </w:rPr>
        <w:t>667</w:t>
      </w:r>
      <w:r>
        <w:rPr>
          <w:rFonts w:hint="default"/>
        </w:rPr>
        <w:t>人</w:t>
      </w:r>
      <w:r>
        <w:rPr>
          <w:rFonts w:hint="eastAsia"/>
        </w:rPr>
        <w:t>のうち</w:t>
      </w:r>
      <w:r>
        <w:rPr>
          <w:rFonts w:hint="default"/>
        </w:rPr>
        <w:t>（</w:t>
      </w:r>
      <w:r>
        <w:rPr>
          <w:rFonts w:hint="eastAsia"/>
        </w:rPr>
        <w:fldChar w:fldCharType="begin"/>
      </w:r>
      <w:r>
        <w:rPr>
          <w:rFonts w:hint="eastAsia"/>
        </w:rPr>
        <w:instrText xml:space="preserve">REF _Ref122534437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5</w:t>
      </w:r>
      <w:r>
        <w:rPr>
          <w:rFonts w:hint="eastAsia"/>
        </w:rPr>
        <w:t>-</w:t>
      </w:r>
      <w:r>
        <w:rPr>
          <w:rFonts w:hint="default"/>
        </w:rPr>
        <w:t>1</w:t>
      </w:r>
      <w:r>
        <w:rPr>
          <w:rFonts w:hint="eastAsia"/>
        </w:rPr>
        <w:fldChar w:fldCharType="end"/>
      </w:r>
      <w:r>
        <w:rPr>
          <w:rFonts w:hint="default"/>
        </w:rPr>
        <w:t>）、</w:t>
      </w:r>
      <w:r>
        <w:rPr>
          <w:rFonts w:hint="eastAsia"/>
        </w:rPr>
        <w:t>「</w:t>
      </w:r>
      <w:r>
        <w:rPr>
          <w:rFonts w:hint="default"/>
        </w:rPr>
        <w:t>糖尿病</w:t>
      </w:r>
      <w:r>
        <w:rPr>
          <w:rFonts w:hint="eastAsia"/>
        </w:rPr>
        <w:t>」</w:t>
      </w:r>
      <w:r>
        <w:rPr>
          <w:rFonts w:hint="default"/>
        </w:rPr>
        <w:t>は</w:t>
      </w:r>
      <w:r>
        <w:rPr>
          <w:rFonts w:hint="default"/>
        </w:rPr>
        <w:t>63.4%</w:t>
      </w:r>
      <w:r>
        <w:rPr>
          <w:rFonts w:hint="default"/>
        </w:rPr>
        <w:t>、</w:t>
      </w:r>
      <w:r>
        <w:rPr>
          <w:rFonts w:hint="eastAsia"/>
        </w:rPr>
        <w:t>「</w:t>
      </w:r>
      <w:r>
        <w:rPr>
          <w:rFonts w:hint="default"/>
        </w:rPr>
        <w:t>高血圧症</w:t>
      </w:r>
      <w:r>
        <w:rPr>
          <w:rFonts w:hint="eastAsia"/>
        </w:rPr>
        <w:t>」</w:t>
      </w:r>
      <w:r>
        <w:rPr>
          <w:rFonts w:hint="default"/>
        </w:rPr>
        <w:t>は</w:t>
      </w:r>
      <w:r>
        <w:rPr>
          <w:rFonts w:hint="default"/>
        </w:rPr>
        <w:t>82.6%</w:t>
      </w:r>
      <w:r>
        <w:rPr>
          <w:rFonts w:hint="default"/>
        </w:rPr>
        <w:t>、</w:t>
      </w:r>
      <w:r>
        <w:rPr>
          <w:rFonts w:hint="eastAsia"/>
        </w:rPr>
        <w:t>「</w:t>
      </w:r>
      <w:r>
        <w:rPr>
          <w:rFonts w:hint="default"/>
        </w:rPr>
        <w:t>脂質異常症</w:t>
      </w:r>
      <w:r>
        <w:rPr>
          <w:rFonts w:hint="eastAsia"/>
        </w:rPr>
        <w:t>」</w:t>
      </w:r>
      <w:r>
        <w:rPr>
          <w:rFonts w:hint="default"/>
        </w:rPr>
        <w:t>は</w:t>
      </w:r>
      <w:r>
        <w:rPr>
          <w:rFonts w:hint="default"/>
        </w:rPr>
        <w:t>73.9%</w:t>
      </w:r>
      <w:r>
        <w:rPr>
          <w:rFonts w:hint="default"/>
        </w:rPr>
        <w:t>である。</w:t>
      </w:r>
      <w:r>
        <w:rPr>
          <w:rFonts w:hint="eastAsia"/>
        </w:rPr>
        <w:t>「脳血管疾患」の患者</w:t>
      </w:r>
      <w:r>
        <w:rPr>
          <w:rFonts w:hint="default"/>
        </w:rPr>
        <w:t>567</w:t>
      </w:r>
      <w:r>
        <w:rPr>
          <w:rFonts w:hint="default"/>
        </w:rPr>
        <w:t>人</w:t>
      </w:r>
      <w:r>
        <w:rPr>
          <w:rFonts w:hint="eastAsia"/>
        </w:rPr>
        <w:t>では</w:t>
      </w:r>
      <w:r>
        <w:rPr>
          <w:rFonts w:hint="default"/>
        </w:rPr>
        <w:t>、</w:t>
      </w:r>
      <w:r>
        <w:rPr>
          <w:rFonts w:hint="eastAsia"/>
        </w:rPr>
        <w:t>「</w:t>
      </w:r>
      <w:r>
        <w:rPr>
          <w:rFonts w:hint="default"/>
        </w:rPr>
        <w:t>糖尿病</w:t>
      </w:r>
      <w:r>
        <w:rPr>
          <w:rFonts w:hint="eastAsia"/>
        </w:rPr>
        <w:t>」</w:t>
      </w:r>
      <w:r>
        <w:rPr>
          <w:rFonts w:hint="default"/>
        </w:rPr>
        <w:t>は</w:t>
      </w:r>
      <w:r>
        <w:rPr>
          <w:rFonts w:hint="default"/>
        </w:rPr>
        <w:t>57.5%</w:t>
      </w:r>
      <w:r>
        <w:rPr>
          <w:rFonts w:hint="default"/>
        </w:rPr>
        <w:t>、</w:t>
      </w:r>
      <w:r>
        <w:rPr>
          <w:rFonts w:hint="eastAsia"/>
        </w:rPr>
        <w:t>「</w:t>
      </w:r>
      <w:r>
        <w:rPr>
          <w:rFonts w:hint="default"/>
        </w:rPr>
        <w:t>高血圧症</w:t>
      </w:r>
      <w:r>
        <w:rPr>
          <w:rFonts w:hint="eastAsia"/>
        </w:rPr>
        <w:t>」</w:t>
      </w:r>
      <w:r>
        <w:rPr>
          <w:rFonts w:hint="default"/>
        </w:rPr>
        <w:t>は</w:t>
      </w:r>
      <w:r>
        <w:rPr>
          <w:rFonts w:hint="default"/>
        </w:rPr>
        <w:t>77.2%</w:t>
      </w:r>
      <w:r>
        <w:rPr>
          <w:rFonts w:hint="default"/>
        </w:rPr>
        <w:t>、</w:t>
      </w:r>
      <w:r>
        <w:rPr>
          <w:rFonts w:hint="eastAsia"/>
        </w:rPr>
        <w:t>「</w:t>
      </w:r>
      <w:r>
        <w:rPr>
          <w:rFonts w:hint="default"/>
        </w:rPr>
        <w:t>脂質異常症</w:t>
      </w:r>
      <w:r>
        <w:rPr>
          <w:rFonts w:hint="eastAsia"/>
        </w:rPr>
        <w:t>」</w:t>
      </w:r>
      <w:r>
        <w:rPr>
          <w:rFonts w:hint="default"/>
        </w:rPr>
        <w:t>は</w:t>
      </w:r>
      <w:r>
        <w:rPr>
          <w:rFonts w:hint="default"/>
        </w:rPr>
        <w:t>64.0%</w:t>
      </w:r>
      <w:r>
        <w:rPr>
          <w:rFonts w:hint="default"/>
        </w:rPr>
        <w:t>となっている。</w:t>
      </w:r>
      <w:r>
        <w:rPr>
          <w:rFonts w:hint="eastAsia"/>
        </w:rPr>
        <w:t>人工透析の患者</w:t>
      </w:r>
      <w:r>
        <w:rPr>
          <w:rFonts w:hint="default"/>
        </w:rPr>
        <w:t>101</w:t>
      </w:r>
      <w:r>
        <w:rPr>
          <w:rFonts w:hint="default"/>
        </w:rPr>
        <w:t>人では、</w:t>
      </w:r>
      <w:r>
        <w:rPr>
          <w:rFonts w:hint="eastAsia"/>
        </w:rPr>
        <w:t>「</w:t>
      </w:r>
      <w:r>
        <w:rPr>
          <w:rFonts w:hint="default"/>
        </w:rPr>
        <w:t>糖尿病</w:t>
      </w:r>
      <w:r>
        <w:rPr>
          <w:rFonts w:hint="eastAsia"/>
        </w:rPr>
        <w:t>」</w:t>
      </w:r>
      <w:r>
        <w:rPr>
          <w:rFonts w:hint="default"/>
        </w:rPr>
        <w:t>は</w:t>
      </w:r>
      <w:r>
        <w:rPr>
          <w:rFonts w:hint="default"/>
        </w:rPr>
        <w:t>66.3%</w:t>
      </w:r>
      <w:r>
        <w:rPr>
          <w:rFonts w:hint="default"/>
        </w:rPr>
        <w:t>、</w:t>
      </w:r>
      <w:r>
        <w:rPr>
          <w:rFonts w:hint="eastAsia"/>
        </w:rPr>
        <w:t>「</w:t>
      </w:r>
      <w:r>
        <w:rPr>
          <w:rFonts w:hint="default"/>
        </w:rPr>
        <w:t>高血圧症</w:t>
      </w:r>
      <w:r>
        <w:rPr>
          <w:rFonts w:hint="eastAsia"/>
        </w:rPr>
        <w:t>」</w:t>
      </w:r>
      <w:r>
        <w:rPr>
          <w:rFonts w:hint="default"/>
        </w:rPr>
        <w:t>は</w:t>
      </w:r>
      <w:r>
        <w:rPr>
          <w:rFonts w:hint="default"/>
        </w:rPr>
        <w:t>90.1%</w:t>
      </w:r>
      <w:r>
        <w:rPr>
          <w:rFonts w:hint="default"/>
        </w:rPr>
        <w:t>、</w:t>
      </w:r>
      <w:r>
        <w:rPr>
          <w:rFonts w:hint="eastAsia"/>
        </w:rPr>
        <w:t>「</w:t>
      </w:r>
      <w:r>
        <w:rPr>
          <w:rFonts w:hint="default"/>
        </w:rPr>
        <w:t>脂質異常症</w:t>
      </w:r>
      <w:r>
        <w:rPr>
          <w:rFonts w:hint="eastAsia"/>
        </w:rPr>
        <w:t>」</w:t>
      </w:r>
      <w:r>
        <w:rPr>
          <w:rFonts w:hint="default"/>
        </w:rPr>
        <w:t>は</w:t>
      </w:r>
      <w:r>
        <w:rPr>
          <w:rFonts w:hint="default"/>
        </w:rPr>
        <w:t>44.6%</w:t>
      </w:r>
      <w:r>
        <w:rPr>
          <w:rFonts w:hint="default"/>
        </w:rPr>
        <w:t>となっている。</w:t>
      </w:r>
    </w:p>
    <w:p>
      <w:pPr>
        <w:pStyle w:val="0"/>
        <w:rPr>
          <w:rFonts w:hint="default"/>
        </w:rPr>
      </w:pPr>
    </w:p>
    <w:p>
      <w:pPr>
        <w:pStyle w:val="38"/>
        <w:rPr>
          <w:rFonts w:hint="default"/>
        </w:rPr>
      </w:pPr>
      <w:bookmarkStart w:id="143" w:name="_Ref122534437"/>
      <w:bookmarkStart w:id="144" w:name="_Toc124936835"/>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43"/>
      <w:r>
        <w:rPr>
          <w:rFonts w:hint="default"/>
        </w:rPr>
        <w:t>：生活習慣病</w:t>
      </w:r>
      <w:r>
        <w:rPr>
          <w:rFonts w:hint="eastAsia"/>
        </w:rPr>
        <w:t>の重篤な疾患患者における</w:t>
      </w:r>
      <w:r>
        <w:rPr>
          <w:rFonts w:hint="default"/>
        </w:rPr>
        <w:t>基礎疾患の有病状況</w:t>
      </w:r>
      <w:bookmarkEnd w:id="144"/>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71"/>
        <w:gridCol w:w="1172"/>
        <w:gridCol w:w="1172"/>
        <w:gridCol w:w="1172"/>
        <w:gridCol w:w="1172"/>
        <w:gridCol w:w="1172"/>
        <w:gridCol w:w="1172"/>
        <w:gridCol w:w="1172"/>
      </w:tblGrid>
      <w:tr>
        <w:trPr>
          <w:trHeight w:val="20" w:hRule="atLeast"/>
        </w:trPr>
        <w:tc>
          <w:tcPr>
            <w:tcW w:w="1250" w:type="pct"/>
            <w:gridSpan w:val="2"/>
            <w:vMerge w:val="restart"/>
            <w:shd w:val="clear" w:color="auto" w:fill="CCD6FF"/>
            <w:tcMar>
              <w:top w:w="28" w:type="dxa"/>
              <w:left w:w="28" w:type="dxa"/>
              <w:bottom w:w="28" w:type="dxa"/>
              <w:right w:w="28" w:type="dxa"/>
            </w:tcMar>
            <w:vAlign w:val="center"/>
          </w:tcPr>
          <w:p>
            <w:pPr>
              <w:pStyle w:val="0"/>
              <w:jc w:val="center"/>
              <w:rPr>
                <w:rFonts w:hint="default"/>
                <w:b w:val="1"/>
              </w:rPr>
            </w:pPr>
          </w:p>
        </w:tc>
        <w:tc>
          <w:tcPr>
            <w:tcW w:w="125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男性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女性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合計</w:t>
            </w:r>
          </w:p>
        </w:tc>
      </w:tr>
      <w:tr>
        <w:trPr>
          <w:trHeight w:val="20" w:hRule="atLeast"/>
        </w:trPr>
        <w:tc>
          <w:tcPr>
            <w:tcW w:w="1250" w:type="pct"/>
            <w:gridSpan w:val="2"/>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割合</w:t>
            </w:r>
          </w:p>
        </w:tc>
      </w:tr>
      <w:tr>
        <w:trPr>
          <w:trHeight w:val="20" w:hRule="atLeast"/>
        </w:trPr>
        <w:tc>
          <w:tcPr>
            <w:tcW w:w="1250" w:type="pct"/>
            <w:gridSpan w:val="2"/>
            <w:shd w:val="clear" w:color="auto" w:fill="auto"/>
            <w:tcMar>
              <w:top w:w="28" w:type="dxa"/>
              <w:left w:w="28" w:type="dxa"/>
              <w:bottom w:w="28" w:type="dxa"/>
              <w:right w:w="28" w:type="dxa"/>
            </w:tcMar>
            <w:vAlign w:val="center"/>
          </w:tcPr>
          <w:p>
            <w:pPr>
              <w:pStyle w:val="0"/>
              <w:rPr>
                <w:rFonts w:hint="default"/>
              </w:rPr>
            </w:pPr>
            <w:r>
              <w:rPr>
                <w:rFonts w:hint="default"/>
              </w:rPr>
              <w:t>虚血性心疾患</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402</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265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667</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625"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基礎疾患</w:t>
            </w: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267</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66.4%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156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58.9%</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423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63.4%</w:t>
            </w:r>
          </w:p>
        </w:tc>
      </w:tr>
      <w:tr>
        <w:trPr>
          <w:trHeight w:val="20" w:hRule="atLeast"/>
        </w:trPr>
        <w:tc>
          <w:tcPr>
            <w:tcW w:w="625" w:type="pct"/>
            <w:vMerge w:val="continue"/>
            <w:shd w:val="clear" w:color="auto" w:fill="auto"/>
            <w:tcMar>
              <w:top w:w="28" w:type="dxa"/>
              <w:left w:w="28" w:type="dxa"/>
              <w:bottom w:w="28" w:type="dxa"/>
              <w:right w:w="28" w:type="dxa"/>
            </w:tcMar>
            <w:vAlign w:val="center"/>
          </w:tcPr>
          <w:p>
            <w:pPr>
              <w:pStyle w:val="0"/>
              <w:rPr>
                <w:rFonts w:hint="default"/>
              </w:rPr>
            </w:pP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346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86.1%</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205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77.4%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551</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82.6%</w:t>
            </w:r>
          </w:p>
        </w:tc>
      </w:tr>
      <w:tr>
        <w:trPr>
          <w:trHeight w:val="20" w:hRule="atLeast"/>
        </w:trPr>
        <w:tc>
          <w:tcPr>
            <w:tcW w:w="625" w:type="pct"/>
            <w:vMerge w:val="continue"/>
            <w:shd w:val="clear" w:color="auto" w:fill="auto"/>
            <w:tcMar>
              <w:top w:w="28" w:type="dxa"/>
              <w:left w:w="28" w:type="dxa"/>
              <w:bottom w:w="28" w:type="dxa"/>
              <w:right w:w="28" w:type="dxa"/>
            </w:tcMar>
            <w:vAlign w:val="center"/>
          </w:tcPr>
          <w:p>
            <w:pPr>
              <w:pStyle w:val="0"/>
              <w:rPr>
                <w:rFonts w:hint="default"/>
              </w:rPr>
            </w:pP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303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75.4%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190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71.7%</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493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73.9%</w:t>
            </w:r>
          </w:p>
        </w:tc>
      </w:tr>
    </w:tbl>
    <w:p>
      <w:pPr>
        <w:pStyle w:val="0"/>
        <w:rPr>
          <w:rFonts w:hint="default"/>
        </w:rPr>
      </w:pP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73"/>
        <w:gridCol w:w="1173"/>
        <w:gridCol w:w="1173"/>
        <w:gridCol w:w="1172"/>
        <w:gridCol w:w="1172"/>
        <w:gridCol w:w="1172"/>
        <w:gridCol w:w="1172"/>
        <w:gridCol w:w="1166"/>
      </w:tblGrid>
      <w:tr>
        <w:trPr>
          <w:trHeight w:val="20" w:hRule="atLeast"/>
        </w:trPr>
        <w:tc>
          <w:tcPr>
            <w:tcW w:w="1251" w:type="pct"/>
            <w:gridSpan w:val="2"/>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p>
        </w:tc>
        <w:tc>
          <w:tcPr>
            <w:tcW w:w="1249"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男性</w:t>
            </w:r>
          </w:p>
        </w:tc>
        <w:tc>
          <w:tcPr>
            <w:tcW w:w="1250"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女性</w:t>
            </w:r>
          </w:p>
        </w:tc>
        <w:tc>
          <w:tcPr>
            <w:tcW w:w="1250"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合計</w:t>
            </w:r>
          </w:p>
        </w:tc>
      </w:tr>
      <w:tr>
        <w:trPr>
          <w:trHeight w:val="20" w:hRule="atLeast"/>
        </w:trPr>
        <w:tc>
          <w:tcPr>
            <w:tcW w:w="1251" w:type="pct"/>
            <w:gridSpan w:val="2"/>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r>
      <w:tr>
        <w:trPr>
          <w:trHeight w:val="20" w:hRule="atLeast"/>
        </w:trPr>
        <w:tc>
          <w:tcPr>
            <w:tcW w:w="1251"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脳血管疾患</w:t>
            </w: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330</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237</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567</w:t>
            </w:r>
          </w:p>
        </w:tc>
        <w:tc>
          <w:tcPr>
            <w:tcW w:w="62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626"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基礎疾患</w:t>
            </w: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212</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64.2%</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114</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48.1%</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326</w:t>
            </w:r>
          </w:p>
        </w:tc>
        <w:tc>
          <w:tcPr>
            <w:tcW w:w="62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57.5%</w:t>
            </w:r>
          </w:p>
        </w:tc>
      </w:tr>
      <w:tr>
        <w:trPr>
          <w:trHeight w:val="20" w:hRule="atLeast"/>
        </w:trPr>
        <w:tc>
          <w:tcPr>
            <w:tcW w:w="626"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274</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83.0%</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164</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69.2%</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438</w:t>
            </w:r>
          </w:p>
        </w:tc>
        <w:tc>
          <w:tcPr>
            <w:tcW w:w="62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77.2%</w:t>
            </w:r>
          </w:p>
        </w:tc>
      </w:tr>
      <w:tr>
        <w:trPr>
          <w:trHeight w:val="20" w:hRule="atLeast"/>
        </w:trPr>
        <w:tc>
          <w:tcPr>
            <w:tcW w:w="626"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62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211</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63.9%</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152</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64.1%</w:t>
            </w:r>
          </w:p>
        </w:tc>
        <w:tc>
          <w:tcPr>
            <w:tcW w:w="62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363</w:t>
            </w:r>
          </w:p>
        </w:tc>
        <w:tc>
          <w:tcPr>
            <w:tcW w:w="62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64.0%</w:t>
            </w:r>
          </w:p>
        </w:tc>
      </w:tr>
    </w:tbl>
    <w:p>
      <w:pPr>
        <w:pStyle w:val="0"/>
        <w:rPr>
          <w:rFonts w:hint="default"/>
        </w:rPr>
      </w:pPr>
    </w:p>
    <w:tbl>
      <w:tblPr>
        <w:tblStyle w:val="1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73"/>
        <w:gridCol w:w="1173"/>
        <w:gridCol w:w="1173"/>
        <w:gridCol w:w="1172"/>
        <w:gridCol w:w="1172"/>
        <w:gridCol w:w="1172"/>
        <w:gridCol w:w="1172"/>
        <w:gridCol w:w="1166"/>
      </w:tblGrid>
      <w:tr>
        <w:trPr>
          <w:trHeight w:val="25" w:hRule="atLeast"/>
        </w:trPr>
        <w:tc>
          <w:tcPr>
            <w:tcW w:w="1251" w:type="pct"/>
            <w:gridSpan w:val="2"/>
            <w:vMerge w:val="restart"/>
            <w:shd w:val="clear" w:color="auto" w:fill="CCD6FF"/>
            <w:tcMar>
              <w:top w:w="28" w:type="dxa"/>
              <w:left w:w="28" w:type="dxa"/>
              <w:bottom w:w="28" w:type="dxa"/>
              <w:right w:w="28" w:type="dxa"/>
            </w:tcMar>
            <w:vAlign w:val="center"/>
          </w:tcPr>
          <w:p>
            <w:pPr>
              <w:pStyle w:val="0"/>
              <w:jc w:val="center"/>
              <w:rPr>
                <w:rFonts w:hint="default"/>
              </w:rPr>
            </w:pPr>
          </w:p>
        </w:tc>
        <w:tc>
          <w:tcPr>
            <w:tcW w:w="1249"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男性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女性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合計</w:t>
            </w:r>
          </w:p>
        </w:tc>
      </w:tr>
      <w:tr>
        <w:trPr>
          <w:trHeight w:val="25" w:hRule="atLeast"/>
        </w:trPr>
        <w:tc>
          <w:tcPr>
            <w:tcW w:w="1251" w:type="pct"/>
            <w:gridSpan w:val="2"/>
            <w:vMerge w:val="continue"/>
            <w:shd w:val="clear" w:color="auto" w:fill="CCD6FF"/>
            <w:tcMar>
              <w:top w:w="28" w:type="dxa"/>
              <w:left w:w="28" w:type="dxa"/>
              <w:bottom w:w="28" w:type="dxa"/>
              <w:right w:w="28" w:type="dxa"/>
            </w:tcMar>
            <w:vAlign w:val="center"/>
          </w:tcPr>
          <w:p>
            <w:pPr>
              <w:pStyle w:val="0"/>
              <w:jc w:val="center"/>
              <w:rPr>
                <w:rFonts w:hint="default"/>
              </w:rPr>
            </w:pPr>
          </w:p>
        </w:tc>
        <w:tc>
          <w:tcPr>
            <w:tcW w:w="626"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2"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r>
      <w:tr>
        <w:trPr>
          <w:trHeight w:val="25" w:hRule="atLeast"/>
        </w:trPr>
        <w:tc>
          <w:tcPr>
            <w:tcW w:w="1251" w:type="pct"/>
            <w:gridSpan w:val="2"/>
            <w:shd w:val="clear" w:color="auto" w:fill="auto"/>
            <w:tcMar>
              <w:top w:w="28" w:type="dxa"/>
              <w:left w:w="28" w:type="dxa"/>
              <w:bottom w:w="28" w:type="dxa"/>
              <w:right w:w="28" w:type="dxa"/>
            </w:tcMar>
            <w:vAlign w:val="center"/>
          </w:tcPr>
          <w:p>
            <w:pPr>
              <w:pStyle w:val="0"/>
              <w:rPr>
                <w:rFonts w:hint="default"/>
              </w:rPr>
            </w:pPr>
            <w:r>
              <w:rPr>
                <w:rFonts w:hint="default"/>
              </w:rPr>
              <w:t>人工透析</w:t>
            </w:r>
          </w:p>
        </w:tc>
        <w:tc>
          <w:tcPr>
            <w:tcW w:w="626" w:type="pct"/>
            <w:shd w:val="clear" w:color="auto" w:fill="auto"/>
            <w:tcMar>
              <w:top w:w="28" w:type="dxa"/>
              <w:left w:w="28" w:type="dxa"/>
              <w:bottom w:w="28" w:type="dxa"/>
              <w:right w:w="28" w:type="dxa"/>
            </w:tcMar>
            <w:vAlign w:val="center"/>
          </w:tcPr>
          <w:p>
            <w:pPr>
              <w:pStyle w:val="0"/>
              <w:jc w:val="right"/>
              <w:rPr>
                <w:rFonts w:hint="default"/>
              </w:rPr>
            </w:pPr>
            <w:r>
              <w:rPr>
                <w:rFonts w:hint="default"/>
              </w:rPr>
              <w:t>75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101</w:t>
            </w:r>
          </w:p>
        </w:tc>
        <w:tc>
          <w:tcPr>
            <w:tcW w:w="622"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626"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基礎疾患</w:t>
            </w:r>
          </w:p>
        </w:tc>
        <w:tc>
          <w:tcPr>
            <w:tcW w:w="626"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626" w:type="pct"/>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68.0%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61.5%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67</w:t>
            </w:r>
          </w:p>
        </w:tc>
        <w:tc>
          <w:tcPr>
            <w:tcW w:w="622" w:type="pct"/>
            <w:shd w:val="clear" w:color="auto" w:fill="auto"/>
            <w:tcMar>
              <w:top w:w="28" w:type="dxa"/>
              <w:left w:w="28" w:type="dxa"/>
              <w:bottom w:w="28" w:type="dxa"/>
              <w:right w:w="28" w:type="dxa"/>
            </w:tcMar>
            <w:vAlign w:val="center"/>
          </w:tcPr>
          <w:p>
            <w:pPr>
              <w:pStyle w:val="0"/>
              <w:jc w:val="right"/>
              <w:rPr>
                <w:rFonts w:hint="default"/>
              </w:rPr>
            </w:pPr>
            <w:r>
              <w:rPr>
                <w:rFonts w:hint="default"/>
              </w:rPr>
              <w:t>66.3%</w:t>
            </w:r>
          </w:p>
        </w:tc>
      </w:tr>
      <w:tr>
        <w:trPr>
          <w:trHeight w:val="42" w:hRule="atLeast"/>
        </w:trPr>
        <w:tc>
          <w:tcPr>
            <w:tcW w:w="626" w:type="pct"/>
            <w:vMerge w:val="continue"/>
            <w:shd w:val="clear" w:color="auto" w:fill="auto"/>
            <w:tcMar>
              <w:top w:w="28" w:type="dxa"/>
              <w:left w:w="28" w:type="dxa"/>
              <w:bottom w:w="28" w:type="dxa"/>
              <w:right w:w="28" w:type="dxa"/>
            </w:tcMar>
            <w:vAlign w:val="center"/>
          </w:tcPr>
          <w:p>
            <w:pPr>
              <w:pStyle w:val="0"/>
              <w:rPr>
                <w:rFonts w:hint="default"/>
              </w:rPr>
            </w:pPr>
          </w:p>
        </w:tc>
        <w:tc>
          <w:tcPr>
            <w:tcW w:w="626"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626" w:type="pct"/>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86.7%</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100.0%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91</w:t>
            </w:r>
          </w:p>
        </w:tc>
        <w:tc>
          <w:tcPr>
            <w:tcW w:w="622" w:type="pct"/>
            <w:shd w:val="clear" w:color="auto" w:fill="auto"/>
            <w:tcMar>
              <w:top w:w="28" w:type="dxa"/>
              <w:left w:w="28" w:type="dxa"/>
              <w:bottom w:w="28" w:type="dxa"/>
              <w:right w:w="28" w:type="dxa"/>
            </w:tcMar>
            <w:vAlign w:val="center"/>
          </w:tcPr>
          <w:p>
            <w:pPr>
              <w:pStyle w:val="0"/>
              <w:jc w:val="right"/>
              <w:rPr>
                <w:rFonts w:hint="default"/>
              </w:rPr>
            </w:pPr>
            <w:r>
              <w:rPr>
                <w:rFonts w:hint="default"/>
              </w:rPr>
              <w:t>90.1%</w:t>
            </w:r>
          </w:p>
        </w:tc>
      </w:tr>
      <w:tr>
        <w:trPr>
          <w:trHeight w:val="42" w:hRule="atLeast"/>
        </w:trPr>
        <w:tc>
          <w:tcPr>
            <w:tcW w:w="626" w:type="pct"/>
            <w:vMerge w:val="continue"/>
            <w:shd w:val="clear" w:color="auto" w:fill="auto"/>
            <w:tcMar>
              <w:top w:w="28" w:type="dxa"/>
              <w:left w:w="28" w:type="dxa"/>
              <w:bottom w:w="28" w:type="dxa"/>
              <w:right w:w="28" w:type="dxa"/>
            </w:tcMar>
            <w:vAlign w:val="center"/>
          </w:tcPr>
          <w:p>
            <w:pPr>
              <w:pStyle w:val="0"/>
              <w:rPr>
                <w:rFonts w:hint="default"/>
              </w:rPr>
            </w:pPr>
          </w:p>
        </w:tc>
        <w:tc>
          <w:tcPr>
            <w:tcW w:w="626"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626"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45.3%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42.3%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45</w:t>
            </w:r>
          </w:p>
        </w:tc>
        <w:tc>
          <w:tcPr>
            <w:tcW w:w="622" w:type="pct"/>
            <w:shd w:val="clear" w:color="auto" w:fill="auto"/>
            <w:tcMar>
              <w:top w:w="28" w:type="dxa"/>
              <w:left w:w="28" w:type="dxa"/>
              <w:bottom w:w="28" w:type="dxa"/>
              <w:right w:w="28" w:type="dxa"/>
            </w:tcMar>
            <w:vAlign w:val="center"/>
          </w:tcPr>
          <w:p>
            <w:pPr>
              <w:pStyle w:val="0"/>
              <w:jc w:val="right"/>
              <w:rPr>
                <w:rFonts w:hint="default"/>
              </w:rPr>
            </w:pPr>
            <w:r>
              <w:rPr>
                <w:rFonts w:hint="default"/>
              </w:rPr>
              <w:t>44.6%</w:t>
            </w:r>
          </w:p>
        </w:tc>
      </w:tr>
    </w:tbl>
    <w:p>
      <w:pPr>
        <w:pStyle w:val="44"/>
        <w:rPr>
          <w:rFonts w:hint="default"/>
        </w:rPr>
      </w:pPr>
      <w:bookmarkStart w:id="145" w:name="_Hlk136414451"/>
      <w:r>
        <w:rPr>
          <w:rFonts w:hint="default"/>
        </w:rPr>
        <w:t>【出典】</w:t>
      </w:r>
      <w:r>
        <w:rPr>
          <w:rFonts w:hint="default"/>
        </w:rPr>
        <w:t>KDB</w:t>
      </w:r>
      <w:r>
        <w:rPr>
          <w:rFonts w:hint="default"/>
        </w:rPr>
        <w:t>帳票</w:t>
      </w:r>
      <w:r>
        <w:rPr>
          <w:rFonts w:hint="default"/>
        </w:rPr>
        <w:t xml:space="preserve"> S21_018-</w:t>
      </w:r>
      <w:r>
        <w:rPr>
          <w:rFonts w:hint="default"/>
        </w:rPr>
        <w:t>厚生労働省様式（様式</w:t>
      </w:r>
      <w:r>
        <w:rPr>
          <w:rFonts w:hint="default"/>
        </w:rPr>
        <w:t>3-5</w:t>
      </w:r>
      <w:r>
        <w:rPr>
          <w:rFonts w:hint="default"/>
        </w:rPr>
        <w:t>）</w:t>
      </w:r>
      <w:r>
        <w:rPr>
          <w:rFonts w:hint="default"/>
        </w:rPr>
        <w:t xml:space="preserve"> </w:t>
      </w:r>
      <w:r>
        <w:rPr>
          <w:rFonts w:hint="default"/>
        </w:rPr>
        <w:t>令和</w:t>
      </w:r>
      <w:r>
        <w:rPr>
          <w:rFonts w:hint="eastAsia"/>
        </w:rPr>
        <w:t>5</w:t>
      </w:r>
      <w:r>
        <w:rPr>
          <w:rFonts w:hint="default"/>
        </w:rPr>
        <w:t>年</w:t>
      </w:r>
      <w:r>
        <w:rPr>
          <w:rFonts w:hint="default"/>
        </w:rPr>
        <w:t>5</w:t>
      </w:r>
      <w:r>
        <w:rPr>
          <w:rFonts w:hint="default"/>
        </w:rPr>
        <w:t>月</w:t>
      </w:r>
    </w:p>
    <w:p>
      <w:pPr>
        <w:pStyle w:val="44"/>
        <w:rPr>
          <w:rFonts w:hint="default"/>
        </w:rPr>
      </w:pPr>
      <w:r>
        <w:rPr>
          <w:rFonts w:hint="default"/>
        </w:rPr>
        <w:t>KDB</w:t>
      </w:r>
      <w:r>
        <w:rPr>
          <w:rFonts w:hint="default"/>
        </w:rPr>
        <w:t>帳票</w:t>
      </w:r>
      <w:r>
        <w:rPr>
          <w:rFonts w:hint="default"/>
        </w:rPr>
        <w:t xml:space="preserve"> S21_019-</w:t>
      </w:r>
      <w:r>
        <w:rPr>
          <w:rFonts w:hint="default"/>
        </w:rPr>
        <w:t>厚生労働省様式（様式</w:t>
      </w:r>
      <w:r>
        <w:rPr>
          <w:rFonts w:hint="default"/>
        </w:rPr>
        <w:t>3-6</w:t>
      </w:r>
      <w:r>
        <w:rPr>
          <w:rFonts w:hint="default"/>
        </w:rPr>
        <w:t>）</w:t>
      </w:r>
      <w:r>
        <w:rPr>
          <w:rFonts w:hint="default"/>
        </w:rPr>
        <w:t xml:space="preserve"> </w:t>
      </w:r>
      <w:r>
        <w:rPr>
          <w:rFonts w:hint="default"/>
        </w:rPr>
        <w:t>令和</w:t>
      </w:r>
      <w:r>
        <w:rPr>
          <w:rFonts w:hint="eastAsia"/>
        </w:rPr>
        <w:t>5</w:t>
      </w:r>
      <w:r>
        <w:rPr>
          <w:rFonts w:hint="default"/>
        </w:rPr>
        <w:t>年</w:t>
      </w:r>
      <w:r>
        <w:rPr>
          <w:rFonts w:hint="default"/>
        </w:rPr>
        <w:t>5</w:t>
      </w:r>
      <w:r>
        <w:rPr>
          <w:rFonts w:hint="default"/>
        </w:rPr>
        <w:t>月</w:t>
      </w:r>
    </w:p>
    <w:p>
      <w:pPr>
        <w:pStyle w:val="44"/>
        <w:rPr>
          <w:rFonts w:hint="default"/>
        </w:rPr>
      </w:pPr>
      <w:r>
        <w:rPr>
          <w:rFonts w:hint="default"/>
        </w:rPr>
        <w:t>KDB</w:t>
      </w:r>
      <w:r>
        <w:rPr>
          <w:rFonts w:hint="default"/>
        </w:rPr>
        <w:t>帳票</w:t>
      </w:r>
      <w:r>
        <w:rPr>
          <w:rFonts w:hint="default"/>
        </w:rPr>
        <w:t xml:space="preserve"> S21_020-</w:t>
      </w:r>
      <w:r>
        <w:rPr>
          <w:rFonts w:hint="default"/>
        </w:rPr>
        <w:t>厚生労働省様式（様式</w:t>
      </w:r>
      <w:r>
        <w:rPr>
          <w:rFonts w:hint="default"/>
        </w:rPr>
        <w:t>3-7</w:t>
      </w:r>
      <w:r>
        <w:rPr>
          <w:rFonts w:hint="default"/>
        </w:rPr>
        <w:t>）</w:t>
      </w:r>
      <w:r>
        <w:rPr>
          <w:rFonts w:hint="default"/>
        </w:rPr>
        <w:t xml:space="preserve"> </w:t>
      </w:r>
      <w:r>
        <w:rPr>
          <w:rFonts w:hint="default"/>
        </w:rPr>
        <w:t>令和</w:t>
      </w:r>
      <w:r>
        <w:rPr>
          <w:rFonts w:hint="eastAsia"/>
        </w:rPr>
        <w:t>5</w:t>
      </w:r>
      <w:r>
        <w:rPr>
          <w:rFonts w:hint="default"/>
        </w:rPr>
        <w:t>年</w:t>
      </w:r>
      <w:r>
        <w:rPr>
          <w:rFonts w:hint="default"/>
        </w:rPr>
        <w:t>5</w:t>
      </w:r>
      <w:r>
        <w:rPr>
          <w:rFonts w:hint="default"/>
        </w:rPr>
        <w:t>月</w:t>
      </w:r>
    </w:p>
    <w:p>
      <w:pPr>
        <w:pStyle w:val="0"/>
        <w:rPr>
          <w:rFonts w:hint="default"/>
        </w:rPr>
      </w:pPr>
      <w:bookmarkEnd w:id="145"/>
      <w:r>
        <w:rPr>
          <w:rFonts w:hint="default"/>
        </w:rPr>
        <w:br w:type="page"/>
      </w:r>
    </w:p>
    <w:p>
      <w:pPr>
        <w:pStyle w:val="4"/>
        <w:rPr>
          <w:rFonts w:hint="default"/>
        </w:rPr>
      </w:pPr>
      <w:r>
        <w:rPr>
          <w:rFonts w:hint="eastAsia"/>
        </w:rPr>
        <w:t>基礎疾患の有病状況【県の共通指標】</w:t>
      </w:r>
    </w:p>
    <w:p>
      <w:pPr>
        <w:pStyle w:val="39"/>
        <w:ind w:firstLine="200"/>
        <w:rPr>
          <w:rFonts w:hint="default"/>
        </w:rPr>
      </w:pPr>
      <w:r>
        <w:rPr>
          <w:rFonts w:hint="eastAsia"/>
        </w:rPr>
        <w:t>また、令和</w:t>
      </w:r>
      <w:r>
        <w:rPr>
          <w:rFonts w:hint="default"/>
        </w:rPr>
        <w:t>4</w:t>
      </w:r>
      <w:r>
        <w:rPr>
          <w:rFonts w:hint="default"/>
        </w:rPr>
        <w:t>年度</w:t>
      </w:r>
      <w:r>
        <w:rPr>
          <w:rFonts w:hint="default"/>
        </w:rPr>
        <w:t>3</w:t>
      </w:r>
      <w:r>
        <w:rPr>
          <w:rFonts w:hint="default"/>
        </w:rPr>
        <w:t>月時点</w:t>
      </w:r>
      <w:r>
        <w:rPr>
          <w:rFonts w:hint="eastAsia"/>
        </w:rPr>
        <w:t>で</w:t>
      </w:r>
      <w:r>
        <w:rPr>
          <w:rFonts w:hint="default"/>
        </w:rPr>
        <w:t>の被保険者における基礎疾患の有病</w:t>
      </w:r>
      <w:r>
        <w:rPr>
          <w:rFonts w:hint="eastAsia"/>
        </w:rPr>
        <w:t>者</w:t>
      </w:r>
      <w:r>
        <w:rPr>
          <w:rFonts w:hint="default"/>
        </w:rPr>
        <w:t>数</w:t>
      </w:r>
      <w:r>
        <w:rPr>
          <w:rFonts w:hint="eastAsia"/>
        </w:rPr>
        <w:t>及びその</w:t>
      </w:r>
      <w:r>
        <w:rPr>
          <w:rFonts w:hint="default"/>
        </w:rPr>
        <w:t>割合は（</w:t>
      </w:r>
      <w:r>
        <w:rPr>
          <w:rFonts w:hint="eastAsia"/>
        </w:rPr>
        <w:fldChar w:fldCharType="begin"/>
      </w:r>
      <w:r>
        <w:rPr>
          <w:rFonts w:hint="eastAsia"/>
        </w:rPr>
        <w:instrText xml:space="preserve">REF _Ref122534521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5</w:t>
      </w:r>
      <w:r>
        <w:rPr>
          <w:rFonts w:hint="eastAsia"/>
        </w:rPr>
        <w:t>-</w:t>
      </w:r>
      <w:r>
        <w:rPr>
          <w:rFonts w:hint="default"/>
        </w:rPr>
        <w:t>2</w:t>
      </w:r>
      <w:r>
        <w:rPr>
          <w:rFonts w:hint="eastAsia"/>
        </w:rPr>
        <w:fldChar w:fldCharType="end"/>
      </w:r>
      <w:r>
        <w:rPr>
          <w:rFonts w:hint="default"/>
        </w:rPr>
        <w:t>）、</w:t>
      </w:r>
      <w:r>
        <w:rPr>
          <w:rFonts w:hint="eastAsia"/>
        </w:rPr>
        <w:t>「</w:t>
      </w:r>
      <w:r>
        <w:rPr>
          <w:rFonts w:hint="default"/>
        </w:rPr>
        <w:t>糖尿病</w:t>
      </w:r>
      <w:r>
        <w:rPr>
          <w:rFonts w:hint="eastAsia"/>
        </w:rPr>
        <w:t>」</w:t>
      </w:r>
      <w:r>
        <w:rPr>
          <w:rFonts w:hint="default"/>
        </w:rPr>
        <w:t>が</w:t>
      </w:r>
      <w:r>
        <w:rPr>
          <w:rFonts w:hint="default"/>
        </w:rPr>
        <w:t>2,586</w:t>
      </w:r>
      <w:r>
        <w:rPr>
          <w:rFonts w:hint="default"/>
        </w:rPr>
        <w:t>人（</w:t>
      </w:r>
      <w:r>
        <w:rPr>
          <w:rFonts w:hint="default"/>
        </w:rPr>
        <w:t>13.8%</w:t>
      </w:r>
      <w:r>
        <w:rPr>
          <w:rFonts w:hint="default"/>
        </w:rPr>
        <w:t>）、</w:t>
      </w:r>
      <w:r>
        <w:rPr>
          <w:rFonts w:hint="eastAsia"/>
        </w:rPr>
        <w:t>「</w:t>
      </w:r>
      <w:r>
        <w:rPr>
          <w:rFonts w:hint="default"/>
        </w:rPr>
        <w:t>高血圧症</w:t>
      </w:r>
      <w:r>
        <w:rPr>
          <w:rFonts w:hint="eastAsia"/>
        </w:rPr>
        <w:t>」</w:t>
      </w:r>
      <w:r>
        <w:rPr>
          <w:rFonts w:hint="default"/>
        </w:rPr>
        <w:t>が</w:t>
      </w:r>
      <w:r>
        <w:rPr>
          <w:rFonts w:hint="default"/>
        </w:rPr>
        <w:t>3,608</w:t>
      </w:r>
      <w:r>
        <w:rPr>
          <w:rFonts w:hint="default"/>
        </w:rPr>
        <w:t>人（</w:t>
      </w:r>
      <w:r>
        <w:rPr>
          <w:rFonts w:hint="default"/>
        </w:rPr>
        <w:t>19.3%</w:t>
      </w:r>
      <w:r>
        <w:rPr>
          <w:rFonts w:hint="default"/>
        </w:rPr>
        <w:t>）、</w:t>
      </w:r>
      <w:r>
        <w:rPr>
          <w:rFonts w:hint="eastAsia"/>
        </w:rPr>
        <w:t>「</w:t>
      </w:r>
      <w:r>
        <w:rPr>
          <w:rFonts w:hint="default"/>
        </w:rPr>
        <w:t>脂質異常症</w:t>
      </w:r>
      <w:r>
        <w:rPr>
          <w:rFonts w:hint="eastAsia"/>
        </w:rPr>
        <w:t>」</w:t>
      </w:r>
      <w:r>
        <w:rPr>
          <w:rFonts w:hint="default"/>
        </w:rPr>
        <w:t>が</w:t>
      </w:r>
      <w:r>
        <w:rPr>
          <w:rFonts w:hint="default"/>
        </w:rPr>
        <w:t>3,144</w:t>
      </w:r>
      <w:r>
        <w:rPr>
          <w:rFonts w:hint="default"/>
        </w:rPr>
        <w:t>人（</w:t>
      </w:r>
      <w:r>
        <w:rPr>
          <w:rFonts w:hint="default"/>
        </w:rPr>
        <w:t>16.8%</w:t>
      </w:r>
      <w:r>
        <w:rPr>
          <w:rFonts w:hint="default"/>
        </w:rPr>
        <w:t>）となっている。</w:t>
      </w:r>
      <w:r>
        <w:rPr>
          <w:rFonts w:hint="eastAsia"/>
        </w:rPr>
        <w:t>また、県の共通指標である</w:t>
      </w:r>
      <w:r>
        <w:rPr>
          <w:rFonts w:hint="default"/>
        </w:rPr>
        <w:t>40-74</w:t>
      </w:r>
      <w:r>
        <w:rPr>
          <w:rFonts w:hint="default"/>
        </w:rPr>
        <w:t>歳の糖尿病と高血圧症の有病者数とその割合</w:t>
      </w:r>
      <w:r>
        <w:rPr>
          <w:rFonts w:hint="eastAsia"/>
        </w:rPr>
        <w:t>(</w:t>
      </w:r>
      <w:r>
        <w:rPr>
          <w:rFonts w:hint="eastAsia"/>
        </w:rPr>
        <w:fldChar w:fldCharType="begin"/>
      </w:r>
      <w:r>
        <w:rPr>
          <w:rFonts w:hint="eastAsia"/>
        </w:rPr>
        <w:instrText xml:space="preserve">REF _Ref130884552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5</w:t>
      </w:r>
      <w:r>
        <w:rPr>
          <w:rFonts w:hint="eastAsia"/>
        </w:rPr>
        <w:t>-</w:t>
      </w:r>
      <w:r>
        <w:rPr>
          <w:rFonts w:hint="default"/>
        </w:rPr>
        <w:t>3</w:t>
      </w:r>
      <w:r>
        <w:rPr>
          <w:rFonts w:hint="eastAsia"/>
        </w:rPr>
        <w:fldChar w:fldCharType="end"/>
      </w:r>
      <w:r>
        <w:rPr>
          <w:rFonts w:hint="eastAsia"/>
        </w:rPr>
        <w:t>)</w:t>
      </w:r>
      <w:r>
        <w:rPr>
          <w:rFonts w:hint="default"/>
        </w:rPr>
        <w:t>は、「糖尿病」が</w:t>
      </w:r>
      <w:r>
        <w:rPr>
          <w:rFonts w:hint="default"/>
        </w:rPr>
        <w:t>70</w:t>
      </w:r>
      <w:r>
        <w:rPr>
          <w:rFonts w:hint="default"/>
        </w:rPr>
        <w:t>人（</w:t>
      </w:r>
      <w:r>
        <w:rPr>
          <w:rFonts w:hint="default"/>
        </w:rPr>
        <w:t>0.5%</w:t>
      </w:r>
      <w:r>
        <w:rPr>
          <w:rFonts w:hint="default"/>
        </w:rPr>
        <w:t>）、「高血圧症」が</w:t>
      </w:r>
      <w:r>
        <w:rPr>
          <w:rFonts w:hint="default"/>
        </w:rPr>
        <w:t>70</w:t>
      </w:r>
      <w:r>
        <w:rPr>
          <w:rFonts w:hint="default"/>
        </w:rPr>
        <w:t>人（</w:t>
      </w:r>
      <w:r>
        <w:rPr>
          <w:rFonts w:hint="default"/>
        </w:rPr>
        <w:t>0.5%</w:t>
      </w:r>
      <w:r>
        <w:rPr>
          <w:rFonts w:hint="default"/>
        </w:rPr>
        <w:t>）となっている。</w:t>
      </w:r>
    </w:p>
    <w:p>
      <w:pPr>
        <w:pStyle w:val="0"/>
        <w:rPr>
          <w:rFonts w:hint="default"/>
        </w:rPr>
      </w:pPr>
    </w:p>
    <w:p>
      <w:pPr>
        <w:pStyle w:val="38"/>
        <w:rPr>
          <w:rFonts w:hint="default"/>
        </w:rPr>
      </w:pPr>
      <w:bookmarkStart w:id="146" w:name="_Ref122534521"/>
      <w:bookmarkStart w:id="147" w:name="_Toc12493683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146"/>
      <w:r>
        <w:rPr>
          <w:rFonts w:hint="default"/>
        </w:rPr>
        <w:t>：基礎疾患の有病状況</w:t>
      </w:r>
      <w:bookmarkEnd w:id="147"/>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71"/>
        <w:gridCol w:w="1172"/>
        <w:gridCol w:w="1172"/>
        <w:gridCol w:w="1172"/>
        <w:gridCol w:w="1172"/>
        <w:gridCol w:w="1172"/>
        <w:gridCol w:w="1172"/>
        <w:gridCol w:w="1172"/>
      </w:tblGrid>
      <w:tr>
        <w:trPr>
          <w:trHeight w:val="25" w:hRule="atLeast"/>
        </w:trPr>
        <w:tc>
          <w:tcPr>
            <w:tcW w:w="1250" w:type="pct"/>
            <w:gridSpan w:val="2"/>
            <w:vMerge w:val="restart"/>
            <w:shd w:val="clear" w:color="auto" w:fill="CCD6FF"/>
            <w:tcMar>
              <w:top w:w="28" w:type="dxa"/>
              <w:left w:w="28" w:type="dxa"/>
              <w:bottom w:w="28" w:type="dxa"/>
              <w:right w:w="28" w:type="dxa"/>
            </w:tcMar>
            <w:vAlign w:val="center"/>
          </w:tcPr>
          <w:p>
            <w:pPr>
              <w:pStyle w:val="0"/>
              <w:jc w:val="center"/>
              <w:rPr>
                <w:rFonts w:hint="default"/>
              </w:rPr>
            </w:pP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男性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女性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合計</w:t>
            </w:r>
          </w:p>
        </w:tc>
      </w:tr>
      <w:tr>
        <w:trPr>
          <w:trHeight w:val="25" w:hRule="atLeast"/>
        </w:trPr>
        <w:tc>
          <w:tcPr>
            <w:tcW w:w="1250" w:type="pct"/>
            <w:gridSpan w:val="2"/>
            <w:vMerge w:val="continue"/>
            <w:shd w:val="clear" w:color="auto" w:fill="CCD6FF"/>
            <w:tcMar>
              <w:top w:w="28" w:type="dxa"/>
              <w:left w:w="28" w:type="dxa"/>
              <w:bottom w:w="28" w:type="dxa"/>
              <w:right w:w="28" w:type="dxa"/>
            </w:tcMar>
            <w:vAlign w:val="center"/>
          </w:tcPr>
          <w:p>
            <w:pPr>
              <w:pStyle w:val="0"/>
              <w:jc w:val="center"/>
              <w:rPr>
                <w:rFonts w:hint="default"/>
              </w:rPr>
            </w:pP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r>
      <w:tr>
        <w:trPr>
          <w:trHeight w:val="25" w:hRule="atLeast"/>
        </w:trPr>
        <w:tc>
          <w:tcPr>
            <w:tcW w:w="1250" w:type="pct"/>
            <w:gridSpan w:val="2"/>
            <w:shd w:val="clear" w:color="auto" w:fill="auto"/>
            <w:tcMar>
              <w:top w:w="28" w:type="dxa"/>
              <w:left w:w="28" w:type="dxa"/>
              <w:bottom w:w="28" w:type="dxa"/>
              <w:right w:w="28" w:type="dxa"/>
            </w:tcMar>
            <w:vAlign w:val="center"/>
          </w:tcPr>
          <w:p>
            <w:pPr>
              <w:pStyle w:val="0"/>
              <w:rPr>
                <w:rFonts w:hint="default"/>
              </w:rPr>
            </w:pPr>
            <w:r>
              <w:rPr>
                <w:rFonts w:hint="eastAsia"/>
              </w:rPr>
              <w:t>被保険者数</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9,794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8,911</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18,705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30" w:hRule="atLeast"/>
        </w:trPr>
        <w:tc>
          <w:tcPr>
            <w:tcW w:w="625"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基礎疾患</w:t>
            </w: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1,426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14.6%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1,160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13.0%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2,586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13.8%</w:t>
            </w:r>
          </w:p>
        </w:tc>
      </w:tr>
      <w:tr>
        <w:trPr>
          <w:trHeight w:val="20" w:hRule="atLeast"/>
        </w:trPr>
        <w:tc>
          <w:tcPr>
            <w:tcW w:w="625" w:type="pct"/>
            <w:vMerge w:val="continue"/>
            <w:shd w:val="clear" w:color="auto" w:fill="auto"/>
            <w:tcMar>
              <w:top w:w="28" w:type="dxa"/>
              <w:left w:w="28" w:type="dxa"/>
              <w:bottom w:w="28" w:type="dxa"/>
              <w:right w:w="28" w:type="dxa"/>
            </w:tcMar>
            <w:vAlign w:val="center"/>
          </w:tcPr>
          <w:p>
            <w:pPr>
              <w:pStyle w:val="0"/>
              <w:rPr>
                <w:rFonts w:hint="default"/>
              </w:rPr>
            </w:pP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1,916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19.6%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1,692</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19.0%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3,608</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19.3%</w:t>
            </w:r>
          </w:p>
        </w:tc>
      </w:tr>
      <w:tr>
        <w:trPr>
          <w:trHeight w:val="20" w:hRule="atLeast"/>
        </w:trPr>
        <w:tc>
          <w:tcPr>
            <w:tcW w:w="625" w:type="pct"/>
            <w:vMerge w:val="continue"/>
            <w:shd w:val="clear" w:color="auto" w:fill="auto"/>
            <w:tcMar>
              <w:top w:w="28" w:type="dxa"/>
              <w:left w:w="28" w:type="dxa"/>
              <w:bottom w:w="28" w:type="dxa"/>
              <w:right w:w="28" w:type="dxa"/>
            </w:tcMar>
            <w:vAlign w:val="center"/>
          </w:tcPr>
          <w:p>
            <w:pPr>
              <w:pStyle w:val="0"/>
              <w:rPr>
                <w:rFonts w:hint="default"/>
              </w:rPr>
            </w:pP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1,512</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15.4%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1,632</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18.3%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3,144</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16.8%</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S21_014-</w:t>
      </w:r>
      <w:r>
        <w:rPr>
          <w:rFonts w:hint="eastAsia"/>
        </w:rPr>
        <w:t>厚生労働省様式（様式</w:t>
      </w:r>
      <w:r>
        <w:rPr>
          <w:rFonts w:hint="eastAsia"/>
        </w:rPr>
        <w:t>3</w:t>
      </w:r>
      <w:r>
        <w:rPr>
          <w:rFonts w:hint="default"/>
        </w:rPr>
        <w:t>-1</w:t>
      </w:r>
      <w:r>
        <w:rPr>
          <w:rFonts w:hint="eastAsia"/>
        </w:rPr>
        <w:t>）</w:t>
      </w:r>
      <w:r>
        <w:rPr>
          <w:rFonts w:hint="default"/>
        </w:rPr>
        <w:t xml:space="preserve"> </w:t>
      </w:r>
      <w:r>
        <w:rPr>
          <w:rFonts w:hint="default"/>
        </w:rPr>
        <w:t>令和</w:t>
      </w:r>
      <w:r>
        <w:rPr>
          <w:rFonts w:hint="eastAsia"/>
        </w:rPr>
        <w:t>5</w:t>
      </w:r>
      <w:r>
        <w:rPr>
          <w:rFonts w:hint="default"/>
        </w:rPr>
        <w:t>年</w:t>
      </w:r>
      <w:r>
        <w:rPr>
          <w:rFonts w:hint="default"/>
        </w:rPr>
        <w:t>5</w:t>
      </w:r>
      <w:r>
        <w:rPr>
          <w:rFonts w:hint="default"/>
        </w:rPr>
        <w:t>月</w:t>
      </w:r>
    </w:p>
    <w:p>
      <w:pPr>
        <w:pStyle w:val="0"/>
        <w:rPr>
          <w:rFonts w:hint="default"/>
        </w:rPr>
      </w:pPr>
    </w:p>
    <w:p>
      <w:pPr>
        <w:pStyle w:val="38"/>
        <w:rPr>
          <w:rFonts w:hint="default"/>
        </w:rPr>
      </w:pPr>
      <w:bookmarkStart w:id="148" w:name="_Ref13088455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148"/>
      <w:r>
        <w:rPr>
          <w:rFonts w:hint="default"/>
        </w:rPr>
        <w:t>：</w:t>
      </w:r>
      <w:r>
        <w:rPr>
          <w:rFonts w:hint="eastAsia"/>
        </w:rPr>
        <w:t>40</w:t>
      </w:r>
      <w:r>
        <w:rPr>
          <w:rFonts w:hint="eastAsia"/>
        </w:rPr>
        <w:t>歳</w:t>
      </w:r>
      <w:r>
        <w:rPr>
          <w:rFonts w:hint="eastAsia"/>
        </w:rPr>
        <w:t>-74</w:t>
      </w:r>
      <w:r>
        <w:rPr>
          <w:rFonts w:hint="eastAsia"/>
        </w:rPr>
        <w:t>歳の糖尿病と高血圧</w:t>
      </w:r>
      <w:r>
        <w:rPr>
          <w:rFonts w:hint="default"/>
        </w:rPr>
        <w:t>の有病状況</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71"/>
        <w:gridCol w:w="1172"/>
        <w:gridCol w:w="1172"/>
        <w:gridCol w:w="1172"/>
        <w:gridCol w:w="1172"/>
        <w:gridCol w:w="1172"/>
        <w:gridCol w:w="1172"/>
        <w:gridCol w:w="1172"/>
      </w:tblGrid>
      <w:tr>
        <w:trPr>
          <w:trHeight w:val="25" w:hRule="atLeast"/>
        </w:trPr>
        <w:tc>
          <w:tcPr>
            <w:tcW w:w="1250" w:type="pct"/>
            <w:gridSpan w:val="2"/>
            <w:vMerge w:val="restart"/>
            <w:shd w:val="clear" w:color="auto" w:fill="CCD6FF"/>
            <w:tcMar>
              <w:top w:w="28" w:type="dxa"/>
              <w:left w:w="28" w:type="dxa"/>
              <w:bottom w:w="28" w:type="dxa"/>
              <w:right w:w="28" w:type="dxa"/>
            </w:tcMar>
            <w:vAlign w:val="center"/>
          </w:tcPr>
          <w:p>
            <w:pPr>
              <w:pStyle w:val="0"/>
              <w:jc w:val="center"/>
              <w:rPr>
                <w:rFonts w:hint="default"/>
              </w:rPr>
            </w:pP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男性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女性</w:t>
            </w:r>
          </w:p>
        </w:tc>
        <w:tc>
          <w:tcPr>
            <w:tcW w:w="1250" w:type="pct"/>
            <w:gridSpan w:val="2"/>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合計</w:t>
            </w:r>
          </w:p>
        </w:tc>
      </w:tr>
      <w:tr>
        <w:trPr>
          <w:trHeight w:val="25" w:hRule="atLeast"/>
        </w:trPr>
        <w:tc>
          <w:tcPr>
            <w:tcW w:w="1250" w:type="pct"/>
            <w:gridSpan w:val="2"/>
            <w:vMerge w:val="continue"/>
            <w:shd w:val="clear" w:color="auto" w:fill="CCD6FF"/>
            <w:tcMar>
              <w:top w:w="28" w:type="dxa"/>
              <w:left w:w="28" w:type="dxa"/>
              <w:bottom w:w="28" w:type="dxa"/>
              <w:right w:w="28" w:type="dxa"/>
            </w:tcMar>
            <w:vAlign w:val="center"/>
          </w:tcPr>
          <w:p>
            <w:pPr>
              <w:pStyle w:val="0"/>
              <w:jc w:val="center"/>
              <w:rPr>
                <w:rFonts w:hint="default"/>
              </w:rPr>
            </w:pP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人数（人）</w:t>
            </w:r>
          </w:p>
        </w:tc>
        <w:tc>
          <w:tcPr>
            <w:tcW w:w="625"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rPr>
              <w:t>割合</w:t>
            </w:r>
          </w:p>
        </w:tc>
      </w:tr>
      <w:tr>
        <w:trPr>
          <w:trHeight w:val="25" w:hRule="atLeast"/>
        </w:trPr>
        <w:tc>
          <w:tcPr>
            <w:tcW w:w="1250" w:type="pct"/>
            <w:gridSpan w:val="2"/>
            <w:shd w:val="clear" w:color="auto" w:fill="auto"/>
            <w:tcMar>
              <w:top w:w="28" w:type="dxa"/>
              <w:left w:w="28" w:type="dxa"/>
              <w:bottom w:w="28" w:type="dxa"/>
              <w:right w:w="28" w:type="dxa"/>
            </w:tcMar>
            <w:vAlign w:val="center"/>
          </w:tcPr>
          <w:p>
            <w:pPr>
              <w:pStyle w:val="0"/>
              <w:rPr>
                <w:rFonts w:hint="default"/>
              </w:rPr>
            </w:pPr>
            <w:r>
              <w:rPr>
                <w:rFonts w:hint="eastAsia"/>
              </w:rPr>
              <w:t>被保険者数</w:t>
            </w:r>
            <w:r>
              <w:rPr>
                <w:rFonts w:hint="eastAsia"/>
              </w:rPr>
              <w:t>(40</w:t>
            </w:r>
            <w:r>
              <w:rPr>
                <w:rFonts w:hint="eastAsia"/>
              </w:rPr>
              <w:t>歳</w:t>
            </w:r>
            <w:r>
              <w:rPr>
                <w:rFonts w:hint="eastAsia"/>
              </w:rPr>
              <w:t>-74</w:t>
            </w:r>
            <w:r>
              <w:rPr>
                <w:rFonts w:hint="eastAsia"/>
              </w:rPr>
              <w:t>歳</w:t>
            </w:r>
            <w:r>
              <w:rPr>
                <w:rFonts w:hint="eastAsia"/>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7,505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7,275</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14,780</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30" w:hRule="atLeast"/>
        </w:trPr>
        <w:tc>
          <w:tcPr>
            <w:tcW w:w="625"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基礎疾患</w:t>
            </w: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糖尿病</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1,396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19.8%</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1,136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16.6%</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2,532</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18.2%</w:t>
            </w:r>
          </w:p>
        </w:tc>
      </w:tr>
      <w:tr>
        <w:trPr>
          <w:trHeight w:val="20" w:hRule="atLeast"/>
        </w:trPr>
        <w:tc>
          <w:tcPr>
            <w:tcW w:w="625" w:type="pct"/>
            <w:vMerge w:val="continue"/>
            <w:shd w:val="clear" w:color="auto" w:fill="auto"/>
            <w:tcMar>
              <w:top w:w="28" w:type="dxa"/>
              <w:left w:w="28" w:type="dxa"/>
              <w:bottom w:w="28" w:type="dxa"/>
              <w:right w:w="28" w:type="dxa"/>
            </w:tcMar>
            <w:vAlign w:val="center"/>
          </w:tcPr>
          <w:p>
            <w:pPr>
              <w:pStyle w:val="0"/>
              <w:rPr>
                <w:rFonts w:hint="default"/>
              </w:rPr>
            </w:pPr>
          </w:p>
        </w:tc>
        <w:tc>
          <w:tcPr>
            <w:tcW w:w="625" w:type="pct"/>
            <w:shd w:val="clear" w:color="auto" w:fill="auto"/>
            <w:tcMar>
              <w:top w:w="28" w:type="dxa"/>
              <w:left w:w="28" w:type="dxa"/>
              <w:bottom w:w="28" w:type="dxa"/>
              <w:right w:w="28" w:type="dxa"/>
            </w:tcMar>
            <w:vAlign w:val="center"/>
          </w:tcPr>
          <w:p>
            <w:pPr>
              <w:pStyle w:val="0"/>
              <w:rPr>
                <w:rFonts w:hint="default"/>
              </w:rPr>
            </w:pPr>
            <w:r>
              <w:rPr>
                <w:rFonts w:hint="default"/>
              </w:rPr>
              <w:t>高血圧症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1,889</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26.8%</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1,668</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24.3%</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3,557</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eastAsia"/>
              </w:rPr>
              <w:t>25.6%</w:t>
            </w:r>
          </w:p>
        </w:tc>
      </w:tr>
    </w:tbl>
    <w:p>
      <w:pPr>
        <w:pStyle w:val="44"/>
        <w:rPr>
          <w:rFonts w:hint="default"/>
        </w:rPr>
      </w:pPr>
      <w:r>
        <w:rPr>
          <w:rFonts w:hint="default"/>
        </w:rPr>
        <w:t>【出典】</w:t>
      </w:r>
      <w:r>
        <w:rPr>
          <w:rFonts w:hint="eastAsia"/>
        </w:rPr>
        <w:t>様式</w:t>
      </w:r>
      <w:r>
        <w:rPr>
          <w:rFonts w:hint="default"/>
        </w:rPr>
        <w:t>3-2</w:t>
      </w:r>
      <w:r>
        <w:rPr>
          <w:rFonts w:hint="default"/>
        </w:rPr>
        <w:t>糖尿病のレセプト分析</w:t>
      </w:r>
      <w:r>
        <w:rPr>
          <w:rFonts w:hint="eastAsia"/>
        </w:rPr>
        <w:t>　</w:t>
      </w:r>
      <w:r>
        <w:rPr>
          <w:rFonts w:hint="default"/>
        </w:rPr>
        <w:t>令和</w:t>
      </w:r>
      <w:r>
        <w:rPr>
          <w:rFonts w:hint="eastAsia"/>
        </w:rPr>
        <w:t>5</w:t>
      </w:r>
      <w:r>
        <w:rPr>
          <w:rFonts w:hint="default"/>
        </w:rPr>
        <w:t>年</w:t>
      </w:r>
      <w:r>
        <w:rPr>
          <w:rFonts w:hint="default"/>
        </w:rPr>
        <w:t>5</w:t>
      </w:r>
      <w:r>
        <w:rPr>
          <w:rFonts w:hint="default"/>
        </w:rPr>
        <w:t>月</w:t>
      </w:r>
    </w:p>
    <w:p>
      <w:pPr>
        <w:pStyle w:val="44"/>
        <w:rPr>
          <w:rFonts w:hint="default"/>
        </w:rPr>
      </w:pPr>
      <w:r>
        <w:rPr>
          <w:rFonts w:hint="eastAsia"/>
        </w:rPr>
        <w:t>様式</w:t>
      </w:r>
      <w:r>
        <w:rPr>
          <w:rFonts w:hint="default"/>
        </w:rPr>
        <w:t>3-3</w:t>
      </w:r>
      <w:r>
        <w:rPr>
          <w:rFonts w:hint="default"/>
        </w:rPr>
        <w:t>高血圧のレセプト分析</w:t>
      </w:r>
      <w:r>
        <w:rPr>
          <w:rFonts w:hint="eastAsia"/>
        </w:rPr>
        <w:t>　</w:t>
      </w:r>
      <w:r>
        <w:rPr>
          <w:rFonts w:hint="default"/>
        </w:rPr>
        <w:t>令和</w:t>
      </w:r>
      <w:r>
        <w:rPr>
          <w:rFonts w:hint="eastAsia"/>
        </w:rPr>
        <w:t>5</w:t>
      </w:r>
      <w:r>
        <w:rPr>
          <w:rFonts w:hint="default"/>
        </w:rPr>
        <w:t>年</w:t>
      </w:r>
      <w:r>
        <w:rPr>
          <w:rFonts w:hint="default"/>
        </w:rPr>
        <w:t>5</w:t>
      </w:r>
      <w:r>
        <w:rPr>
          <w:rFonts w:hint="default"/>
        </w:rPr>
        <w:t>月</w:t>
      </w:r>
    </w:p>
    <w:p>
      <w:pPr>
        <w:pStyle w:val="0"/>
        <w:rPr>
          <w:rFonts w:hint="default"/>
        </w:rPr>
      </w:pPr>
      <w:r>
        <w:rPr>
          <w:rFonts w:hint="default"/>
        </w:rPr>
        <w:br w:type="page"/>
      </w:r>
    </w:p>
    <w:p>
      <w:pPr>
        <w:pStyle w:val="3"/>
        <w:rPr>
          <w:rFonts w:hint="default"/>
        </w:rPr>
      </w:pPr>
      <w:bookmarkStart w:id="149" w:name="_Toc162548700"/>
      <w:r>
        <w:rPr>
          <w:rFonts w:hint="default"/>
        </w:rPr>
        <w:t>高額なレセプトの状況</w:t>
      </w:r>
      <w:bookmarkEnd w:id="149"/>
    </w:p>
    <w:p>
      <w:pPr>
        <w:pStyle w:val="39"/>
        <w:ind w:firstLine="200"/>
        <w:rPr>
          <w:rFonts w:hint="default"/>
        </w:rPr>
      </w:pPr>
      <w:r>
        <w:rPr>
          <w:rFonts w:hint="eastAsia"/>
        </w:rPr>
        <w:t>医療費のうち、</w:t>
      </w:r>
      <w:r>
        <w:rPr>
          <w:rFonts w:hint="default"/>
        </w:rPr>
        <w:t>1</w:t>
      </w:r>
      <w:r>
        <w:rPr>
          <w:rFonts w:hint="default"/>
        </w:rPr>
        <w:t>か月当たり</w:t>
      </w:r>
      <w:r>
        <w:rPr>
          <w:rFonts w:hint="eastAsia"/>
        </w:rPr>
        <w:t>30</w:t>
      </w:r>
      <w:r>
        <w:rPr>
          <w:rFonts w:hint="default"/>
        </w:rPr>
        <w:t>万円以上のレセプト（以下、高額なレセプトと</w:t>
      </w:r>
      <w:r>
        <w:rPr>
          <w:rFonts w:hint="eastAsia"/>
        </w:rPr>
        <w:t>いう。</w:t>
      </w:r>
      <w:r>
        <w:rPr>
          <w:rFonts w:hint="default"/>
        </w:rPr>
        <w:t>）についてみる（</w:t>
      </w:r>
      <w:r>
        <w:rPr>
          <w:rFonts w:hint="eastAsia"/>
        </w:rPr>
        <w:fldChar w:fldCharType="begin"/>
      </w:r>
      <w:r>
        <w:rPr>
          <w:rFonts w:hint="eastAsia"/>
        </w:rPr>
        <w:instrText xml:space="preserve">REF _Ref122534712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6</w:t>
      </w:r>
      <w:r>
        <w:rPr>
          <w:rFonts w:hint="eastAsia"/>
        </w:rPr>
        <w:t>-</w:t>
      </w:r>
      <w:r>
        <w:rPr>
          <w:rFonts w:hint="default"/>
        </w:rPr>
        <w:t>1</w:t>
      </w:r>
      <w:r>
        <w:rPr>
          <w:rFonts w:hint="eastAsia"/>
        </w:rPr>
        <w:fldChar w:fldCharType="end"/>
      </w:r>
      <w:r>
        <w:rPr>
          <w:rFonts w:hint="default"/>
        </w:rPr>
        <w:t>）。</w:t>
      </w:r>
    </w:p>
    <w:p>
      <w:pPr>
        <w:pStyle w:val="39"/>
        <w:ind w:firstLine="200"/>
        <w:rPr>
          <w:rFonts w:hint="default"/>
        </w:rPr>
      </w:pPr>
      <w:r>
        <w:rPr>
          <w:rFonts w:hint="eastAsia"/>
        </w:rPr>
        <w:t>令和</w:t>
      </w:r>
      <w:r>
        <w:rPr>
          <w:rFonts w:hint="default"/>
        </w:rPr>
        <w:t>4</w:t>
      </w:r>
      <w:r>
        <w:rPr>
          <w:rFonts w:hint="default"/>
        </w:rPr>
        <w:t>年度のレセプトのうち、高額なレセプトは</w:t>
      </w:r>
      <w:r>
        <w:rPr>
          <w:rFonts w:hint="default"/>
        </w:rPr>
        <w:t>33</w:t>
      </w:r>
      <w:r>
        <w:rPr>
          <w:rFonts w:hint="default"/>
        </w:rPr>
        <w:t>億</w:t>
      </w:r>
      <w:r>
        <w:rPr>
          <w:rFonts w:hint="default"/>
        </w:rPr>
        <w:t>9,900</w:t>
      </w:r>
      <w:r>
        <w:rPr>
          <w:rFonts w:hint="default"/>
        </w:rPr>
        <w:t>万円、</w:t>
      </w:r>
      <w:r>
        <w:rPr>
          <w:rFonts w:hint="default"/>
        </w:rPr>
        <w:t>4,938</w:t>
      </w:r>
      <w:r>
        <w:rPr>
          <w:rFonts w:hint="default"/>
        </w:rPr>
        <w:t>件で、総医療費の</w:t>
      </w:r>
      <w:r>
        <w:rPr>
          <w:rFonts w:hint="default"/>
        </w:rPr>
        <w:t>54.5%</w:t>
      </w:r>
      <w:r>
        <w:rPr>
          <w:rFonts w:hint="default"/>
        </w:rPr>
        <w:t>、総レセプト件数の</w:t>
      </w:r>
      <w:r>
        <w:rPr>
          <w:rFonts w:hint="default"/>
        </w:rPr>
        <w:t>3.5%</w:t>
      </w:r>
      <w:r>
        <w:rPr>
          <w:rFonts w:hint="default"/>
        </w:rPr>
        <w:t>を占めて</w:t>
      </w:r>
      <w:r>
        <w:rPr>
          <w:rFonts w:hint="eastAsia"/>
        </w:rPr>
        <w:t>おり、</w:t>
      </w:r>
      <w:r>
        <w:rPr>
          <w:rFonts w:hint="default"/>
        </w:rPr>
        <w:t>上位</w:t>
      </w:r>
      <w:r>
        <w:rPr>
          <w:rFonts w:hint="default"/>
        </w:rPr>
        <w:t>10</w:t>
      </w:r>
      <w:r>
        <w:rPr>
          <w:rFonts w:hint="default"/>
        </w:rPr>
        <w:t>疾病で高額なレセプトの</w:t>
      </w:r>
      <w:r>
        <w:rPr>
          <w:rFonts w:hint="default"/>
        </w:rPr>
        <w:t>54.2%</w:t>
      </w:r>
      <w:r>
        <w:rPr>
          <w:rFonts w:hint="default"/>
        </w:rPr>
        <w:t>を占めている。</w:t>
      </w:r>
    </w:p>
    <w:p>
      <w:pPr>
        <w:pStyle w:val="39"/>
        <w:ind w:firstLine="200"/>
        <w:rPr>
          <w:rFonts w:hint="default"/>
        </w:rPr>
      </w:pPr>
      <w:r>
        <w:rPr>
          <w:rFonts w:hint="eastAsia"/>
        </w:rPr>
        <w:t>保健事業により予防可能な疾患という観点で、重篤な疾患についてみると、</w:t>
      </w:r>
      <w:r>
        <w:rPr>
          <w:rFonts w:hint="default"/>
        </w:rPr>
        <w:t>「腎不全」「脳梗塞」が上位に入っている</w:t>
      </w:r>
      <w:r>
        <w:rPr>
          <w:rFonts w:hint="eastAsia"/>
        </w:rPr>
        <w:t>。</w:t>
      </w:r>
    </w:p>
    <w:p>
      <w:pPr>
        <w:pStyle w:val="0"/>
        <w:rPr>
          <w:rFonts w:hint="default"/>
        </w:rPr>
      </w:pPr>
    </w:p>
    <w:p>
      <w:pPr>
        <w:pStyle w:val="38"/>
        <w:rPr>
          <w:rFonts w:hint="default"/>
        </w:rPr>
      </w:pPr>
      <w:bookmarkStart w:id="150" w:name="_Ref122534712"/>
      <w:bookmarkStart w:id="151" w:name="_Toc12493683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50"/>
      <w:r>
        <w:rPr>
          <w:rFonts w:hint="default"/>
        </w:rPr>
        <w:t>：疾病</w:t>
      </w:r>
      <w:r>
        <w:rPr>
          <w:rFonts w:hint="eastAsia"/>
        </w:rPr>
        <w:t>分類（</w:t>
      </w:r>
      <w:r>
        <w:rPr>
          <w:rFonts w:hint="default"/>
        </w:rPr>
        <w:t>中分類</w:t>
      </w:r>
      <w:r>
        <w:rPr>
          <w:rFonts w:hint="eastAsia"/>
        </w:rPr>
        <w:t>）</w:t>
      </w:r>
      <w:r>
        <w:rPr>
          <w:rFonts w:hint="default"/>
        </w:rPr>
        <w:t>別</w:t>
      </w:r>
      <w:r>
        <w:rPr>
          <w:rFonts w:hint="default"/>
        </w:rPr>
        <w:t>_1</w:t>
      </w:r>
      <w:r>
        <w:rPr>
          <w:rFonts w:hint="default"/>
        </w:rPr>
        <w:t>か月当たり</w:t>
      </w:r>
      <w:r>
        <w:rPr>
          <w:rFonts w:hint="default"/>
        </w:rPr>
        <w:t>30</w:t>
      </w:r>
      <w:r>
        <w:rPr>
          <w:rFonts w:hint="default"/>
        </w:rPr>
        <w:t>万円以上のレセプトの状況</w:t>
      </w:r>
      <w:bookmarkEnd w:id="151"/>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372"/>
        <w:gridCol w:w="1501"/>
        <w:gridCol w:w="1500"/>
        <w:gridCol w:w="1500"/>
        <w:gridCol w:w="1502"/>
      </w:tblGrid>
      <w:tr>
        <w:trPr>
          <w:trHeight w:val="20" w:hRule="atLeast"/>
        </w:trPr>
        <w:tc>
          <w:tcPr>
            <w:tcW w:w="1798" w:type="pct"/>
            <w:shd w:val="clear" w:color="auto" w:fill="CCD6FF"/>
            <w:tcMar>
              <w:top w:w="28" w:type="dxa"/>
              <w:left w:w="28" w:type="dxa"/>
              <w:bottom w:w="28" w:type="dxa"/>
              <w:right w:w="28" w:type="dxa"/>
            </w:tcMar>
            <w:vAlign w:val="center"/>
          </w:tcPr>
          <w:p>
            <w:pPr>
              <w:pStyle w:val="0"/>
              <w:rPr>
                <w:rFonts w:hint="default"/>
              </w:rPr>
            </w:pPr>
          </w:p>
        </w:tc>
        <w:tc>
          <w:tcPr>
            <w:tcW w:w="80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医療費（円）</w:t>
            </w:r>
          </w:p>
        </w:tc>
        <w:tc>
          <w:tcPr>
            <w:tcW w:w="8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総医療費に</w:t>
            </w:r>
          </w:p>
          <w:p>
            <w:pPr>
              <w:pStyle w:val="0"/>
              <w:jc w:val="center"/>
              <w:rPr>
                <w:rFonts w:hint="default"/>
              </w:rPr>
            </w:pPr>
            <w:r>
              <w:rPr>
                <w:rFonts w:hint="default"/>
                <w:b w:val="1"/>
              </w:rPr>
              <w:t>占める割合</w:t>
            </w:r>
          </w:p>
        </w:tc>
        <w:tc>
          <w:tcPr>
            <w:tcW w:w="80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レセプト件数</w:t>
            </w:r>
          </w:p>
          <w:p>
            <w:pPr>
              <w:pStyle w:val="0"/>
              <w:jc w:val="center"/>
              <w:rPr>
                <w:rFonts w:hint="default"/>
                <w:b w:val="1"/>
              </w:rPr>
            </w:pPr>
            <w:r>
              <w:rPr>
                <w:rFonts w:hint="eastAsia"/>
                <w:b w:val="1"/>
              </w:rPr>
              <w:t>（累計）（件）</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レセプト件数に</w:t>
            </w:r>
          </w:p>
          <w:p>
            <w:pPr>
              <w:pStyle w:val="0"/>
              <w:jc w:val="center"/>
              <w:rPr>
                <w:rFonts w:hint="default"/>
                <w:b w:val="1"/>
              </w:rPr>
            </w:pPr>
            <w:r>
              <w:rPr>
                <w:rFonts w:hint="eastAsia"/>
                <w:b w:val="1"/>
              </w:rPr>
              <w:t>占める割合</w:t>
            </w:r>
          </w:p>
        </w:tc>
      </w:tr>
      <w:tr>
        <w:trPr>
          <w:trHeight w:val="20" w:hRule="atLeast"/>
        </w:trPr>
        <w:tc>
          <w:tcPr>
            <w:tcW w:w="1798" w:type="pct"/>
            <w:shd w:val="clear" w:color="auto" w:fill="auto"/>
            <w:tcMar>
              <w:top w:w="28" w:type="dxa"/>
              <w:left w:w="28" w:type="dxa"/>
              <w:bottom w:w="28" w:type="dxa"/>
              <w:right w:w="28" w:type="dxa"/>
            </w:tcMar>
            <w:vAlign w:val="center"/>
          </w:tcPr>
          <w:p>
            <w:pPr>
              <w:pStyle w:val="0"/>
              <w:rPr>
                <w:rFonts w:hint="default"/>
              </w:rPr>
            </w:pPr>
            <w:r>
              <w:rPr>
                <w:rFonts w:hint="default"/>
              </w:rPr>
              <w:t>令和</w:t>
            </w:r>
            <w:r>
              <w:rPr>
                <w:rFonts w:hint="eastAsia"/>
              </w:rPr>
              <w:t>4</w:t>
            </w:r>
            <w:r>
              <w:rPr>
                <w:rFonts w:hint="default"/>
              </w:rPr>
              <w:t>年度</w:t>
            </w:r>
            <w:r>
              <w:rPr>
                <w:rFonts w:hint="default"/>
              </w:rPr>
              <w:t>_</w:t>
            </w:r>
            <w:r>
              <w:rPr>
                <w:rFonts w:hint="default"/>
              </w:rPr>
              <w:t>総</w:t>
            </w:r>
            <w:r>
              <w:rPr>
                <w:rFonts w:hint="eastAsia"/>
              </w:rPr>
              <w:t>数</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6,233,886,570</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142,115</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1798" w:type="pct"/>
            <w:shd w:val="clear" w:color="auto" w:fill="auto"/>
            <w:tcMar>
              <w:top w:w="28" w:type="dxa"/>
              <w:left w:w="28" w:type="dxa"/>
              <w:bottom w:w="28" w:type="dxa"/>
              <w:right w:w="28" w:type="dxa"/>
            </w:tcMar>
            <w:vAlign w:val="center"/>
          </w:tcPr>
          <w:p>
            <w:pPr>
              <w:pStyle w:val="0"/>
              <w:rPr>
                <w:rFonts w:hint="default"/>
              </w:rPr>
            </w:pPr>
            <w:r>
              <w:rPr>
                <w:rFonts w:hint="eastAsia"/>
              </w:rPr>
              <w:t>高額な</w:t>
            </w:r>
            <w:r>
              <w:rPr>
                <w:rFonts w:hint="default"/>
              </w:rPr>
              <w:t>レセプトの合計</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3,399,206,250</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54.5%</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4,938</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r>
    </w:tbl>
    <w:p>
      <w:pPr>
        <w:pStyle w:val="0"/>
        <w:rPr>
          <w:rFonts w:hint="default"/>
        </w:rPr>
      </w:pPr>
    </w:p>
    <w:p>
      <w:pPr>
        <w:pStyle w:val="0"/>
        <w:ind w:left="114" w:leftChars="71"/>
        <w:rPr>
          <w:rFonts w:hint="default"/>
          <w:sz w:val="18"/>
        </w:rPr>
      </w:pPr>
      <w:r>
        <w:rPr>
          <w:rFonts w:hint="eastAsia"/>
          <w:sz w:val="18"/>
        </w:rPr>
        <w:t>内訳（上位の疾病）</w:t>
      </w:r>
    </w:p>
    <w:tbl>
      <w:tblPr>
        <w:tblStyle w:val="11"/>
        <w:tblW w:w="500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28"/>
        <w:gridCol w:w="2849"/>
        <w:gridCol w:w="1501"/>
        <w:gridCol w:w="1503"/>
        <w:gridCol w:w="1501"/>
        <w:gridCol w:w="1497"/>
      </w:tblGrid>
      <w:tr>
        <w:trPr>
          <w:trHeight w:val="40" w:hRule="atLeast"/>
        </w:trPr>
        <w:tc>
          <w:tcPr>
            <w:tcW w:w="28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順位</w:t>
            </w:r>
          </w:p>
        </w:tc>
        <w:tc>
          <w:tcPr>
            <w:tcW w:w="1519"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疾病分類（中分類）</w:t>
            </w:r>
          </w:p>
        </w:tc>
        <w:tc>
          <w:tcPr>
            <w:tcW w:w="8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医療費（円）</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高額な</w:t>
            </w:r>
            <w:r>
              <w:rPr>
                <w:rFonts w:hint="default"/>
                <w:b w:val="1"/>
              </w:rPr>
              <w:t>レセプトの医療費に占める割合</w:t>
            </w:r>
          </w:p>
        </w:tc>
        <w:tc>
          <w:tcPr>
            <w:tcW w:w="80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件数（累計）</w:t>
            </w:r>
          </w:p>
          <w:p>
            <w:pPr>
              <w:pStyle w:val="0"/>
              <w:jc w:val="center"/>
              <w:rPr>
                <w:rFonts w:hint="default"/>
                <w:b w:val="1"/>
              </w:rPr>
            </w:pPr>
            <w:r>
              <w:rPr>
                <w:rFonts w:hint="default"/>
                <w:b w:val="1"/>
              </w:rPr>
              <w:t>（件）</w:t>
            </w:r>
          </w:p>
        </w:tc>
        <w:tc>
          <w:tcPr>
            <w:tcW w:w="798"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高額なレセプト</w:t>
            </w:r>
            <w:r>
              <w:rPr>
                <w:rFonts w:hint="default"/>
                <w:b w:val="1"/>
              </w:rPr>
              <w:t>のレセプト</w:t>
            </w:r>
            <w:r>
              <w:rPr>
                <w:rFonts w:hint="eastAsia"/>
                <w:b w:val="1"/>
              </w:rPr>
              <w:t>件数</w:t>
            </w:r>
            <w:r>
              <w:rPr>
                <w:rFonts w:hint="default"/>
                <w:b w:val="1"/>
              </w:rPr>
              <w:t>に占める割合</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582,103,160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17.1%</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1,289</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26.1%</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その他の悪性新生物</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269,588,650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7.9%</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352</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7.1%</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その他の心疾患</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202,632,320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6.0%</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135</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気管、気管支及び肺の悪性新生物</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160,781,270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4.7%</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172</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その他の神経系の疾患</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140,076,800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4.1%</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204</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4.1%</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統合失調症、統合失調症型障害及び妄想性障害</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127,026,000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301</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6.1%</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その他の呼吸器系の疾患</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115,298,260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133</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その他の消化器系の疾患</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93,820,070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159</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その他の内分泌、栄養及び代謝障害</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78,376,700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43</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0.9%</w:t>
            </w:r>
          </w:p>
        </w:tc>
      </w:tr>
      <w:tr>
        <w:trPr>
          <w:trHeight w:val="20" w:hRule="atLeast"/>
        </w:trPr>
        <w:tc>
          <w:tcPr>
            <w:tcW w:w="281"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default"/>
              </w:rPr>
              <w:t>位</w:t>
            </w:r>
          </w:p>
        </w:tc>
        <w:tc>
          <w:tcPr>
            <w:tcW w:w="1519" w:type="pct"/>
            <w:shd w:val="clear" w:color="auto" w:fill="auto"/>
            <w:tcMar>
              <w:top w:w="28" w:type="dxa"/>
              <w:left w:w="28" w:type="dxa"/>
              <w:bottom w:w="28" w:type="dxa"/>
              <w:right w:w="28" w:type="dxa"/>
            </w:tcMar>
            <w:vAlign w:val="center"/>
          </w:tcPr>
          <w:p>
            <w:pPr>
              <w:pStyle w:val="0"/>
              <w:rPr>
                <w:rFonts w:hint="default"/>
              </w:rPr>
            </w:pPr>
            <w:r>
              <w:rPr>
                <w:rFonts w:hint="default"/>
              </w:rPr>
              <w:t>脳梗塞</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75,922,350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2.2%</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94</w:t>
            </w:r>
          </w:p>
        </w:tc>
        <w:tc>
          <w:tcPr>
            <w:tcW w:w="798" w:type="pct"/>
            <w:shd w:val="clear" w:color="auto" w:fill="auto"/>
            <w:tcMar>
              <w:top w:w="28" w:type="dxa"/>
              <w:left w:w="28" w:type="dxa"/>
              <w:bottom w:w="28" w:type="dxa"/>
              <w:right w:w="28" w:type="dxa"/>
            </w:tcMar>
            <w:vAlign w:val="center"/>
          </w:tcPr>
          <w:p>
            <w:pPr>
              <w:pStyle w:val="0"/>
              <w:jc w:val="right"/>
              <w:rPr>
                <w:rFonts w:hint="default"/>
              </w:rPr>
            </w:pPr>
            <w:r>
              <w:rPr>
                <w:rFonts w:hint="default"/>
              </w:rPr>
              <w:t>1.9%</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4"/>
        <w:rPr>
          <w:rFonts w:hint="default"/>
        </w:rPr>
      </w:pPr>
      <w:r>
        <w:rPr>
          <w:rFonts w:hint="default"/>
        </w:rPr>
        <w:t>KDB</w:t>
      </w:r>
      <w:r>
        <w:rPr>
          <w:rFonts w:hint="default"/>
        </w:rPr>
        <w:t>帳票</w:t>
      </w:r>
      <w:r>
        <w:rPr>
          <w:rFonts w:hint="default"/>
        </w:rPr>
        <w:t xml:space="preserve"> S21_011-</w:t>
      </w:r>
      <w:r>
        <w:rPr>
          <w:rFonts w:hint="default"/>
        </w:rPr>
        <w:t>厚生労働省様式（様式</w:t>
      </w:r>
      <w:r>
        <w:rPr>
          <w:rFonts w:hint="default"/>
        </w:rPr>
        <w:t>1-1</w:t>
      </w:r>
      <w:r>
        <w:rPr>
          <w:rFonts w:hint="default"/>
        </w:rPr>
        <w:t>）</w:t>
      </w:r>
      <w:r>
        <w:rPr>
          <w:rFonts w:hint="eastAsia"/>
        </w:rPr>
        <w:t xml:space="preserve"> </w:t>
      </w:r>
      <w:r>
        <w:rPr>
          <w:rFonts w:hint="default"/>
        </w:rPr>
        <w:t>令和</w:t>
      </w:r>
      <w:r>
        <w:rPr>
          <w:rFonts w:hint="eastAsia"/>
        </w:rPr>
        <w:t>4</w:t>
      </w:r>
      <w:r>
        <w:rPr>
          <w:rFonts w:hint="default"/>
        </w:rPr>
        <w:t>年</w:t>
      </w:r>
      <w:r>
        <w:rPr>
          <w:rFonts w:hint="default"/>
        </w:rPr>
        <w:t>6</w:t>
      </w:r>
      <w:r>
        <w:rPr>
          <w:rFonts w:hint="default"/>
        </w:rPr>
        <w:t>月から令和</w:t>
      </w:r>
      <w:r>
        <w:rPr>
          <w:rFonts w:hint="eastAsia"/>
        </w:rPr>
        <w:t>5</w:t>
      </w:r>
      <w:r>
        <w:rPr>
          <w:rFonts w:hint="default"/>
        </w:rPr>
        <w:t>年</w:t>
      </w:r>
      <w:r>
        <w:rPr>
          <w:rFonts w:hint="default"/>
        </w:rPr>
        <w:t>5</w:t>
      </w:r>
      <w:r>
        <w:rPr>
          <w:rFonts w:hint="default"/>
        </w:rPr>
        <w:t>月</w:t>
      </w:r>
    </w:p>
    <w:p>
      <w:pPr>
        <w:pStyle w:val="0"/>
        <w:rPr>
          <w:rFonts w:hint="default"/>
          <w:b w:val="1"/>
          <w:sz w:val="22"/>
        </w:rPr>
      </w:pPr>
      <w:r>
        <w:rPr>
          <w:rFonts w:hint="default"/>
        </w:rPr>
        <w:br w:type="page"/>
      </w:r>
    </w:p>
    <w:p>
      <w:pPr>
        <w:pStyle w:val="3"/>
        <w:rPr>
          <w:rFonts w:hint="default"/>
        </w:rPr>
      </w:pPr>
      <w:bookmarkStart w:id="152" w:name="_Toc162548701"/>
      <w:r>
        <w:rPr>
          <w:rFonts w:hint="default"/>
        </w:rPr>
        <w:t>長期入院レセプトの状況</w:t>
      </w:r>
      <w:bookmarkEnd w:id="152"/>
    </w:p>
    <w:p>
      <w:pPr>
        <w:pStyle w:val="39"/>
        <w:ind w:firstLine="200"/>
        <w:rPr>
          <w:rFonts w:hint="default"/>
        </w:rPr>
      </w:pPr>
      <w:r>
        <w:rPr>
          <w:rFonts w:hint="eastAsia"/>
        </w:rPr>
        <w:t>医療費のうち、</w:t>
      </w:r>
      <w:r>
        <w:rPr>
          <w:rFonts w:hint="default"/>
        </w:rPr>
        <w:t>6</w:t>
      </w:r>
      <w:r>
        <w:rPr>
          <w:rFonts w:hint="default"/>
        </w:rPr>
        <w:t>か月以上の入院患者のレセプト（以下、長期入院レセプトと</w:t>
      </w:r>
      <w:r>
        <w:rPr>
          <w:rFonts w:hint="eastAsia"/>
        </w:rPr>
        <w:t>いう。</w:t>
      </w:r>
      <w:r>
        <w:rPr>
          <w:rFonts w:hint="default"/>
        </w:rPr>
        <w:t>）についてみる（</w:t>
      </w:r>
      <w:r>
        <w:rPr>
          <w:rFonts w:hint="eastAsia"/>
        </w:rPr>
        <w:fldChar w:fldCharType="begin"/>
      </w:r>
      <w:r>
        <w:rPr>
          <w:rFonts w:hint="eastAsia"/>
        </w:rPr>
        <w:instrText xml:space="preserve">REF _Ref122535289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7</w:t>
      </w:r>
      <w:r>
        <w:rPr>
          <w:rFonts w:hint="eastAsia"/>
        </w:rPr>
        <w:t>-</w:t>
      </w:r>
      <w:r>
        <w:rPr>
          <w:rFonts w:hint="default"/>
        </w:rPr>
        <w:t>1</w:t>
      </w:r>
      <w:r>
        <w:rPr>
          <w:rFonts w:hint="eastAsia"/>
        </w:rPr>
        <w:fldChar w:fldCharType="end"/>
      </w:r>
      <w:r>
        <w:rPr>
          <w:rFonts w:hint="default"/>
        </w:rPr>
        <w:t>）。</w:t>
      </w:r>
    </w:p>
    <w:p>
      <w:pPr>
        <w:pStyle w:val="39"/>
        <w:ind w:firstLine="200"/>
        <w:rPr>
          <w:rFonts w:hint="default"/>
        </w:rPr>
      </w:pPr>
      <w:r>
        <w:rPr>
          <w:rFonts w:hint="eastAsia"/>
        </w:rPr>
        <w:t>令和</w:t>
      </w:r>
      <w:r>
        <w:rPr>
          <w:rFonts w:hint="default"/>
        </w:rPr>
        <w:t>4</w:t>
      </w:r>
      <w:r>
        <w:rPr>
          <w:rFonts w:hint="default"/>
        </w:rPr>
        <w:t>年度のレセプトのうち、長期入院レセプトは</w:t>
      </w:r>
      <w:r>
        <w:rPr>
          <w:rFonts w:hint="eastAsia"/>
        </w:rPr>
        <w:t>約</w:t>
      </w:r>
      <w:r>
        <w:rPr>
          <w:rFonts w:hint="default"/>
        </w:rPr>
        <w:t>4</w:t>
      </w:r>
      <w:r>
        <w:rPr>
          <w:rFonts w:hint="default"/>
        </w:rPr>
        <w:t>億</w:t>
      </w:r>
      <w:r>
        <w:rPr>
          <w:rFonts w:hint="default"/>
        </w:rPr>
        <w:t>400</w:t>
      </w:r>
      <w:r>
        <w:rPr>
          <w:rFonts w:hint="default"/>
        </w:rPr>
        <w:t>万円、</w:t>
      </w:r>
      <w:r>
        <w:rPr>
          <w:rFonts w:hint="default"/>
        </w:rPr>
        <w:t>849</w:t>
      </w:r>
      <w:r>
        <w:rPr>
          <w:rFonts w:hint="default"/>
        </w:rPr>
        <w:t>件で、総医療費の</w:t>
      </w:r>
      <w:r>
        <w:rPr>
          <w:rFonts w:hint="default"/>
        </w:rPr>
        <w:t>6.5%</w:t>
      </w:r>
      <w:r>
        <w:rPr>
          <w:rFonts w:hint="default"/>
        </w:rPr>
        <w:t>、総レセプト件数の</w:t>
      </w:r>
      <w:r>
        <w:rPr>
          <w:rFonts w:hint="default"/>
        </w:rPr>
        <w:t>0.6%</w:t>
      </w:r>
      <w:r>
        <w:rPr>
          <w:rFonts w:hint="default"/>
        </w:rPr>
        <w:t>を占めている。</w:t>
      </w:r>
    </w:p>
    <w:p>
      <w:pPr>
        <w:pStyle w:val="39"/>
        <w:ind w:firstLine="200"/>
        <w:rPr>
          <w:rFonts w:hint="default"/>
        </w:rPr>
      </w:pPr>
      <w:r>
        <w:rPr>
          <w:rFonts w:hint="eastAsia"/>
        </w:rPr>
        <w:t>保健事業により予防可能な疾患という観点で、重篤な疾患についてみると、</w:t>
      </w:r>
      <w:r>
        <w:rPr>
          <w:rFonts w:hint="default"/>
        </w:rPr>
        <w:t>「腎不全」「脳梗塞」が上位に入っている</w:t>
      </w:r>
      <w:r>
        <w:rPr>
          <w:rFonts w:hint="eastAsia"/>
        </w:rPr>
        <w:t>。</w:t>
      </w:r>
    </w:p>
    <w:p>
      <w:pPr>
        <w:pStyle w:val="0"/>
        <w:rPr>
          <w:rFonts w:hint="default"/>
        </w:rPr>
      </w:pPr>
    </w:p>
    <w:p>
      <w:pPr>
        <w:pStyle w:val="38"/>
        <w:rPr>
          <w:rFonts w:hint="default"/>
        </w:rPr>
      </w:pPr>
      <w:bookmarkStart w:id="153" w:name="_Ref122535289"/>
      <w:bookmarkStart w:id="154" w:name="_Toc12493683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7</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53"/>
      <w:r>
        <w:rPr>
          <w:rFonts w:hint="default"/>
        </w:rPr>
        <w:t>：疾病</w:t>
      </w:r>
      <w:r>
        <w:rPr>
          <w:rFonts w:hint="eastAsia"/>
        </w:rPr>
        <w:t>分類（</w:t>
      </w:r>
      <w:r>
        <w:rPr>
          <w:rFonts w:hint="default"/>
        </w:rPr>
        <w:t>中分類</w:t>
      </w:r>
      <w:r>
        <w:rPr>
          <w:rFonts w:hint="eastAsia"/>
        </w:rPr>
        <w:t>）</w:t>
      </w:r>
      <w:r>
        <w:rPr>
          <w:rFonts w:hint="default"/>
        </w:rPr>
        <w:t>別</w:t>
      </w:r>
      <w:r>
        <w:rPr>
          <w:rFonts w:hint="default"/>
        </w:rPr>
        <w:t>_6</w:t>
      </w:r>
      <w:r>
        <w:rPr>
          <w:rFonts w:hint="default"/>
        </w:rPr>
        <w:t>か月以上の入院レセプトの状況</w:t>
      </w:r>
      <w:bookmarkEnd w:id="154"/>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371"/>
        <w:gridCol w:w="1500"/>
        <w:gridCol w:w="1502"/>
        <w:gridCol w:w="1502"/>
        <w:gridCol w:w="1500"/>
      </w:tblGrid>
      <w:tr>
        <w:trPr>
          <w:trHeight w:val="20" w:hRule="atLeast"/>
        </w:trPr>
        <w:tc>
          <w:tcPr>
            <w:tcW w:w="1798" w:type="pct"/>
            <w:shd w:val="clear" w:color="auto" w:fill="CCD6FF"/>
            <w:tcMar>
              <w:top w:w="28" w:type="dxa"/>
              <w:left w:w="28" w:type="dxa"/>
              <w:bottom w:w="28" w:type="dxa"/>
              <w:right w:w="28" w:type="dxa"/>
            </w:tcMar>
            <w:vAlign w:val="center"/>
          </w:tcPr>
          <w:p>
            <w:pPr>
              <w:pStyle w:val="0"/>
              <w:rPr>
                <w:rFonts w:hint="default"/>
              </w:rPr>
            </w:pPr>
          </w:p>
        </w:tc>
        <w:tc>
          <w:tcPr>
            <w:tcW w:w="800"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医療費（円）</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総医療費に</w:t>
            </w:r>
          </w:p>
          <w:p>
            <w:pPr>
              <w:pStyle w:val="0"/>
              <w:jc w:val="center"/>
              <w:rPr>
                <w:rFonts w:hint="default"/>
              </w:rPr>
            </w:pPr>
            <w:r>
              <w:rPr>
                <w:rFonts w:hint="default"/>
                <w:b w:val="1"/>
              </w:rPr>
              <w:t>占める割合</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レセプト件数</w:t>
            </w:r>
          </w:p>
          <w:p>
            <w:pPr>
              <w:pStyle w:val="0"/>
              <w:jc w:val="center"/>
              <w:rPr>
                <w:rFonts w:hint="default"/>
                <w:b w:val="1"/>
              </w:rPr>
            </w:pPr>
            <w:r>
              <w:rPr>
                <w:rFonts w:hint="eastAsia"/>
                <w:b w:val="1"/>
              </w:rPr>
              <w:t>（累計）（件）</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レセプト件数に</w:t>
            </w:r>
          </w:p>
          <w:p>
            <w:pPr>
              <w:pStyle w:val="0"/>
              <w:jc w:val="center"/>
              <w:rPr>
                <w:rFonts w:hint="default"/>
                <w:b w:val="1"/>
              </w:rPr>
            </w:pPr>
            <w:r>
              <w:rPr>
                <w:rFonts w:hint="eastAsia"/>
                <w:b w:val="1"/>
              </w:rPr>
              <w:t>占める割合</w:t>
            </w:r>
          </w:p>
        </w:tc>
      </w:tr>
      <w:tr>
        <w:trPr>
          <w:trHeight w:val="20" w:hRule="atLeast"/>
        </w:trPr>
        <w:tc>
          <w:tcPr>
            <w:tcW w:w="1798" w:type="pct"/>
            <w:shd w:val="clear" w:color="auto" w:fill="auto"/>
            <w:tcMar>
              <w:top w:w="28" w:type="dxa"/>
              <w:left w:w="28" w:type="dxa"/>
              <w:bottom w:w="28" w:type="dxa"/>
              <w:right w:w="28" w:type="dxa"/>
            </w:tcMar>
            <w:vAlign w:val="center"/>
          </w:tcPr>
          <w:p>
            <w:pPr>
              <w:pStyle w:val="0"/>
              <w:rPr>
                <w:rFonts w:hint="default"/>
              </w:rPr>
            </w:pPr>
            <w:r>
              <w:rPr>
                <w:rFonts w:hint="default"/>
              </w:rPr>
              <w:t>令和</w:t>
            </w:r>
            <w:r>
              <w:rPr>
                <w:rFonts w:hint="eastAsia"/>
              </w:rPr>
              <w:t>4</w:t>
            </w:r>
            <w:r>
              <w:rPr>
                <w:rFonts w:hint="default"/>
              </w:rPr>
              <w:t>年度</w:t>
            </w:r>
            <w:r>
              <w:rPr>
                <w:rFonts w:hint="default"/>
              </w:rPr>
              <w:t>_</w:t>
            </w:r>
            <w:r>
              <w:rPr>
                <w:rFonts w:hint="default"/>
              </w:rPr>
              <w:t>総</w:t>
            </w:r>
            <w:r>
              <w:rPr>
                <w:rFonts w:hint="eastAsia"/>
              </w:rPr>
              <w:t>数</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6,233,886,570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142,115</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1798" w:type="pct"/>
            <w:shd w:val="clear" w:color="auto" w:fill="auto"/>
            <w:tcMar>
              <w:top w:w="28" w:type="dxa"/>
              <w:left w:w="28" w:type="dxa"/>
              <w:bottom w:w="28" w:type="dxa"/>
              <w:right w:w="28" w:type="dxa"/>
            </w:tcMar>
            <w:vAlign w:val="center"/>
          </w:tcPr>
          <w:p>
            <w:pPr>
              <w:pStyle w:val="0"/>
              <w:rPr>
                <w:rFonts w:hint="default"/>
              </w:rPr>
            </w:pPr>
            <w:r>
              <w:rPr>
                <w:rFonts w:hint="eastAsia"/>
              </w:rPr>
              <w:t>長期入院レセプト</w:t>
            </w:r>
            <w:r>
              <w:rPr>
                <w:rFonts w:hint="default"/>
              </w:rPr>
              <w:t>の合計</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403,984,730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849</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0.6%</w:t>
            </w:r>
          </w:p>
        </w:tc>
      </w:tr>
    </w:tbl>
    <w:p>
      <w:pPr>
        <w:pStyle w:val="0"/>
        <w:rPr>
          <w:rFonts w:hint="default"/>
        </w:rPr>
      </w:pPr>
    </w:p>
    <w:p>
      <w:pPr>
        <w:pStyle w:val="0"/>
        <w:ind w:left="114" w:leftChars="71"/>
        <w:rPr>
          <w:rFonts w:hint="default"/>
          <w:sz w:val="18"/>
        </w:rPr>
      </w:pPr>
      <w:r>
        <w:rPr>
          <w:rFonts w:hint="eastAsia"/>
          <w:sz w:val="18"/>
        </w:rPr>
        <w:t>内訳（上位の疾病）</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55"/>
        <w:gridCol w:w="2814"/>
        <w:gridCol w:w="1502"/>
        <w:gridCol w:w="1502"/>
        <w:gridCol w:w="1502"/>
        <w:gridCol w:w="1500"/>
      </w:tblGrid>
      <w:tr>
        <w:trPr>
          <w:trHeight w:val="47" w:hRule="atLeast"/>
        </w:trPr>
        <w:tc>
          <w:tcPr>
            <w:tcW w:w="296"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順位</w:t>
            </w:r>
          </w:p>
        </w:tc>
        <w:tc>
          <w:tcPr>
            <w:tcW w:w="150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疾病分類（中分類）</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医療費（円）</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長期入院</w:t>
            </w:r>
            <w:r>
              <w:rPr>
                <w:rFonts w:hint="default"/>
                <w:b w:val="1"/>
              </w:rPr>
              <w:t>レセプトの医療費に占める割合</w:t>
            </w:r>
          </w:p>
        </w:tc>
        <w:tc>
          <w:tcPr>
            <w:tcW w:w="80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件数（累計）</w:t>
            </w:r>
          </w:p>
          <w:p>
            <w:pPr>
              <w:pStyle w:val="0"/>
              <w:jc w:val="center"/>
              <w:rPr>
                <w:rFonts w:hint="default"/>
                <w:b w:val="1"/>
              </w:rPr>
            </w:pPr>
            <w:r>
              <w:rPr>
                <w:rFonts w:hint="default"/>
                <w:b w:val="1"/>
              </w:rPr>
              <w:t>（件）</w:t>
            </w:r>
          </w:p>
        </w:tc>
        <w:tc>
          <w:tcPr>
            <w:tcW w:w="800"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長期入院レセプトの</w:t>
            </w:r>
            <w:r>
              <w:rPr>
                <w:rFonts w:hint="default"/>
                <w:b w:val="1"/>
              </w:rPr>
              <w:t>レセプト</w:t>
            </w:r>
            <w:r>
              <w:rPr>
                <w:rFonts w:hint="eastAsia"/>
                <w:b w:val="1"/>
              </w:rPr>
              <w:t>件数</w:t>
            </w:r>
            <w:r>
              <w:rPr>
                <w:rFonts w:hint="default"/>
                <w:b w:val="1"/>
              </w:rPr>
              <w:t>に占める割合</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1</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統合失調症、統合失調症型障害及び妄想性障害</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92,936,110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23.0%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240</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28.3%</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2</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その他の神経系の疾患</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63,952,220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15.8%</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135</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15.9%</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3</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その他の呼吸器系の疾患</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40,471,840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10.0%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47</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4</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気分（感情）障害（躁うつ病を含む）</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31,267,390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7.7%</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82</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9.7%</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5</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脳性麻痺及びその他の麻痺性症候群</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22,624,040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39</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4.6%</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6</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腎不全</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21,187,420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5.2%</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24</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7</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脳梗塞</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15,463,430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29</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8</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その他の精神及び行動の障害</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14,575,090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9</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その他の筋骨格系及び結合組織の疾患</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14,474,610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3.3%</w:t>
            </w:r>
          </w:p>
        </w:tc>
      </w:tr>
      <w:tr>
        <w:trPr>
          <w:trHeight w:val="20" w:hRule="atLeast"/>
        </w:trPr>
        <w:tc>
          <w:tcPr>
            <w:tcW w:w="296" w:type="pct"/>
            <w:shd w:val="clear" w:color="auto" w:fill="auto"/>
            <w:tcMar>
              <w:top w:w="28" w:type="dxa"/>
              <w:left w:w="28" w:type="dxa"/>
              <w:bottom w:w="28" w:type="dxa"/>
              <w:right w:w="28" w:type="dxa"/>
            </w:tcMar>
            <w:vAlign w:val="center"/>
          </w:tcPr>
          <w:p>
            <w:pPr>
              <w:pStyle w:val="0"/>
              <w:jc w:val="center"/>
              <w:rPr>
                <w:rFonts w:hint="default"/>
              </w:rPr>
            </w:pPr>
            <w:r>
              <w:rPr>
                <w:rFonts w:hint="default"/>
              </w:rPr>
              <w:t>10</w:t>
            </w:r>
            <w:r>
              <w:rPr>
                <w:rFonts w:hint="default"/>
              </w:rPr>
              <w:t>位</w:t>
            </w:r>
          </w:p>
        </w:tc>
        <w:tc>
          <w:tcPr>
            <w:tcW w:w="1501" w:type="pct"/>
            <w:shd w:val="clear" w:color="auto" w:fill="auto"/>
            <w:tcMar>
              <w:top w:w="28" w:type="dxa"/>
              <w:left w:w="28" w:type="dxa"/>
              <w:bottom w:w="28" w:type="dxa"/>
              <w:right w:w="28" w:type="dxa"/>
            </w:tcMar>
            <w:vAlign w:val="center"/>
          </w:tcPr>
          <w:p>
            <w:pPr>
              <w:pStyle w:val="0"/>
              <w:rPr>
                <w:rFonts w:hint="default"/>
              </w:rPr>
            </w:pPr>
            <w:r>
              <w:rPr>
                <w:rFonts w:hint="default"/>
              </w:rPr>
              <w:t>その他の特殊目的用コード</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11,413,780</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801"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800" w:type="pct"/>
            <w:shd w:val="clear" w:color="auto" w:fill="auto"/>
            <w:tcMar>
              <w:top w:w="28" w:type="dxa"/>
              <w:left w:w="28" w:type="dxa"/>
              <w:bottom w:w="28" w:type="dxa"/>
              <w:right w:w="28" w:type="dxa"/>
            </w:tcMar>
            <w:vAlign w:val="center"/>
          </w:tcPr>
          <w:p>
            <w:pPr>
              <w:pStyle w:val="0"/>
              <w:jc w:val="right"/>
              <w:rPr>
                <w:rFonts w:hint="default"/>
              </w:rPr>
            </w:pPr>
            <w:r>
              <w:rPr>
                <w:rFonts w:hint="default"/>
              </w:rPr>
              <w:t>1.9%</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4"/>
        <w:rPr>
          <w:rFonts w:hint="default"/>
        </w:rPr>
      </w:pPr>
      <w:r>
        <w:rPr>
          <w:rFonts w:hint="default"/>
        </w:rPr>
        <w:t>KDB</w:t>
      </w:r>
      <w:r>
        <w:rPr>
          <w:rFonts w:hint="default"/>
        </w:rPr>
        <w:t>帳票</w:t>
      </w:r>
      <w:r>
        <w:rPr>
          <w:rFonts w:hint="default"/>
        </w:rPr>
        <w:t xml:space="preserve"> S21_012-</w:t>
      </w:r>
      <w:r>
        <w:rPr>
          <w:rFonts w:hint="default"/>
        </w:rPr>
        <w:t>厚生労働省様式（様式</w:t>
      </w:r>
      <w:r>
        <w:rPr>
          <w:rFonts w:hint="default"/>
        </w:rPr>
        <w:t>2-1</w:t>
      </w:r>
      <w:r>
        <w:rPr>
          <w:rFonts w:hint="default"/>
        </w:rPr>
        <w:t>）</w:t>
      </w:r>
      <w:r>
        <w:rPr>
          <w:rFonts w:hint="eastAsia"/>
        </w:rPr>
        <w:t xml:space="preserve"> </w:t>
      </w:r>
      <w:r>
        <w:rPr>
          <w:rFonts w:hint="default"/>
        </w:rPr>
        <w:t>令和</w:t>
      </w:r>
      <w:r>
        <w:rPr>
          <w:rFonts w:hint="eastAsia"/>
        </w:rPr>
        <w:t>4</w:t>
      </w:r>
      <w:r>
        <w:rPr>
          <w:rFonts w:hint="default"/>
        </w:rPr>
        <w:t>年</w:t>
      </w:r>
      <w:r>
        <w:rPr>
          <w:rFonts w:hint="default"/>
        </w:rPr>
        <w:t>6</w:t>
      </w:r>
      <w:r>
        <w:rPr>
          <w:rFonts w:hint="default"/>
        </w:rPr>
        <w:t>月から令和</w:t>
      </w:r>
      <w:r>
        <w:rPr>
          <w:rFonts w:hint="eastAsia"/>
        </w:rPr>
        <w:t>5</w:t>
      </w:r>
      <w:r>
        <w:rPr>
          <w:rFonts w:hint="default"/>
        </w:rPr>
        <w:t>年</w:t>
      </w:r>
      <w:r>
        <w:rPr>
          <w:rFonts w:hint="default"/>
        </w:rPr>
        <w:t>5</w:t>
      </w:r>
      <w:r>
        <w:rPr>
          <w:rFonts w:hint="default"/>
        </w:rPr>
        <w:t>月</w:t>
      </w:r>
    </w:p>
    <w:p>
      <w:pPr>
        <w:pStyle w:val="0"/>
        <w:rPr>
          <w:rFonts w:hint="default"/>
        </w:rPr>
      </w:pPr>
      <w:r>
        <w:rPr>
          <w:rFonts w:hint="default"/>
        </w:rPr>
        <w:br w:type="page"/>
      </w:r>
    </w:p>
    <w:p>
      <w:pPr>
        <w:pStyle w:val="2"/>
        <w:rPr>
          <w:rFonts w:hint="default"/>
        </w:rPr>
      </w:pPr>
      <w:bookmarkStart w:id="155" w:name="_Toc130831783"/>
      <w:bookmarkEnd w:id="155"/>
      <w:bookmarkStart w:id="156" w:name="_Toc130836856"/>
      <w:bookmarkEnd w:id="156"/>
      <w:bookmarkStart w:id="157" w:name="_Toc130836956"/>
      <w:bookmarkEnd w:id="157"/>
      <w:bookmarkStart w:id="158" w:name="_Toc130896269"/>
      <w:bookmarkEnd w:id="158"/>
      <w:bookmarkStart w:id="159" w:name="_Toc162548702"/>
      <w:r>
        <w:rPr>
          <w:rFonts w:hint="eastAsia"/>
        </w:rPr>
        <w:t>一体的実施に係る介護及び高齢者の状況</w:t>
      </w:r>
      <w:bookmarkEnd w:id="159"/>
    </w:p>
    <w:p>
      <w:pPr>
        <w:pStyle w:val="39"/>
        <w:ind w:firstLine="200"/>
        <w:rPr>
          <w:rFonts w:hint="default"/>
        </w:rPr>
      </w:pPr>
      <w:r>
        <w:rPr>
          <w:rFonts w:hint="eastAsia"/>
        </w:rPr>
        <w:t>本項では、後期高齢者医療制度や介護保険との一体的実施との接続を踏まえ、介護及び高齢者に係るデータを分析する。</w:t>
      </w:r>
    </w:p>
    <w:p>
      <w:pPr>
        <w:pStyle w:val="3"/>
        <w:rPr>
          <w:rFonts w:hint="default"/>
        </w:rPr>
      </w:pPr>
      <w:bookmarkStart w:id="160" w:name="_Toc162548703"/>
      <w:r>
        <w:rPr>
          <w:rFonts w:hint="eastAsia"/>
        </w:rPr>
        <w:t>保険種別（国民健康保険及び後期高齢者医療制度）の被保険者構成</w:t>
      </w:r>
      <w:bookmarkEnd w:id="160"/>
    </w:p>
    <w:p>
      <w:pPr>
        <w:pStyle w:val="39"/>
        <w:ind w:firstLine="200"/>
        <w:rPr>
          <w:rFonts w:hint="default"/>
        </w:rPr>
      </w:pPr>
      <w:r>
        <w:rPr>
          <w:rFonts w:hint="eastAsia"/>
        </w:rPr>
        <w:t>保険種別の被保険者構成をみると（</w:t>
      </w:r>
      <w:r>
        <w:rPr>
          <w:rFonts w:hint="eastAsia"/>
        </w:rPr>
        <w:fldChar w:fldCharType="begin"/>
      </w:r>
      <w:r>
        <w:rPr>
          <w:rFonts w:hint="eastAsia"/>
        </w:rPr>
        <w:instrText xml:space="preserve">REF _Ref122542493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1</w:t>
      </w:r>
      <w:r>
        <w:rPr>
          <w:rFonts w:hint="eastAsia"/>
        </w:rPr>
        <w:t>-</w:t>
      </w:r>
      <w:r>
        <w:rPr>
          <w:rFonts w:hint="default"/>
        </w:rPr>
        <w:t>1</w:t>
      </w:r>
      <w:r>
        <w:rPr>
          <w:rFonts w:hint="eastAsia"/>
        </w:rPr>
        <w:fldChar w:fldCharType="end"/>
      </w:r>
      <w:r>
        <w:rPr>
          <w:rFonts w:hint="default"/>
        </w:rPr>
        <w:t>）、国民健康</w:t>
      </w:r>
      <w:r>
        <w:rPr>
          <w:rFonts w:hint="eastAsia"/>
        </w:rPr>
        <w:t>保険（以下、国保という）の加入者数は</w:t>
      </w:r>
      <w:r>
        <w:rPr>
          <w:rFonts w:hint="eastAsia"/>
        </w:rPr>
        <w:t>18,705</w:t>
      </w:r>
      <w:r>
        <w:rPr>
          <w:rFonts w:hint="eastAsia"/>
        </w:rPr>
        <w:t>人、国保加入率は</w:t>
      </w:r>
      <w:r>
        <w:rPr>
          <w:rFonts w:hint="eastAsia"/>
        </w:rPr>
        <w:t>27.9%</w:t>
      </w:r>
      <w:r>
        <w:rPr>
          <w:rFonts w:hint="default"/>
        </w:rPr>
        <w:t>で、</w:t>
      </w:r>
      <w:r>
        <w:rPr>
          <w:rFonts w:hint="eastAsia"/>
        </w:rPr>
        <w:t>国・県より高い</w:t>
      </w:r>
      <w:r>
        <w:rPr>
          <w:rFonts w:hint="default"/>
        </w:rPr>
        <w:t>。</w:t>
      </w:r>
      <w:r>
        <w:rPr>
          <w:rFonts w:hint="eastAsia"/>
        </w:rPr>
        <w:t>後期高齢者医療制度（以下、後期高齢者という。）の加入者数は</w:t>
      </w:r>
      <w:r>
        <w:rPr>
          <w:rFonts w:hint="eastAsia"/>
        </w:rPr>
        <w:t>10,071</w:t>
      </w:r>
      <w:r>
        <w:rPr>
          <w:rFonts w:hint="eastAsia"/>
        </w:rPr>
        <w:t>人、</w:t>
      </w:r>
      <w:r>
        <w:rPr>
          <w:rFonts w:hint="default"/>
        </w:rPr>
        <w:t>後期高齢者加入率は</w:t>
      </w:r>
      <w:r>
        <w:rPr>
          <w:rFonts w:hint="eastAsia"/>
        </w:rPr>
        <w:t>15.0%</w:t>
      </w:r>
      <w:r>
        <w:rPr>
          <w:rFonts w:hint="default"/>
        </w:rPr>
        <w:t>で、</w:t>
      </w:r>
      <w:r>
        <w:rPr>
          <w:rFonts w:hint="eastAsia"/>
        </w:rPr>
        <w:t>国より低いが、県より高い</w:t>
      </w:r>
      <w:r>
        <w:rPr>
          <w:rFonts w:hint="default"/>
        </w:rPr>
        <w:t>。</w:t>
      </w:r>
    </w:p>
    <w:p>
      <w:pPr>
        <w:pStyle w:val="0"/>
        <w:rPr>
          <w:rFonts w:hint="default"/>
        </w:rPr>
      </w:pPr>
    </w:p>
    <w:p>
      <w:pPr>
        <w:pStyle w:val="38"/>
        <w:rPr>
          <w:rFonts w:hint="default"/>
        </w:rPr>
      </w:pPr>
      <w:bookmarkStart w:id="161" w:name="_Ref122542493"/>
      <w:bookmarkStart w:id="162" w:name="_Toc12493685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61"/>
      <w:r>
        <w:rPr>
          <w:rFonts w:hint="default"/>
        </w:rPr>
        <w:t>：</w:t>
      </w:r>
      <w:bookmarkEnd w:id="162"/>
      <w:r>
        <w:rPr>
          <w:rFonts w:hint="eastAsia"/>
        </w:rPr>
        <w:t>保険種別の被保険者構成</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06"/>
        <w:gridCol w:w="1260"/>
        <w:gridCol w:w="1262"/>
        <w:gridCol w:w="1262"/>
        <w:gridCol w:w="1261"/>
        <w:gridCol w:w="1262"/>
        <w:gridCol w:w="1262"/>
      </w:tblGrid>
      <w:tr>
        <w:trPr>
          <w:trHeight w:val="30" w:hRule="atLeast"/>
        </w:trPr>
        <w:tc>
          <w:tcPr>
            <w:tcW w:w="1802" w:type="dxa"/>
            <w:vMerge w:val="restart"/>
            <w:shd w:val="clear" w:color="auto" w:fill="CCD6FF"/>
            <w:tcMar>
              <w:top w:w="28" w:type="dxa"/>
              <w:left w:w="28" w:type="dxa"/>
              <w:bottom w:w="28" w:type="dxa"/>
              <w:right w:w="28" w:type="dxa"/>
            </w:tcMar>
            <w:vAlign w:val="center"/>
          </w:tcPr>
          <w:p>
            <w:pPr>
              <w:pStyle w:val="0"/>
              <w:jc w:val="center"/>
              <w:rPr>
                <w:rFonts w:hint="default"/>
                <w:b w:val="1"/>
              </w:rPr>
            </w:pPr>
            <w:bookmarkStart w:id="163" w:name="_zdy9xja0awf5"/>
            <w:bookmarkEnd w:id="163"/>
          </w:p>
        </w:tc>
        <w:tc>
          <w:tcPr>
            <w:tcW w:w="3775"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国保</w:t>
            </w:r>
          </w:p>
        </w:tc>
        <w:tc>
          <w:tcPr>
            <w:tcW w:w="3776"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後期高齢者</w:t>
            </w:r>
          </w:p>
        </w:tc>
      </w:tr>
      <w:tr>
        <w:trPr>
          <w:trHeight w:val="30" w:hRule="atLeast"/>
        </w:trPr>
        <w:tc>
          <w:tcPr>
            <w:tcW w:w="1802" w:type="dxa"/>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257"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25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25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県</w:t>
            </w:r>
          </w:p>
        </w:tc>
        <w:tc>
          <w:tcPr>
            <w:tcW w:w="1258"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25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25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県</w:t>
            </w:r>
          </w:p>
        </w:tc>
      </w:tr>
      <w:tr>
        <w:trPr>
          <w:trHeight w:val="20" w:hRule="atLeast"/>
        </w:trPr>
        <w:tc>
          <w:tcPr>
            <w:tcW w:w="1802" w:type="dxa"/>
            <w:shd w:val="clear" w:color="auto" w:fill="auto"/>
            <w:tcMar>
              <w:top w:w="28" w:type="dxa"/>
              <w:left w:w="28" w:type="dxa"/>
              <w:bottom w:w="28" w:type="dxa"/>
              <w:right w:w="28" w:type="dxa"/>
            </w:tcMar>
            <w:vAlign w:val="center"/>
          </w:tcPr>
          <w:p>
            <w:pPr>
              <w:pStyle w:val="0"/>
              <w:rPr>
                <w:rFonts w:hint="default"/>
              </w:rPr>
            </w:pPr>
            <w:r>
              <w:rPr>
                <w:rFonts w:hint="eastAsia"/>
              </w:rPr>
              <w:t>総人口</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67,154</w:t>
            </w:r>
          </w:p>
        </w:tc>
        <w:tc>
          <w:tcPr>
            <w:tcW w:w="1259" w:type="dxa"/>
            <w:tcMar>
              <w:top w:w="28" w:type="dxa"/>
              <w:left w:w="28" w:type="dxa"/>
              <w:bottom w:w="28" w:type="dxa"/>
              <w:right w:w="28" w:type="dxa"/>
            </w:tcMar>
            <w:vAlign w:val="center"/>
          </w:tcPr>
          <w:p>
            <w:pPr>
              <w:pStyle w:val="0"/>
              <w:jc w:val="right"/>
              <w:rPr>
                <w:rFonts w:hint="default"/>
              </w:rPr>
            </w:pPr>
            <w:r>
              <w:rPr>
                <w:rFonts w:hint="eastAsia"/>
              </w:rPr>
              <w:t>-</w:t>
            </w:r>
          </w:p>
        </w:tc>
        <w:tc>
          <w:tcPr>
            <w:tcW w:w="1259" w:type="dxa"/>
            <w:tcMar>
              <w:top w:w="28" w:type="dxa"/>
              <w:left w:w="28" w:type="dxa"/>
              <w:bottom w:w="28" w:type="dxa"/>
              <w:right w:w="28" w:type="dxa"/>
            </w:tcMar>
            <w:vAlign w:val="center"/>
          </w:tcPr>
          <w:p>
            <w:pPr>
              <w:pStyle w:val="0"/>
              <w:jc w:val="right"/>
              <w:rPr>
                <w:rFonts w:hint="default"/>
              </w:rPr>
            </w:pPr>
            <w:r>
              <w:rPr>
                <w:rFonts w:hint="eastAsia"/>
              </w:rPr>
              <w:t>-</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67,154</w:t>
            </w:r>
          </w:p>
        </w:tc>
        <w:tc>
          <w:tcPr>
            <w:tcW w:w="1259" w:type="dxa"/>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1259" w:type="dxa"/>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1802" w:type="dxa"/>
            <w:shd w:val="clear" w:color="auto" w:fill="auto"/>
            <w:tcMar>
              <w:top w:w="28" w:type="dxa"/>
              <w:left w:w="28" w:type="dxa"/>
              <w:bottom w:w="28" w:type="dxa"/>
              <w:right w:w="28" w:type="dxa"/>
            </w:tcMar>
            <w:vAlign w:val="center"/>
          </w:tcPr>
          <w:p>
            <w:pPr>
              <w:pStyle w:val="0"/>
              <w:rPr>
                <w:rFonts w:hint="default"/>
              </w:rPr>
            </w:pPr>
            <w:r>
              <w:rPr>
                <w:rFonts w:hint="eastAsia"/>
              </w:rPr>
              <w:t>保険加入者数（人）</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18,705</w:t>
            </w:r>
          </w:p>
        </w:tc>
        <w:tc>
          <w:tcPr>
            <w:tcW w:w="1259" w:type="dxa"/>
            <w:tcMar>
              <w:top w:w="28" w:type="dxa"/>
              <w:left w:w="28" w:type="dxa"/>
              <w:bottom w:w="28" w:type="dxa"/>
              <w:right w:w="28" w:type="dxa"/>
            </w:tcMar>
            <w:vAlign w:val="center"/>
          </w:tcPr>
          <w:p>
            <w:pPr>
              <w:pStyle w:val="0"/>
              <w:jc w:val="right"/>
              <w:rPr>
                <w:rFonts w:hint="default"/>
              </w:rPr>
            </w:pPr>
            <w:r>
              <w:rPr>
                <w:rFonts w:hint="eastAsia"/>
              </w:rPr>
              <w:t>-</w:t>
            </w:r>
          </w:p>
        </w:tc>
        <w:tc>
          <w:tcPr>
            <w:tcW w:w="1259" w:type="dxa"/>
            <w:tcMar>
              <w:top w:w="28" w:type="dxa"/>
              <w:left w:w="28" w:type="dxa"/>
              <w:bottom w:w="28" w:type="dxa"/>
              <w:right w:w="28" w:type="dxa"/>
            </w:tcMar>
            <w:vAlign w:val="center"/>
          </w:tcPr>
          <w:p>
            <w:pPr>
              <w:pStyle w:val="0"/>
              <w:jc w:val="right"/>
              <w:rPr>
                <w:rFonts w:hint="default"/>
              </w:rPr>
            </w:pPr>
            <w:r>
              <w:rPr>
                <w:rFonts w:hint="eastAsia"/>
              </w:rPr>
              <w:t>-</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10,071</w:t>
            </w:r>
          </w:p>
        </w:tc>
        <w:tc>
          <w:tcPr>
            <w:tcW w:w="1259" w:type="dxa"/>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1259" w:type="dxa"/>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r>
      <w:tr>
        <w:trPr>
          <w:trHeight w:val="20" w:hRule="atLeast"/>
        </w:trPr>
        <w:tc>
          <w:tcPr>
            <w:tcW w:w="1802" w:type="dxa"/>
            <w:shd w:val="clear" w:color="auto" w:fill="auto"/>
            <w:tcMar>
              <w:top w:w="28" w:type="dxa"/>
              <w:left w:w="28" w:type="dxa"/>
              <w:bottom w:w="28" w:type="dxa"/>
              <w:right w:w="28" w:type="dxa"/>
            </w:tcMar>
            <w:vAlign w:val="center"/>
          </w:tcPr>
          <w:p>
            <w:pPr>
              <w:pStyle w:val="0"/>
              <w:rPr>
                <w:rFonts w:hint="default"/>
              </w:rPr>
            </w:pPr>
            <w:r>
              <w:rPr>
                <w:rFonts w:hint="eastAsia"/>
              </w:rPr>
              <w:t>保険加入率</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1259" w:type="dxa"/>
            <w:tcMar>
              <w:top w:w="28" w:type="dxa"/>
              <w:left w:w="28" w:type="dxa"/>
              <w:bottom w:w="28" w:type="dxa"/>
              <w:right w:w="28" w:type="dxa"/>
            </w:tcMar>
            <w:vAlign w:val="center"/>
          </w:tcPr>
          <w:p>
            <w:pPr>
              <w:pStyle w:val="0"/>
              <w:jc w:val="right"/>
              <w:rPr>
                <w:rFonts w:hint="default"/>
              </w:rPr>
            </w:pPr>
            <w:r>
              <w:rPr>
                <w:rFonts w:hint="default"/>
              </w:rPr>
              <w:t>19.7%</w:t>
            </w:r>
          </w:p>
        </w:tc>
        <w:tc>
          <w:tcPr>
            <w:tcW w:w="1259" w:type="dxa"/>
            <w:tcMar>
              <w:top w:w="28" w:type="dxa"/>
              <w:left w:w="28" w:type="dxa"/>
              <w:bottom w:w="28" w:type="dxa"/>
              <w:right w:w="28" w:type="dxa"/>
            </w:tcMar>
            <w:vAlign w:val="center"/>
          </w:tcPr>
          <w:p>
            <w:pPr>
              <w:pStyle w:val="0"/>
              <w:jc w:val="right"/>
              <w:rPr>
                <w:rFonts w:hint="default"/>
              </w:rPr>
            </w:pPr>
            <w:r>
              <w:rPr>
                <w:rFonts w:hint="default"/>
              </w:rPr>
              <w:t>19.6%</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15.0%</w:t>
            </w:r>
          </w:p>
        </w:tc>
        <w:tc>
          <w:tcPr>
            <w:tcW w:w="1259" w:type="dxa"/>
            <w:shd w:val="clear" w:color="auto" w:fill="auto"/>
            <w:tcMar>
              <w:top w:w="28" w:type="dxa"/>
              <w:left w:w="28" w:type="dxa"/>
              <w:bottom w:w="28" w:type="dxa"/>
              <w:right w:w="28" w:type="dxa"/>
            </w:tcMar>
            <w:vAlign w:val="center"/>
          </w:tcPr>
          <w:p>
            <w:pPr>
              <w:pStyle w:val="0"/>
              <w:jc w:val="right"/>
              <w:rPr>
                <w:rFonts w:hint="default"/>
              </w:rPr>
            </w:pPr>
            <w:r>
              <w:rPr>
                <w:rFonts w:hint="default"/>
              </w:rPr>
              <w:t>15.4%</w:t>
            </w:r>
          </w:p>
        </w:tc>
        <w:tc>
          <w:tcPr>
            <w:tcW w:w="1259" w:type="dxa"/>
            <w:shd w:val="clear" w:color="auto" w:fill="auto"/>
            <w:tcMar>
              <w:top w:w="28" w:type="dxa"/>
              <w:left w:w="28" w:type="dxa"/>
              <w:bottom w:w="28" w:type="dxa"/>
              <w:right w:w="28" w:type="dxa"/>
            </w:tcMar>
            <w:vAlign w:val="center"/>
          </w:tcPr>
          <w:p>
            <w:pPr>
              <w:pStyle w:val="0"/>
              <w:jc w:val="right"/>
              <w:rPr>
                <w:rFonts w:hint="default"/>
              </w:rPr>
            </w:pPr>
            <w:r>
              <w:rPr>
                <w:rFonts w:hint="default"/>
              </w:rPr>
              <w:t>14.8%</w:t>
            </w:r>
          </w:p>
        </w:tc>
      </w:tr>
    </w:tbl>
    <w:p>
      <w:pPr>
        <w:pStyle w:val="44"/>
        <w:rPr>
          <w:rFonts w:hint="default"/>
        </w:rPr>
      </w:pPr>
      <w:r>
        <w:rPr>
          <w:rFonts w:hint="eastAsia"/>
        </w:rPr>
        <w:t>【出典】住民基本台帳　令和</w:t>
      </w:r>
      <w:r>
        <w:rPr>
          <w:rFonts w:hint="eastAsia"/>
        </w:rPr>
        <w:t>4</w:t>
      </w:r>
      <w:r>
        <w:rPr>
          <w:rFonts w:hint="default"/>
        </w:rPr>
        <w:t>年</w:t>
      </w:r>
      <w:r>
        <w:rPr>
          <w:rFonts w:hint="eastAsia"/>
        </w:rPr>
        <w:t>度</w:t>
      </w:r>
    </w:p>
    <w:p>
      <w:pPr>
        <w:pStyle w:val="44"/>
        <w:rPr>
          <w:rFonts w:hint="default"/>
        </w:rPr>
      </w:pP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eastAsia"/>
        </w:rPr>
        <w:t>4</w:t>
      </w:r>
      <w:r>
        <w:rPr>
          <w:rFonts w:hint="default"/>
        </w:rPr>
        <w:t>年度</w:t>
      </w:r>
      <w:r>
        <w:rPr>
          <w:rFonts w:hint="default"/>
        </w:rPr>
        <w:t xml:space="preserve"> </w:t>
      </w:r>
      <w:r>
        <w:rPr>
          <w:rFonts w:hint="default"/>
        </w:rPr>
        <w:t>累計（国保・後期）</w:t>
      </w:r>
    </w:p>
    <w:p>
      <w:pPr>
        <w:pStyle w:val="0"/>
        <w:rPr>
          <w:rFonts w:hint="default"/>
        </w:rPr>
      </w:pPr>
    </w:p>
    <w:p>
      <w:pPr>
        <w:pStyle w:val="3"/>
        <w:rPr>
          <w:rFonts w:hint="default"/>
        </w:rPr>
      </w:pPr>
      <w:bookmarkStart w:id="164" w:name="_Toc162548704"/>
      <w:bookmarkStart w:id="165" w:name="_Hlk130658213"/>
      <w:r>
        <w:rPr>
          <w:rFonts w:hint="eastAsia"/>
        </w:rPr>
        <w:t>年代別の要介護（要支援）認定者の有病状況</w:t>
      </w:r>
      <w:bookmarkEnd w:id="164"/>
    </w:p>
    <w:p>
      <w:pPr>
        <w:pStyle w:val="39"/>
        <w:ind w:firstLine="200"/>
        <w:rPr>
          <w:rFonts w:hint="default"/>
        </w:rPr>
      </w:pPr>
      <w:r>
        <w:rPr>
          <w:rFonts w:hint="eastAsia"/>
        </w:rPr>
        <w:t>生活習慣病における重篤な疾患である「心臓病」「脳血管疾患」やフレイル予防という観点で「筋・骨格関連疾患」に焦点をあて、概観する。</w:t>
      </w:r>
    </w:p>
    <w:p>
      <w:pPr>
        <w:pStyle w:val="39"/>
        <w:ind w:firstLine="200"/>
        <w:rPr>
          <w:rFonts w:hint="default"/>
        </w:rPr>
      </w:pPr>
      <w:r>
        <w:rPr>
          <w:rFonts w:hint="eastAsia"/>
        </w:rPr>
        <w:t>年代別の要介護（要支援）認定者における有病状況（</w:t>
      </w:r>
      <w:r>
        <w:rPr>
          <w:rFonts w:hint="eastAsia"/>
        </w:rPr>
        <w:fldChar w:fldCharType="begin"/>
      </w:r>
      <w:r>
        <w:rPr>
          <w:rFonts w:hint="eastAsia"/>
        </w:rPr>
        <w:instrText xml:space="preserve">REF _Ref130381297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2</w:t>
      </w:r>
      <w:r>
        <w:rPr>
          <w:rFonts w:hint="eastAsia"/>
        </w:rPr>
        <w:t>-</w:t>
      </w:r>
      <w:r>
        <w:rPr>
          <w:rFonts w:hint="default"/>
        </w:rPr>
        <w:t>1</w:t>
      </w:r>
      <w:r>
        <w:rPr>
          <w:rFonts w:hint="eastAsia"/>
        </w:rPr>
        <w:fldChar w:fldCharType="end"/>
      </w:r>
      <w:r>
        <w:rPr>
          <w:rFonts w:hint="default"/>
        </w:rPr>
        <w:t>）をみると、前期高齢者である</w:t>
      </w:r>
      <w:r>
        <w:rPr>
          <w:rFonts w:hint="default"/>
        </w:rPr>
        <w:t>65-74</w:t>
      </w:r>
      <w:r>
        <w:rPr>
          <w:rFonts w:hint="default"/>
        </w:rPr>
        <w:t>歳の有病割合</w:t>
      </w:r>
      <w:r>
        <w:rPr>
          <w:rFonts w:hint="eastAsia"/>
        </w:rPr>
        <w:t>の国との差</w:t>
      </w:r>
      <w:r>
        <w:rPr>
          <w:rFonts w:hint="default"/>
        </w:rPr>
        <w:t>は、「心臓病」（</w:t>
      </w:r>
      <w:r>
        <w:rPr>
          <w:rFonts w:hint="eastAsia"/>
        </w:rPr>
        <w:t>-1.5</w:t>
      </w:r>
      <w:r>
        <w:rPr>
          <w:rFonts w:hint="eastAsia"/>
        </w:rPr>
        <w:t>ポイント</w:t>
      </w:r>
      <w:r>
        <w:rPr>
          <w:rFonts w:hint="default"/>
        </w:rPr>
        <w:t>）</w:t>
      </w:r>
      <w:r>
        <w:rPr>
          <w:rFonts w:hint="eastAsia"/>
        </w:rPr>
        <w:t>、</w:t>
      </w:r>
      <w:r>
        <w:rPr>
          <w:rFonts w:hint="default"/>
        </w:rPr>
        <w:t>「脳</w:t>
      </w:r>
      <w:r>
        <w:rPr>
          <w:rFonts w:hint="eastAsia"/>
        </w:rPr>
        <w:t>血管</w:t>
      </w:r>
      <w:r>
        <w:rPr>
          <w:rFonts w:hint="default"/>
        </w:rPr>
        <w:t>疾患」</w:t>
      </w:r>
      <w:r>
        <w:rPr>
          <w:rFonts w:hint="eastAsia"/>
        </w:rPr>
        <w:t>（</w:t>
      </w:r>
      <w:r>
        <w:rPr>
          <w:rFonts w:hint="default"/>
        </w:rPr>
        <w:t>-0.7</w:t>
      </w:r>
      <w:r>
        <w:rPr>
          <w:rFonts w:hint="default"/>
        </w:rPr>
        <w:t>ポイント）</w:t>
      </w:r>
      <w:r>
        <w:rPr>
          <w:rFonts w:hint="eastAsia"/>
        </w:rPr>
        <w:t>、</w:t>
      </w:r>
      <w:r>
        <w:rPr>
          <w:rFonts w:hint="default"/>
        </w:rPr>
        <w:t>「筋・骨格関連疾患」</w:t>
      </w:r>
      <w:r>
        <w:rPr>
          <w:rFonts w:hint="eastAsia"/>
        </w:rPr>
        <w:t>（</w:t>
      </w:r>
      <w:r>
        <w:rPr>
          <w:rFonts w:hint="default"/>
        </w:rPr>
        <w:t>-3.1</w:t>
      </w:r>
      <w:r>
        <w:rPr>
          <w:rFonts w:hint="default"/>
        </w:rPr>
        <w:t>ポイント）である。</w:t>
      </w:r>
      <w:r>
        <w:rPr>
          <w:rFonts w:hint="default"/>
        </w:rPr>
        <w:t>75</w:t>
      </w:r>
      <w:r>
        <w:rPr>
          <w:rFonts w:hint="default"/>
        </w:rPr>
        <w:t>歳以上の認定者の有病割合</w:t>
      </w:r>
      <w:r>
        <w:rPr>
          <w:rFonts w:hint="eastAsia"/>
        </w:rPr>
        <w:t>の国との差</w:t>
      </w:r>
      <w:r>
        <w:rPr>
          <w:rFonts w:hint="default"/>
        </w:rPr>
        <w:t>は、「心臓病」</w:t>
      </w:r>
      <w:r>
        <w:rPr>
          <w:rFonts w:hint="eastAsia"/>
        </w:rPr>
        <w:t>（</w:t>
      </w:r>
      <w:r>
        <w:rPr>
          <w:rFonts w:hint="default"/>
        </w:rPr>
        <w:t>-6.6</w:t>
      </w:r>
      <w:r>
        <w:rPr>
          <w:rFonts w:hint="default"/>
        </w:rPr>
        <w:t>ポイント）</w:t>
      </w:r>
      <w:r>
        <w:rPr>
          <w:rFonts w:hint="eastAsia"/>
        </w:rPr>
        <w:t>、</w:t>
      </w:r>
      <w:r>
        <w:rPr>
          <w:rFonts w:hint="default"/>
        </w:rPr>
        <w:t>「脳</w:t>
      </w:r>
      <w:r>
        <w:rPr>
          <w:rFonts w:hint="eastAsia"/>
        </w:rPr>
        <w:t>血管</w:t>
      </w:r>
      <w:r>
        <w:rPr>
          <w:rFonts w:hint="default"/>
        </w:rPr>
        <w:t>疾患」</w:t>
      </w:r>
      <w:r>
        <w:rPr>
          <w:rFonts w:hint="eastAsia"/>
        </w:rPr>
        <w:t>（</w:t>
      </w:r>
      <w:r>
        <w:rPr>
          <w:rFonts w:hint="default"/>
        </w:rPr>
        <w:t>-5.3</w:t>
      </w:r>
      <w:r>
        <w:rPr>
          <w:rFonts w:hint="default"/>
        </w:rPr>
        <w:t>ポイント）</w:t>
      </w:r>
      <w:r>
        <w:rPr>
          <w:rFonts w:hint="eastAsia"/>
        </w:rPr>
        <w:t>、</w:t>
      </w:r>
      <w:r>
        <w:rPr>
          <w:rFonts w:hint="default"/>
        </w:rPr>
        <w:t>「筋・骨格関連疾患」</w:t>
      </w:r>
      <w:r>
        <w:rPr>
          <w:rFonts w:hint="eastAsia"/>
        </w:rPr>
        <w:t>（</w:t>
      </w:r>
      <w:r>
        <w:rPr>
          <w:rFonts w:hint="default"/>
        </w:rPr>
        <w:t>-9.0</w:t>
      </w:r>
      <w:r>
        <w:rPr>
          <w:rFonts w:hint="default"/>
        </w:rPr>
        <w:t>ポイント）である。</w:t>
      </w:r>
    </w:p>
    <w:p>
      <w:pPr>
        <w:pStyle w:val="0"/>
        <w:rPr>
          <w:rFonts w:hint="default"/>
        </w:rPr>
      </w:pPr>
    </w:p>
    <w:p>
      <w:pPr>
        <w:pStyle w:val="38"/>
        <w:rPr>
          <w:rFonts w:hint="default"/>
        </w:rPr>
      </w:pPr>
      <w:bookmarkStart w:id="166" w:name="_Ref13038129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66"/>
      <w:r>
        <w:rPr>
          <w:rFonts w:hint="default"/>
        </w:rPr>
        <w:t>：</w:t>
      </w:r>
      <w:r>
        <w:rPr>
          <w:rFonts w:hint="eastAsia"/>
        </w:rPr>
        <w:t>年代</w:t>
      </w:r>
      <w:r>
        <w:rPr>
          <w:rFonts w:hint="default"/>
        </w:rPr>
        <w:t>別</w:t>
      </w:r>
      <w:r>
        <w:rPr>
          <w:rFonts w:hint="eastAsia"/>
        </w:rPr>
        <w:t>の要介護（要支援）認定者の有病状況</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09"/>
        <w:gridCol w:w="1259"/>
        <w:gridCol w:w="1262"/>
        <w:gridCol w:w="1261"/>
        <w:gridCol w:w="1261"/>
        <w:gridCol w:w="1262"/>
        <w:gridCol w:w="1261"/>
      </w:tblGrid>
      <w:tr>
        <w:trPr>
          <w:trHeight w:val="30" w:hRule="atLeast"/>
        </w:trPr>
        <w:tc>
          <w:tcPr>
            <w:tcW w:w="1806" w:type="dxa"/>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疾病名</w:t>
            </w:r>
          </w:p>
        </w:tc>
        <w:tc>
          <w:tcPr>
            <w:tcW w:w="3773"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6</w:t>
            </w:r>
            <w:r>
              <w:rPr>
                <w:rFonts w:hint="default"/>
                <w:b w:val="1"/>
              </w:rPr>
              <w:t>5-74</w:t>
            </w:r>
            <w:r>
              <w:rPr>
                <w:rFonts w:hint="eastAsia"/>
                <w:b w:val="1"/>
              </w:rPr>
              <w:t>歳</w:t>
            </w:r>
          </w:p>
        </w:tc>
        <w:tc>
          <w:tcPr>
            <w:tcW w:w="3774"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7</w:t>
            </w:r>
            <w:r>
              <w:rPr>
                <w:rFonts w:hint="default"/>
                <w:b w:val="1"/>
              </w:rPr>
              <w:t>5</w:t>
            </w:r>
            <w:r>
              <w:rPr>
                <w:rFonts w:hint="eastAsia"/>
                <w:b w:val="1"/>
              </w:rPr>
              <w:t>歳以上</w:t>
            </w:r>
          </w:p>
        </w:tc>
      </w:tr>
      <w:tr>
        <w:trPr>
          <w:trHeight w:val="30" w:hRule="atLeast"/>
        </w:trPr>
        <w:tc>
          <w:tcPr>
            <w:tcW w:w="1806" w:type="dxa"/>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257"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25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257" w:type="dxa"/>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c>
          <w:tcPr>
            <w:tcW w:w="1258"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25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257" w:type="dxa"/>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糖尿病</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25.6%</w:t>
            </w:r>
          </w:p>
        </w:tc>
        <w:tc>
          <w:tcPr>
            <w:tcW w:w="1258" w:type="dxa"/>
            <w:tcMar>
              <w:top w:w="28" w:type="dxa"/>
              <w:left w:w="28" w:type="dxa"/>
              <w:bottom w:w="28" w:type="dxa"/>
              <w:right w:w="28" w:type="dxa"/>
            </w:tcMar>
            <w:vAlign w:val="center"/>
          </w:tcPr>
          <w:p>
            <w:pPr>
              <w:pStyle w:val="0"/>
              <w:jc w:val="right"/>
              <w:rPr>
                <w:rFonts w:hint="default"/>
              </w:rPr>
            </w:pPr>
            <w:r>
              <w:rPr>
                <w:rFonts w:hint="default"/>
              </w:rPr>
              <w:t>21.6%</w:t>
            </w:r>
          </w:p>
        </w:tc>
        <w:tc>
          <w:tcPr>
            <w:tcW w:w="1258" w:type="dxa"/>
            <w:tcMar>
              <w:top w:w="28" w:type="dxa"/>
              <w:left w:w="28" w:type="dxa"/>
              <w:bottom w:w="28" w:type="dxa"/>
              <w:right w:w="28" w:type="dxa"/>
            </w:tcMar>
            <w:vAlign w:val="center"/>
          </w:tcPr>
          <w:p>
            <w:pPr>
              <w:pStyle w:val="0"/>
              <w:jc w:val="right"/>
              <w:rPr>
                <w:rFonts w:hint="default"/>
              </w:rPr>
            </w:pPr>
            <w:r>
              <w:rPr>
                <w:rFonts w:hint="default"/>
              </w:rPr>
              <w:t>4.0</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31.0%</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24.9%</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6.1</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高血圧症</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33.7%</w:t>
            </w:r>
          </w:p>
        </w:tc>
        <w:tc>
          <w:tcPr>
            <w:tcW w:w="1258" w:type="dxa"/>
            <w:tcMar>
              <w:top w:w="28" w:type="dxa"/>
              <w:left w:w="28" w:type="dxa"/>
              <w:bottom w:w="28" w:type="dxa"/>
              <w:right w:w="28" w:type="dxa"/>
            </w:tcMar>
            <w:vAlign w:val="center"/>
          </w:tcPr>
          <w:p>
            <w:pPr>
              <w:pStyle w:val="0"/>
              <w:jc w:val="right"/>
              <w:rPr>
                <w:rFonts w:hint="default"/>
              </w:rPr>
            </w:pPr>
            <w:r>
              <w:rPr>
                <w:rFonts w:hint="default"/>
              </w:rPr>
              <w:t>35.3%</w:t>
            </w:r>
          </w:p>
        </w:tc>
        <w:tc>
          <w:tcPr>
            <w:tcW w:w="1258" w:type="dxa"/>
            <w:tcMar>
              <w:top w:w="28" w:type="dxa"/>
              <w:left w:w="28" w:type="dxa"/>
              <w:bottom w:w="28" w:type="dxa"/>
              <w:right w:w="28" w:type="dxa"/>
            </w:tcMar>
            <w:vAlign w:val="center"/>
          </w:tcPr>
          <w:p>
            <w:pPr>
              <w:pStyle w:val="0"/>
              <w:jc w:val="right"/>
              <w:rPr>
                <w:rFonts w:hint="default"/>
              </w:rPr>
            </w:pPr>
            <w:r>
              <w:rPr>
                <w:rFonts w:hint="default"/>
              </w:rPr>
              <w:t>-1.6</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50.6%</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56.3%</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脂質異常症</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22.3%</w:t>
            </w:r>
          </w:p>
        </w:tc>
        <w:tc>
          <w:tcPr>
            <w:tcW w:w="1258" w:type="dxa"/>
            <w:tcMar>
              <w:top w:w="28" w:type="dxa"/>
              <w:left w:w="28" w:type="dxa"/>
              <w:bottom w:w="28" w:type="dxa"/>
              <w:right w:w="28" w:type="dxa"/>
            </w:tcMar>
            <w:vAlign w:val="center"/>
          </w:tcPr>
          <w:p>
            <w:pPr>
              <w:pStyle w:val="0"/>
              <w:jc w:val="right"/>
              <w:rPr>
                <w:rFonts w:hint="default"/>
              </w:rPr>
            </w:pPr>
            <w:r>
              <w:rPr>
                <w:rFonts w:hint="default"/>
              </w:rPr>
              <w:t>24.2%</w:t>
            </w:r>
          </w:p>
        </w:tc>
        <w:tc>
          <w:tcPr>
            <w:tcW w:w="1258" w:type="dxa"/>
            <w:tcMar>
              <w:top w:w="28" w:type="dxa"/>
              <w:left w:w="28" w:type="dxa"/>
              <w:bottom w:w="28" w:type="dxa"/>
              <w:right w:w="28" w:type="dxa"/>
            </w:tcMar>
            <w:vAlign w:val="center"/>
          </w:tcPr>
          <w:p>
            <w:pPr>
              <w:pStyle w:val="0"/>
              <w:jc w:val="right"/>
              <w:rPr>
                <w:rFonts w:hint="default"/>
              </w:rPr>
            </w:pPr>
            <w:r>
              <w:rPr>
                <w:rFonts w:hint="default"/>
              </w:rPr>
              <w:t>-1.9</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34.1%</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心臓病</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38.6%</w:t>
            </w:r>
          </w:p>
        </w:tc>
        <w:tc>
          <w:tcPr>
            <w:tcW w:w="1258" w:type="dxa"/>
            <w:tcMar>
              <w:top w:w="28" w:type="dxa"/>
              <w:left w:w="28" w:type="dxa"/>
              <w:bottom w:w="28" w:type="dxa"/>
              <w:right w:w="28" w:type="dxa"/>
            </w:tcMar>
            <w:vAlign w:val="center"/>
          </w:tcPr>
          <w:p>
            <w:pPr>
              <w:pStyle w:val="0"/>
              <w:jc w:val="right"/>
              <w:rPr>
                <w:rFonts w:hint="default"/>
              </w:rPr>
            </w:pPr>
            <w:r>
              <w:rPr>
                <w:rFonts w:hint="default"/>
              </w:rPr>
              <w:t>40.1%</w:t>
            </w:r>
          </w:p>
        </w:tc>
        <w:tc>
          <w:tcPr>
            <w:tcW w:w="1258" w:type="dxa"/>
            <w:tcMar>
              <w:top w:w="28" w:type="dxa"/>
              <w:left w:w="28" w:type="dxa"/>
              <w:bottom w:w="28" w:type="dxa"/>
              <w:right w:w="28" w:type="dxa"/>
            </w:tcMar>
            <w:vAlign w:val="center"/>
          </w:tcPr>
          <w:p>
            <w:pPr>
              <w:pStyle w:val="0"/>
              <w:jc w:val="right"/>
              <w:rPr>
                <w:rFonts w:hint="default"/>
              </w:rPr>
            </w:pPr>
            <w:r>
              <w:rPr>
                <w:rFonts w:hint="default"/>
              </w:rPr>
              <w:t>-1.5</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57.0%</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63.6%</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脳血管疾患</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19.0%</w:t>
            </w:r>
          </w:p>
        </w:tc>
        <w:tc>
          <w:tcPr>
            <w:tcW w:w="1258" w:type="dxa"/>
            <w:tcMar>
              <w:top w:w="28" w:type="dxa"/>
              <w:left w:w="28" w:type="dxa"/>
              <w:bottom w:w="28" w:type="dxa"/>
              <w:right w:w="28" w:type="dxa"/>
            </w:tcMar>
            <w:vAlign w:val="center"/>
          </w:tcPr>
          <w:p>
            <w:pPr>
              <w:pStyle w:val="0"/>
              <w:jc w:val="right"/>
              <w:rPr>
                <w:rFonts w:hint="default"/>
              </w:rPr>
            </w:pPr>
            <w:r>
              <w:rPr>
                <w:rFonts w:hint="default"/>
              </w:rPr>
              <w:t>19.7%</w:t>
            </w:r>
          </w:p>
        </w:tc>
        <w:tc>
          <w:tcPr>
            <w:tcW w:w="1258" w:type="dxa"/>
            <w:tcMar>
              <w:top w:w="28" w:type="dxa"/>
              <w:left w:w="28" w:type="dxa"/>
              <w:bottom w:w="28" w:type="dxa"/>
              <w:right w:w="28" w:type="dxa"/>
            </w:tcMar>
            <w:vAlign w:val="center"/>
          </w:tcPr>
          <w:p>
            <w:pPr>
              <w:pStyle w:val="0"/>
              <w:jc w:val="right"/>
              <w:rPr>
                <w:rFonts w:hint="default"/>
              </w:rPr>
            </w:pPr>
            <w:r>
              <w:rPr>
                <w:rFonts w:hint="default"/>
              </w:rPr>
              <w:t>-0.7</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17.8%</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23.1%</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-5.3</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筋・骨格関連疾患</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32.8%</w:t>
            </w:r>
          </w:p>
        </w:tc>
        <w:tc>
          <w:tcPr>
            <w:tcW w:w="1258" w:type="dxa"/>
            <w:tcMar>
              <w:top w:w="28" w:type="dxa"/>
              <w:left w:w="28" w:type="dxa"/>
              <w:bottom w:w="28" w:type="dxa"/>
              <w:right w:w="28" w:type="dxa"/>
            </w:tcMar>
            <w:vAlign w:val="center"/>
          </w:tcPr>
          <w:p>
            <w:pPr>
              <w:pStyle w:val="0"/>
              <w:jc w:val="right"/>
              <w:rPr>
                <w:rFonts w:hint="default"/>
              </w:rPr>
            </w:pPr>
            <w:r>
              <w:rPr>
                <w:rFonts w:hint="default"/>
              </w:rPr>
              <w:t>35.9%</w:t>
            </w:r>
          </w:p>
        </w:tc>
        <w:tc>
          <w:tcPr>
            <w:tcW w:w="1258" w:type="dxa"/>
            <w:tcMar>
              <w:top w:w="28" w:type="dxa"/>
              <w:left w:w="28" w:type="dxa"/>
              <w:bottom w:w="28" w:type="dxa"/>
              <w:right w:w="28" w:type="dxa"/>
            </w:tcMar>
            <w:vAlign w:val="center"/>
          </w:tcPr>
          <w:p>
            <w:pPr>
              <w:pStyle w:val="0"/>
              <w:jc w:val="right"/>
              <w:rPr>
                <w:rFonts w:hint="default"/>
              </w:rPr>
            </w:pPr>
            <w:r>
              <w:rPr>
                <w:rFonts w:hint="default"/>
              </w:rPr>
              <w:t>-3.1</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47.4%</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56.4%</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-9.0</w:t>
            </w:r>
          </w:p>
        </w:tc>
      </w:tr>
      <w:tr>
        <w:trPr>
          <w:trHeight w:val="20" w:hRule="atLeast"/>
        </w:trPr>
        <w:tc>
          <w:tcPr>
            <w:tcW w:w="1806" w:type="dxa"/>
            <w:shd w:val="clear" w:color="auto" w:fill="auto"/>
            <w:tcMar>
              <w:top w:w="28" w:type="dxa"/>
              <w:left w:w="28" w:type="dxa"/>
              <w:bottom w:w="28" w:type="dxa"/>
              <w:right w:w="28" w:type="dxa"/>
            </w:tcMar>
            <w:vAlign w:val="center"/>
          </w:tcPr>
          <w:p>
            <w:pPr>
              <w:pStyle w:val="0"/>
              <w:rPr>
                <w:rFonts w:hint="default"/>
              </w:rPr>
            </w:pPr>
            <w:r>
              <w:rPr>
                <w:rFonts w:hint="eastAsia"/>
              </w:rPr>
              <w:t>精神疾患</w:t>
            </w:r>
          </w:p>
        </w:tc>
        <w:tc>
          <w:tcPr>
            <w:tcW w:w="1257" w:type="dxa"/>
            <w:shd w:val="clear" w:color="auto" w:fill="auto"/>
            <w:tcMar>
              <w:top w:w="28" w:type="dxa"/>
              <w:left w:w="28" w:type="dxa"/>
              <w:bottom w:w="28" w:type="dxa"/>
              <w:right w:w="28" w:type="dxa"/>
            </w:tcMar>
            <w:vAlign w:val="center"/>
          </w:tcPr>
          <w:p>
            <w:pPr>
              <w:pStyle w:val="0"/>
              <w:jc w:val="right"/>
              <w:rPr>
                <w:rFonts w:hint="default"/>
              </w:rPr>
            </w:pPr>
            <w:r>
              <w:rPr>
                <w:rFonts w:hint="default"/>
              </w:rPr>
              <w:t>22.4%</w:t>
            </w:r>
          </w:p>
        </w:tc>
        <w:tc>
          <w:tcPr>
            <w:tcW w:w="1258" w:type="dxa"/>
            <w:tcMar>
              <w:top w:w="28" w:type="dxa"/>
              <w:left w:w="28" w:type="dxa"/>
              <w:bottom w:w="28" w:type="dxa"/>
              <w:right w:w="28" w:type="dxa"/>
            </w:tcMar>
            <w:vAlign w:val="center"/>
          </w:tcPr>
          <w:p>
            <w:pPr>
              <w:pStyle w:val="0"/>
              <w:jc w:val="right"/>
              <w:rPr>
                <w:rFonts w:hint="default"/>
              </w:rPr>
            </w:pPr>
            <w:r>
              <w:rPr>
                <w:rFonts w:hint="default"/>
              </w:rPr>
              <w:t>25.5%</w:t>
            </w:r>
          </w:p>
        </w:tc>
        <w:tc>
          <w:tcPr>
            <w:tcW w:w="1258" w:type="dxa"/>
            <w:tcMar>
              <w:top w:w="28" w:type="dxa"/>
              <w:left w:w="28" w:type="dxa"/>
              <w:bottom w:w="28" w:type="dxa"/>
              <w:right w:w="28" w:type="dxa"/>
            </w:tcMar>
            <w:vAlign w:val="center"/>
          </w:tcPr>
          <w:p>
            <w:pPr>
              <w:pStyle w:val="0"/>
              <w:jc w:val="right"/>
              <w:rPr>
                <w:rFonts w:hint="default"/>
              </w:rPr>
            </w:pPr>
            <w:r>
              <w:rPr>
                <w:rFonts w:hint="default"/>
              </w:rPr>
              <w:t>-3.1</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30.7%</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38.7%</w:t>
            </w:r>
          </w:p>
        </w:tc>
        <w:tc>
          <w:tcPr>
            <w:tcW w:w="1258" w:type="dxa"/>
            <w:shd w:val="clear" w:color="auto" w:fill="auto"/>
            <w:tcMar>
              <w:top w:w="28" w:type="dxa"/>
              <w:left w:w="28" w:type="dxa"/>
              <w:bottom w:w="28" w:type="dxa"/>
              <w:right w:w="28" w:type="dxa"/>
            </w:tcMar>
            <w:vAlign w:val="center"/>
          </w:tcPr>
          <w:p>
            <w:pPr>
              <w:pStyle w:val="0"/>
              <w:jc w:val="right"/>
              <w:rPr>
                <w:rFonts w:hint="default"/>
              </w:rPr>
            </w:pPr>
            <w:r>
              <w:rPr>
                <w:rFonts w:hint="default"/>
              </w:rPr>
              <w:t>-8.0</w:t>
            </w:r>
          </w:p>
        </w:tc>
      </w:tr>
    </w:tbl>
    <w:p>
      <w:pPr>
        <w:pStyle w:val="44"/>
        <w:wordWrap w:val="0"/>
        <w:rPr>
          <w:rFonts w:hint="default"/>
        </w:rPr>
      </w:pPr>
      <w:r>
        <w:rPr>
          <w:rFonts w:hint="eastAsia"/>
        </w:rPr>
        <w:t>【出典】</w:t>
      </w:r>
      <w:r>
        <w:rPr>
          <w:rFonts w:hint="default"/>
        </w:rPr>
        <w:t>KDB</w:t>
      </w:r>
      <w:r>
        <w:rPr>
          <w:rFonts w:hint="default"/>
        </w:rPr>
        <w:t>帳票</w:t>
      </w:r>
      <w:r>
        <w:rPr>
          <w:rFonts w:hint="default"/>
        </w:rPr>
        <w:t xml:space="preserve"> S25_006-</w:t>
      </w:r>
      <w:r>
        <w:rPr>
          <w:rFonts w:hint="default"/>
        </w:rPr>
        <w:t>医療・介護の突合（有病状況）令和</w:t>
      </w:r>
      <w:r>
        <w:rPr>
          <w:rFonts w:hint="eastAsia"/>
        </w:rPr>
        <w:t>4</w:t>
      </w:r>
      <w:r>
        <w:rPr>
          <w:rFonts w:hint="default"/>
        </w:rPr>
        <w:t>年度</w:t>
      </w:r>
      <w:r>
        <w:rPr>
          <w:rFonts w:hint="eastAsia"/>
        </w:rPr>
        <w:t xml:space="preserve"> </w:t>
      </w:r>
      <w:r>
        <w:rPr>
          <w:rFonts w:hint="eastAsia"/>
        </w:rPr>
        <w:t>年次</w:t>
      </w:r>
    </w:p>
    <w:p>
      <w:pPr>
        <w:pStyle w:val="0"/>
        <w:rPr>
          <w:rFonts w:hint="default"/>
          <w:sz w:val="18"/>
        </w:rPr>
      </w:pPr>
      <w:r>
        <w:rPr>
          <w:rFonts w:hint="default"/>
          <w:sz w:val="18"/>
        </w:rPr>
        <w:br w:type="page"/>
      </w:r>
    </w:p>
    <w:p>
      <w:pPr>
        <w:pStyle w:val="3"/>
        <w:rPr>
          <w:rFonts w:hint="default"/>
        </w:rPr>
      </w:pPr>
      <w:bookmarkStart w:id="167" w:name="_Toc162548705"/>
      <w:r>
        <w:rPr>
          <w:rFonts w:hint="default"/>
        </w:rPr>
        <w:t>保険種別の医療費の状況</w:t>
      </w:r>
      <w:bookmarkEnd w:id="167"/>
    </w:p>
    <w:p>
      <w:pPr>
        <w:pStyle w:val="4"/>
        <w:rPr>
          <w:rFonts w:hint="default"/>
        </w:rPr>
      </w:pPr>
      <w:r>
        <w:rPr>
          <w:rFonts w:hint="eastAsia"/>
        </w:rPr>
        <w:t>保険種別の一人当たり医療費と入院医療費の割合</w:t>
      </w:r>
    </w:p>
    <w:p>
      <w:pPr>
        <w:pStyle w:val="39"/>
        <w:ind w:firstLine="200"/>
        <w:rPr>
          <w:rFonts w:hint="default"/>
        </w:rPr>
      </w:pPr>
      <w:r>
        <w:rPr>
          <w:rFonts w:hint="eastAsia"/>
        </w:rPr>
        <w:t>国保及び後期高齢者の一人当たり月額医療費をみると（</w:t>
      </w:r>
      <w:r>
        <w:rPr>
          <w:rFonts w:hint="eastAsia"/>
        </w:rPr>
        <w:fldChar w:fldCharType="begin"/>
      </w:r>
      <w:r>
        <w:rPr>
          <w:rFonts w:hint="eastAsia"/>
        </w:rPr>
        <w:instrText xml:space="preserve">REF _Ref130381266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3</w:t>
      </w:r>
      <w:r>
        <w:rPr>
          <w:rFonts w:hint="eastAsia"/>
        </w:rPr>
        <w:t>-</w:t>
      </w:r>
      <w:r>
        <w:rPr>
          <w:rFonts w:hint="default"/>
        </w:rPr>
        <w:t>1</w:t>
      </w:r>
      <w:r>
        <w:rPr>
          <w:rFonts w:hint="eastAsia"/>
        </w:rPr>
        <w:fldChar w:fldCharType="end"/>
      </w:r>
      <w:r>
        <w:rPr>
          <w:rFonts w:hint="default"/>
        </w:rPr>
        <w:t>）、</w:t>
      </w:r>
      <w:r>
        <w:rPr>
          <w:rFonts w:hint="eastAsia"/>
        </w:rPr>
        <w:t>国保の</w:t>
      </w:r>
      <w:r>
        <w:rPr>
          <w:rFonts w:hint="default"/>
        </w:rPr>
        <w:t>入院</w:t>
      </w:r>
      <w:r>
        <w:rPr>
          <w:rFonts w:hint="eastAsia"/>
        </w:rPr>
        <w:t>医療費は、国と比べて</w:t>
      </w:r>
      <w:r>
        <w:rPr>
          <w:rFonts w:hint="eastAsia"/>
        </w:rPr>
        <w:t>1,600</w:t>
      </w:r>
      <w:r>
        <w:rPr>
          <w:rFonts w:hint="eastAsia"/>
        </w:rPr>
        <w:t>円少なく、外来医療費は</w:t>
      </w:r>
      <w:r>
        <w:rPr>
          <w:rFonts w:hint="default"/>
        </w:rPr>
        <w:t>740</w:t>
      </w:r>
      <w:r>
        <w:rPr>
          <w:rFonts w:hint="default"/>
        </w:rPr>
        <w:t>円少ない</w:t>
      </w:r>
      <w:r>
        <w:rPr>
          <w:rFonts w:hint="eastAsia"/>
        </w:rPr>
        <w:t>。</w:t>
      </w:r>
      <w:r>
        <w:rPr>
          <w:rFonts w:hint="default"/>
        </w:rPr>
        <w:t>後期高齢者の</w:t>
      </w:r>
      <w:r>
        <w:rPr>
          <w:rFonts w:hint="eastAsia"/>
        </w:rPr>
        <w:t>入院医療費は、国と比べて</w:t>
      </w:r>
      <w:r>
        <w:rPr>
          <w:rFonts w:hint="default"/>
        </w:rPr>
        <w:t>2,060</w:t>
      </w:r>
      <w:r>
        <w:rPr>
          <w:rFonts w:hint="default"/>
        </w:rPr>
        <w:t>円少なく、外来</w:t>
      </w:r>
      <w:r>
        <w:rPr>
          <w:rFonts w:hint="eastAsia"/>
        </w:rPr>
        <w:t>医療費</w:t>
      </w:r>
      <w:r>
        <w:rPr>
          <w:rFonts w:hint="default"/>
        </w:rPr>
        <w:t>は</w:t>
      </w:r>
      <w:r>
        <w:rPr>
          <w:rFonts w:hint="default"/>
        </w:rPr>
        <w:t>3,870</w:t>
      </w:r>
      <w:r>
        <w:rPr>
          <w:rFonts w:hint="default"/>
        </w:rPr>
        <w:t>円少ない。</w:t>
      </w:r>
    </w:p>
    <w:p>
      <w:pPr>
        <w:pStyle w:val="39"/>
        <w:ind w:firstLine="200"/>
        <w:rPr>
          <w:rFonts w:hint="default"/>
        </w:rPr>
      </w:pPr>
      <w:r>
        <w:rPr>
          <w:rFonts w:hint="eastAsia"/>
        </w:rPr>
        <w:t>また、医療費に占める入院医療費の割合は、国保では</w:t>
      </w:r>
      <w:r>
        <w:rPr>
          <w:rFonts w:hint="eastAsia"/>
        </w:rPr>
        <w:t>2.5</w:t>
      </w:r>
      <w:r>
        <w:rPr>
          <w:rFonts w:hint="eastAsia"/>
        </w:rPr>
        <w:t>ポイント低く</w:t>
      </w:r>
      <w:r>
        <w:rPr>
          <w:rFonts w:hint="default"/>
        </w:rPr>
        <w:t>、後期高齢者では</w:t>
      </w:r>
      <w:r>
        <w:rPr>
          <w:rFonts w:hint="eastAsia"/>
        </w:rPr>
        <w:t>1.6</w:t>
      </w:r>
      <w:r>
        <w:rPr>
          <w:rFonts w:hint="eastAsia"/>
        </w:rPr>
        <w:t>ポイント高い</w:t>
      </w:r>
      <w:r>
        <w:rPr>
          <w:rFonts w:hint="default"/>
        </w:rPr>
        <w:t>。</w:t>
      </w:r>
    </w:p>
    <w:p>
      <w:pPr>
        <w:pStyle w:val="0"/>
        <w:rPr>
          <w:rFonts w:hint="default"/>
        </w:rPr>
      </w:pPr>
    </w:p>
    <w:p>
      <w:pPr>
        <w:pStyle w:val="38"/>
        <w:rPr>
          <w:rFonts w:hint="default"/>
        </w:rPr>
      </w:pPr>
      <w:bookmarkStart w:id="168" w:name="_Ref13038126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68"/>
      <w:r>
        <w:rPr>
          <w:rFonts w:hint="default"/>
        </w:rPr>
        <w:t>：</w:t>
      </w:r>
      <w:r>
        <w:rPr>
          <w:rFonts w:hint="eastAsia"/>
        </w:rPr>
        <w:t>保険種別の一人当たり月額医療費及び入院医療費の状況</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702"/>
        <w:gridCol w:w="1111"/>
        <w:gridCol w:w="1112"/>
        <w:gridCol w:w="1114"/>
        <w:gridCol w:w="1112"/>
        <w:gridCol w:w="1112"/>
        <w:gridCol w:w="1112"/>
      </w:tblGrid>
      <w:tr>
        <w:trPr>
          <w:trHeight w:val="30" w:hRule="atLeast"/>
        </w:trPr>
        <w:tc>
          <w:tcPr>
            <w:tcW w:w="2697" w:type="dxa"/>
            <w:vMerge w:val="restart"/>
            <w:shd w:val="clear" w:color="auto" w:fill="CCD6FF"/>
            <w:tcMar>
              <w:top w:w="28" w:type="dxa"/>
              <w:left w:w="28" w:type="dxa"/>
              <w:bottom w:w="28" w:type="dxa"/>
              <w:right w:w="28" w:type="dxa"/>
            </w:tcMar>
            <w:vAlign w:val="center"/>
          </w:tcPr>
          <w:p>
            <w:pPr>
              <w:pStyle w:val="0"/>
              <w:jc w:val="center"/>
              <w:rPr>
                <w:rFonts w:hint="default"/>
                <w:b w:val="1"/>
              </w:rPr>
            </w:pPr>
            <w:bookmarkStart w:id="169" w:name="_Hlk130658144"/>
            <w:bookmarkEnd w:id="169"/>
          </w:p>
        </w:tc>
        <w:tc>
          <w:tcPr>
            <w:tcW w:w="3329"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国保</w:t>
            </w:r>
          </w:p>
        </w:tc>
        <w:tc>
          <w:tcPr>
            <w:tcW w:w="3327"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後期高齢者</w:t>
            </w:r>
          </w:p>
        </w:tc>
      </w:tr>
      <w:tr>
        <w:trPr>
          <w:trHeight w:val="30" w:hRule="atLeast"/>
        </w:trPr>
        <w:tc>
          <w:tcPr>
            <w:tcW w:w="2697" w:type="dxa"/>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10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10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111" w:type="dxa"/>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c>
          <w:tcPr>
            <w:tcW w:w="110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109"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109" w:type="dxa"/>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r>
      <w:tr>
        <w:trPr>
          <w:trHeight w:val="20" w:hRule="atLeast"/>
        </w:trPr>
        <w:tc>
          <w:tcPr>
            <w:tcW w:w="2697" w:type="dxa"/>
            <w:shd w:val="clear" w:color="auto" w:fill="auto"/>
            <w:tcMar>
              <w:top w:w="28" w:type="dxa"/>
              <w:left w:w="28" w:type="dxa"/>
              <w:bottom w:w="28" w:type="dxa"/>
              <w:right w:w="28" w:type="dxa"/>
            </w:tcMar>
            <w:vAlign w:val="center"/>
          </w:tcPr>
          <w:p>
            <w:pPr>
              <w:pStyle w:val="0"/>
              <w:rPr>
                <w:rFonts w:hint="default"/>
              </w:rPr>
            </w:pPr>
            <w:r>
              <w:rPr>
                <w:rFonts w:hint="eastAsia"/>
              </w:rPr>
              <w:t>入院</w:t>
            </w:r>
            <w:r>
              <w:rPr>
                <w:rFonts w:hint="eastAsia"/>
              </w:rPr>
              <w:t>_</w:t>
            </w:r>
            <w:r>
              <w:rPr>
                <w:rFonts w:hint="eastAsia"/>
              </w:rPr>
              <w:t>一人当たり医療費（円）</w:t>
            </w:r>
          </w:p>
        </w:tc>
        <w:tc>
          <w:tcPr>
            <w:tcW w:w="1109" w:type="dxa"/>
            <w:shd w:val="clear" w:color="auto" w:fill="auto"/>
            <w:tcMar>
              <w:top w:w="28" w:type="dxa"/>
              <w:left w:w="28" w:type="dxa"/>
              <w:bottom w:w="28" w:type="dxa"/>
              <w:right w:w="28" w:type="dxa"/>
            </w:tcMar>
            <w:vAlign w:val="center"/>
          </w:tcPr>
          <w:p>
            <w:pPr>
              <w:pStyle w:val="0"/>
              <w:jc w:val="right"/>
              <w:rPr>
                <w:rFonts w:hint="default"/>
              </w:rPr>
            </w:pPr>
            <w:r>
              <w:rPr>
                <w:rFonts w:hint="default"/>
              </w:rPr>
              <w:t>10,050</w:t>
            </w:r>
          </w:p>
        </w:tc>
        <w:tc>
          <w:tcPr>
            <w:tcW w:w="1109" w:type="dxa"/>
            <w:shd w:val="clear" w:color="auto" w:fill="auto"/>
            <w:tcMar>
              <w:top w:w="28" w:type="dxa"/>
              <w:left w:w="28" w:type="dxa"/>
              <w:bottom w:w="28" w:type="dxa"/>
              <w:right w:w="28" w:type="dxa"/>
            </w:tcMar>
            <w:vAlign w:val="center"/>
          </w:tcPr>
          <w:p>
            <w:pPr>
              <w:pStyle w:val="0"/>
              <w:jc w:val="right"/>
              <w:rPr>
                <w:rFonts w:hint="default"/>
              </w:rPr>
            </w:pPr>
            <w:r>
              <w:rPr>
                <w:rFonts w:hint="default"/>
              </w:rPr>
              <w:t>11,650</w:t>
            </w:r>
          </w:p>
        </w:tc>
        <w:tc>
          <w:tcPr>
            <w:tcW w:w="1111" w:type="dxa"/>
            <w:shd w:val="clear" w:color="auto" w:fill="auto"/>
            <w:tcMar>
              <w:top w:w="28" w:type="dxa"/>
              <w:left w:w="28" w:type="dxa"/>
              <w:bottom w:w="28" w:type="dxa"/>
              <w:right w:w="28" w:type="dxa"/>
            </w:tcMar>
            <w:vAlign w:val="center"/>
          </w:tcPr>
          <w:p>
            <w:pPr>
              <w:pStyle w:val="0"/>
              <w:jc w:val="right"/>
              <w:rPr>
                <w:rFonts w:hint="default"/>
              </w:rPr>
            </w:pPr>
            <w:r>
              <w:rPr>
                <w:rFonts w:hint="default"/>
              </w:rPr>
              <w:t>-1,600</w:t>
            </w:r>
          </w:p>
        </w:tc>
        <w:tc>
          <w:tcPr>
            <w:tcW w:w="1109" w:type="dxa"/>
            <w:tcMar>
              <w:top w:w="28" w:type="dxa"/>
              <w:left w:w="28" w:type="dxa"/>
              <w:bottom w:w="28" w:type="dxa"/>
              <w:right w:w="28" w:type="dxa"/>
            </w:tcMar>
            <w:vAlign w:val="center"/>
          </w:tcPr>
          <w:p>
            <w:pPr>
              <w:pStyle w:val="0"/>
              <w:jc w:val="right"/>
              <w:rPr>
                <w:rFonts w:hint="default"/>
              </w:rPr>
            </w:pPr>
            <w:r>
              <w:rPr>
                <w:rFonts w:hint="default"/>
              </w:rPr>
              <w:t>34,760</w:t>
            </w:r>
          </w:p>
        </w:tc>
        <w:tc>
          <w:tcPr>
            <w:tcW w:w="1109" w:type="dxa"/>
            <w:tcMar>
              <w:top w:w="28" w:type="dxa"/>
              <w:left w:w="28" w:type="dxa"/>
              <w:bottom w:w="28" w:type="dxa"/>
              <w:right w:w="28" w:type="dxa"/>
            </w:tcMar>
            <w:vAlign w:val="center"/>
          </w:tcPr>
          <w:p>
            <w:pPr>
              <w:pStyle w:val="0"/>
              <w:jc w:val="right"/>
              <w:rPr>
                <w:rFonts w:hint="default"/>
              </w:rPr>
            </w:pPr>
            <w:r>
              <w:rPr>
                <w:rFonts w:hint="default"/>
              </w:rPr>
              <w:t>36,820</w:t>
            </w:r>
          </w:p>
        </w:tc>
        <w:tc>
          <w:tcPr>
            <w:tcW w:w="1109" w:type="dxa"/>
            <w:tcMar>
              <w:top w:w="28" w:type="dxa"/>
              <w:left w:w="28" w:type="dxa"/>
              <w:bottom w:w="28" w:type="dxa"/>
              <w:right w:w="28" w:type="dxa"/>
            </w:tcMar>
            <w:vAlign w:val="center"/>
          </w:tcPr>
          <w:p>
            <w:pPr>
              <w:pStyle w:val="0"/>
              <w:jc w:val="right"/>
              <w:rPr>
                <w:rFonts w:hint="default"/>
              </w:rPr>
            </w:pPr>
            <w:r>
              <w:rPr>
                <w:rFonts w:hint="default"/>
              </w:rPr>
              <w:t>-2,060</w:t>
            </w:r>
          </w:p>
        </w:tc>
      </w:tr>
      <w:tr>
        <w:trPr>
          <w:trHeight w:val="20" w:hRule="atLeast"/>
        </w:trPr>
        <w:tc>
          <w:tcPr>
            <w:tcW w:w="2697" w:type="dxa"/>
            <w:shd w:val="clear" w:color="auto" w:fill="auto"/>
            <w:tcMar>
              <w:top w:w="28" w:type="dxa"/>
              <w:left w:w="28" w:type="dxa"/>
              <w:bottom w:w="28" w:type="dxa"/>
              <w:right w:w="28" w:type="dxa"/>
            </w:tcMar>
            <w:vAlign w:val="center"/>
          </w:tcPr>
          <w:p>
            <w:pPr>
              <w:pStyle w:val="0"/>
              <w:rPr>
                <w:rFonts w:hint="default"/>
              </w:rPr>
            </w:pPr>
            <w:r>
              <w:rPr>
                <w:rFonts w:hint="eastAsia"/>
              </w:rPr>
              <w:t>外来</w:t>
            </w:r>
            <w:r>
              <w:rPr>
                <w:rFonts w:hint="eastAsia"/>
              </w:rPr>
              <w:t>_</w:t>
            </w:r>
            <w:r>
              <w:rPr>
                <w:rFonts w:hint="eastAsia"/>
              </w:rPr>
              <w:t>一人当たり医療費（円）</w:t>
            </w:r>
          </w:p>
        </w:tc>
        <w:tc>
          <w:tcPr>
            <w:tcW w:w="1109" w:type="dxa"/>
            <w:shd w:val="clear" w:color="auto" w:fill="auto"/>
            <w:tcMar>
              <w:top w:w="28" w:type="dxa"/>
              <w:left w:w="28" w:type="dxa"/>
              <w:bottom w:w="28" w:type="dxa"/>
              <w:right w:w="28" w:type="dxa"/>
            </w:tcMar>
            <w:vAlign w:val="center"/>
          </w:tcPr>
          <w:p>
            <w:pPr>
              <w:pStyle w:val="0"/>
              <w:jc w:val="right"/>
              <w:rPr>
                <w:rFonts w:hint="default"/>
              </w:rPr>
            </w:pPr>
            <w:r>
              <w:rPr>
                <w:rFonts w:hint="default"/>
              </w:rPr>
              <w:t>16,660</w:t>
            </w:r>
          </w:p>
        </w:tc>
        <w:tc>
          <w:tcPr>
            <w:tcW w:w="1109" w:type="dxa"/>
            <w:shd w:val="clear" w:color="auto" w:fill="auto"/>
            <w:tcMar>
              <w:top w:w="28" w:type="dxa"/>
              <w:left w:w="28" w:type="dxa"/>
              <w:bottom w:w="28" w:type="dxa"/>
              <w:right w:w="28" w:type="dxa"/>
            </w:tcMar>
            <w:vAlign w:val="center"/>
          </w:tcPr>
          <w:p>
            <w:pPr>
              <w:pStyle w:val="0"/>
              <w:jc w:val="right"/>
              <w:rPr>
                <w:rFonts w:hint="default"/>
              </w:rPr>
            </w:pPr>
            <w:r>
              <w:rPr>
                <w:rFonts w:hint="default"/>
              </w:rPr>
              <w:t>17,400</w:t>
            </w:r>
          </w:p>
        </w:tc>
        <w:tc>
          <w:tcPr>
            <w:tcW w:w="1111" w:type="dxa"/>
            <w:shd w:val="clear" w:color="auto" w:fill="auto"/>
            <w:tcMar>
              <w:top w:w="28" w:type="dxa"/>
              <w:left w:w="28" w:type="dxa"/>
              <w:bottom w:w="28" w:type="dxa"/>
              <w:right w:w="28" w:type="dxa"/>
            </w:tcMar>
            <w:vAlign w:val="center"/>
          </w:tcPr>
          <w:p>
            <w:pPr>
              <w:pStyle w:val="0"/>
              <w:jc w:val="right"/>
              <w:rPr>
                <w:rFonts w:hint="default"/>
              </w:rPr>
            </w:pPr>
            <w:r>
              <w:rPr>
                <w:rFonts w:hint="default"/>
              </w:rPr>
              <w:t>-740</w:t>
            </w:r>
          </w:p>
        </w:tc>
        <w:tc>
          <w:tcPr>
            <w:tcW w:w="1109" w:type="dxa"/>
            <w:tcMar>
              <w:top w:w="28" w:type="dxa"/>
              <w:left w:w="28" w:type="dxa"/>
              <w:bottom w:w="28" w:type="dxa"/>
              <w:right w:w="28" w:type="dxa"/>
            </w:tcMar>
            <w:vAlign w:val="center"/>
          </w:tcPr>
          <w:p>
            <w:pPr>
              <w:pStyle w:val="0"/>
              <w:jc w:val="right"/>
              <w:rPr>
                <w:rFonts w:hint="default"/>
              </w:rPr>
            </w:pPr>
            <w:r>
              <w:rPr>
                <w:rFonts w:hint="default"/>
              </w:rPr>
              <w:t>30,470</w:t>
            </w:r>
          </w:p>
        </w:tc>
        <w:tc>
          <w:tcPr>
            <w:tcW w:w="1109" w:type="dxa"/>
            <w:tcMar>
              <w:top w:w="28" w:type="dxa"/>
              <w:left w:w="28" w:type="dxa"/>
              <w:bottom w:w="28" w:type="dxa"/>
              <w:right w:w="28" w:type="dxa"/>
            </w:tcMar>
            <w:vAlign w:val="center"/>
          </w:tcPr>
          <w:p>
            <w:pPr>
              <w:pStyle w:val="0"/>
              <w:jc w:val="right"/>
              <w:rPr>
                <w:rFonts w:hint="default"/>
              </w:rPr>
            </w:pPr>
            <w:r>
              <w:rPr>
                <w:rFonts w:hint="default"/>
              </w:rPr>
              <w:t>34,340</w:t>
            </w:r>
          </w:p>
        </w:tc>
        <w:tc>
          <w:tcPr>
            <w:tcW w:w="1109" w:type="dxa"/>
            <w:tcMar>
              <w:top w:w="28" w:type="dxa"/>
              <w:left w:w="28" w:type="dxa"/>
              <w:bottom w:w="28" w:type="dxa"/>
              <w:right w:w="28" w:type="dxa"/>
            </w:tcMar>
            <w:vAlign w:val="center"/>
          </w:tcPr>
          <w:p>
            <w:pPr>
              <w:pStyle w:val="0"/>
              <w:jc w:val="right"/>
              <w:rPr>
                <w:rFonts w:hint="default"/>
              </w:rPr>
            </w:pPr>
            <w:r>
              <w:rPr>
                <w:rFonts w:hint="default"/>
              </w:rPr>
              <w:t>-3,870</w:t>
            </w:r>
          </w:p>
        </w:tc>
      </w:tr>
      <w:tr>
        <w:trPr>
          <w:trHeight w:val="20" w:hRule="atLeast"/>
        </w:trPr>
        <w:tc>
          <w:tcPr>
            <w:tcW w:w="2697" w:type="dxa"/>
            <w:shd w:val="clear" w:color="auto" w:fill="auto"/>
            <w:tcMar>
              <w:top w:w="28" w:type="dxa"/>
              <w:left w:w="28" w:type="dxa"/>
              <w:bottom w:w="28" w:type="dxa"/>
              <w:right w:w="28" w:type="dxa"/>
            </w:tcMar>
            <w:vAlign w:val="center"/>
          </w:tcPr>
          <w:p>
            <w:pPr>
              <w:pStyle w:val="0"/>
              <w:rPr>
                <w:rFonts w:hint="default"/>
              </w:rPr>
            </w:pPr>
            <w:r>
              <w:rPr>
                <w:rFonts w:hint="eastAsia"/>
              </w:rPr>
              <w:t>総医療費に占める入院医療費の割合</w:t>
            </w:r>
          </w:p>
        </w:tc>
        <w:tc>
          <w:tcPr>
            <w:tcW w:w="1109" w:type="dxa"/>
            <w:shd w:val="clear" w:color="auto" w:fill="auto"/>
            <w:tcMar>
              <w:top w:w="28" w:type="dxa"/>
              <w:left w:w="28" w:type="dxa"/>
              <w:bottom w:w="28" w:type="dxa"/>
              <w:right w:w="28" w:type="dxa"/>
            </w:tcMar>
            <w:vAlign w:val="center"/>
          </w:tcPr>
          <w:p>
            <w:pPr>
              <w:pStyle w:val="0"/>
              <w:jc w:val="right"/>
              <w:rPr>
                <w:rFonts w:hint="default"/>
              </w:rPr>
            </w:pPr>
            <w:r>
              <w:rPr>
                <w:rFonts w:hint="default"/>
              </w:rPr>
              <w:t>37.6%</w:t>
            </w:r>
          </w:p>
        </w:tc>
        <w:tc>
          <w:tcPr>
            <w:tcW w:w="1109" w:type="dxa"/>
            <w:shd w:val="clear" w:color="auto" w:fill="auto"/>
            <w:tcMar>
              <w:top w:w="28" w:type="dxa"/>
              <w:left w:w="28" w:type="dxa"/>
              <w:bottom w:w="28" w:type="dxa"/>
              <w:right w:w="28" w:type="dxa"/>
            </w:tcMar>
            <w:vAlign w:val="center"/>
          </w:tcPr>
          <w:p>
            <w:pPr>
              <w:pStyle w:val="0"/>
              <w:jc w:val="right"/>
              <w:rPr>
                <w:rFonts w:hint="default"/>
              </w:rPr>
            </w:pPr>
            <w:r>
              <w:rPr>
                <w:rFonts w:hint="default"/>
              </w:rPr>
              <w:t>40.1%</w:t>
            </w:r>
          </w:p>
        </w:tc>
        <w:tc>
          <w:tcPr>
            <w:tcW w:w="1111" w:type="dxa"/>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1109" w:type="dxa"/>
            <w:tcMar>
              <w:top w:w="28" w:type="dxa"/>
              <w:left w:w="28" w:type="dxa"/>
              <w:bottom w:w="28" w:type="dxa"/>
              <w:right w:w="28" w:type="dxa"/>
            </w:tcMar>
            <w:vAlign w:val="center"/>
          </w:tcPr>
          <w:p>
            <w:pPr>
              <w:pStyle w:val="0"/>
              <w:jc w:val="right"/>
              <w:rPr>
                <w:rFonts w:hint="default"/>
              </w:rPr>
            </w:pPr>
            <w:r>
              <w:rPr>
                <w:rFonts w:hint="default"/>
              </w:rPr>
              <w:t>53.3%</w:t>
            </w:r>
          </w:p>
        </w:tc>
        <w:tc>
          <w:tcPr>
            <w:tcW w:w="1109" w:type="dxa"/>
            <w:tcMar>
              <w:top w:w="28" w:type="dxa"/>
              <w:left w:w="28" w:type="dxa"/>
              <w:bottom w:w="28" w:type="dxa"/>
              <w:right w:w="28" w:type="dxa"/>
            </w:tcMar>
            <w:vAlign w:val="center"/>
          </w:tcPr>
          <w:p>
            <w:pPr>
              <w:pStyle w:val="0"/>
              <w:jc w:val="right"/>
              <w:rPr>
                <w:rFonts w:hint="default"/>
              </w:rPr>
            </w:pPr>
            <w:r>
              <w:rPr>
                <w:rFonts w:hint="default"/>
              </w:rPr>
              <w:t>51.7%</w:t>
            </w:r>
          </w:p>
        </w:tc>
        <w:tc>
          <w:tcPr>
            <w:tcW w:w="1109" w:type="dxa"/>
            <w:tcMar>
              <w:top w:w="28" w:type="dxa"/>
              <w:left w:w="28" w:type="dxa"/>
              <w:bottom w:w="28" w:type="dxa"/>
              <w:right w:w="28" w:type="dxa"/>
            </w:tcMar>
            <w:vAlign w:val="center"/>
          </w:tcPr>
          <w:p>
            <w:pPr>
              <w:pStyle w:val="0"/>
              <w:jc w:val="right"/>
              <w:rPr>
                <w:rFonts w:hint="default"/>
              </w:rPr>
            </w:pPr>
            <w:r>
              <w:rPr>
                <w:rFonts w:hint="default"/>
              </w:rPr>
              <w:t>1.6</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default"/>
        </w:rPr>
        <w:t>4</w:t>
      </w:r>
      <w:r>
        <w:rPr>
          <w:rFonts w:hint="default"/>
        </w:rPr>
        <w:t>年度</w:t>
      </w:r>
      <w:r>
        <w:rPr>
          <w:rFonts w:hint="default"/>
        </w:rPr>
        <w:t xml:space="preserve"> </w:t>
      </w:r>
      <w:r>
        <w:rPr>
          <w:rFonts w:hint="default"/>
        </w:rPr>
        <w:t>累計（国保・後期）</w:t>
      </w:r>
    </w:p>
    <w:p>
      <w:pPr>
        <w:pStyle w:val="0"/>
        <w:rPr>
          <w:rFonts w:hint="default"/>
        </w:rPr>
      </w:pPr>
    </w:p>
    <w:p>
      <w:pPr>
        <w:pStyle w:val="4"/>
        <w:rPr>
          <w:rFonts w:hint="default"/>
        </w:rPr>
      </w:pPr>
      <w:r>
        <w:rPr>
          <w:rFonts w:hint="eastAsia"/>
        </w:rPr>
        <w:t>保険種別の医療費の疾病別構成</w:t>
      </w:r>
    </w:p>
    <w:p>
      <w:pPr>
        <w:pStyle w:val="39"/>
        <w:ind w:firstLine="200"/>
        <w:rPr>
          <w:rFonts w:hint="default"/>
        </w:rPr>
      </w:pPr>
      <w:r>
        <w:rPr>
          <w:rFonts w:hint="eastAsia"/>
        </w:rPr>
        <w:t>保険種別に医療費の疾病別構成割合をみると（</w:t>
      </w:r>
      <w:r>
        <w:rPr>
          <w:rFonts w:hint="eastAsia"/>
        </w:rPr>
        <w:fldChar w:fldCharType="begin"/>
      </w:r>
      <w:r>
        <w:rPr>
          <w:rFonts w:hint="eastAsia"/>
        </w:rPr>
        <w:instrText xml:space="preserve">REF _Ref122542632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3</w:t>
      </w:r>
      <w:r>
        <w:rPr>
          <w:rFonts w:hint="eastAsia"/>
        </w:rPr>
        <w:t>-</w:t>
      </w:r>
      <w:r>
        <w:rPr>
          <w:rFonts w:hint="default"/>
        </w:rPr>
        <w:t>2</w:t>
      </w:r>
      <w:r>
        <w:rPr>
          <w:rFonts w:hint="eastAsia"/>
        </w:rPr>
        <w:fldChar w:fldCharType="end"/>
      </w:r>
      <w:r>
        <w:rPr>
          <w:rFonts w:hint="default"/>
        </w:rPr>
        <w:t>）、国保では</w:t>
      </w:r>
      <w:r>
        <w:rPr>
          <w:rFonts w:hint="eastAsia"/>
        </w:rPr>
        <w:t>「がん」</w:t>
      </w:r>
      <w:r>
        <w:rPr>
          <w:rFonts w:hint="default"/>
        </w:rPr>
        <w:t>の医療費が占める割合が最も高く、医療費の</w:t>
      </w:r>
      <w:r>
        <w:rPr>
          <w:rFonts w:hint="eastAsia"/>
        </w:rPr>
        <w:t>16.0%</w:t>
      </w:r>
      <w:r>
        <w:rPr>
          <w:rFonts w:hint="default"/>
        </w:rPr>
        <w:t>を占めており、国と比べて</w:t>
      </w:r>
      <w:r>
        <w:rPr>
          <w:rFonts w:hint="eastAsia"/>
        </w:rPr>
        <w:t>0.8</w:t>
      </w:r>
      <w:r>
        <w:rPr>
          <w:rFonts w:hint="eastAsia"/>
        </w:rPr>
        <w:t>ポイント低い</w:t>
      </w:r>
      <w:r>
        <w:rPr>
          <w:rFonts w:hint="default"/>
        </w:rPr>
        <w:t>。後期高齢者では</w:t>
      </w:r>
      <w:r>
        <w:rPr>
          <w:rFonts w:hint="eastAsia"/>
        </w:rPr>
        <w:t>「</w:t>
      </w:r>
      <w:r>
        <w:rPr>
          <w:rFonts w:hint="default"/>
        </w:rPr>
        <w:t>筋・骨格関連疾患</w:t>
      </w:r>
      <w:r>
        <w:rPr>
          <w:rFonts w:hint="eastAsia"/>
        </w:rPr>
        <w:t>」</w:t>
      </w:r>
      <w:r>
        <w:rPr>
          <w:rFonts w:hint="default"/>
        </w:rPr>
        <w:t>の医療費が占める割合が最も高く、医療費の</w:t>
      </w:r>
      <w:r>
        <w:rPr>
          <w:rFonts w:hint="default"/>
        </w:rPr>
        <w:t>12.2%</w:t>
      </w:r>
      <w:r>
        <w:rPr>
          <w:rFonts w:hint="default"/>
        </w:rPr>
        <w:t>を占めており、国と比べて</w:t>
      </w:r>
      <w:r>
        <w:rPr>
          <w:rFonts w:hint="default"/>
        </w:rPr>
        <w:t>0.2</w:t>
      </w:r>
      <w:r>
        <w:rPr>
          <w:rFonts w:hint="default"/>
        </w:rPr>
        <w:t>ポイント低い。</w:t>
      </w:r>
    </w:p>
    <w:p>
      <w:pPr>
        <w:pStyle w:val="39"/>
        <w:ind w:firstLine="200"/>
        <w:rPr>
          <w:rFonts w:hint="default"/>
        </w:rPr>
      </w:pPr>
      <w:r>
        <w:rPr>
          <w:rFonts w:hint="eastAsia"/>
        </w:rPr>
        <w:t>重篤な生活習慣病の医療費に絞って疾病別構成割合をみると、</w:t>
      </w:r>
      <w:r>
        <w:rPr>
          <w:rFonts w:hint="default"/>
        </w:rPr>
        <w:t>「脳出血」「脳梗塞」「狭心症」</w:t>
      </w:r>
      <w:r>
        <w:rPr>
          <w:rFonts w:hint="eastAsia"/>
        </w:rPr>
        <w:t>の後期</w:t>
      </w:r>
      <w:r>
        <w:rPr>
          <w:rFonts w:hint="default"/>
        </w:rPr>
        <w:t>の</w:t>
      </w:r>
      <w:r>
        <w:rPr>
          <w:rFonts w:hint="eastAsia"/>
        </w:rPr>
        <w:t>総</w:t>
      </w:r>
      <w:r>
        <w:rPr>
          <w:rFonts w:hint="default"/>
        </w:rPr>
        <w:t>医療費</w:t>
      </w:r>
      <w:r>
        <w:rPr>
          <w:rFonts w:hint="eastAsia"/>
        </w:rPr>
        <w:t>に占める</w:t>
      </w:r>
      <w:r>
        <w:rPr>
          <w:rFonts w:hint="default"/>
        </w:rPr>
        <w:t>割合は、</w:t>
      </w:r>
      <w:r>
        <w:rPr>
          <w:rFonts w:hint="eastAsia"/>
        </w:rPr>
        <w:t>同疾患の国保の総医療費に占める割合と</w:t>
      </w:r>
      <w:r>
        <w:rPr>
          <w:rFonts w:hint="default"/>
        </w:rPr>
        <w:t>比べて大きい。</w:t>
      </w:r>
    </w:p>
    <w:p>
      <w:pPr>
        <w:pStyle w:val="0"/>
        <w:rPr>
          <w:rFonts w:hint="default"/>
        </w:rPr>
      </w:pPr>
    </w:p>
    <w:p>
      <w:pPr>
        <w:pStyle w:val="38"/>
        <w:rPr>
          <w:rFonts w:hint="default"/>
        </w:rPr>
      </w:pPr>
      <w:bookmarkStart w:id="170" w:name="_Ref122542632"/>
      <w:bookmarkStart w:id="171" w:name="_Toc12493685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170"/>
      <w:r>
        <w:rPr>
          <w:rFonts w:hint="default"/>
        </w:rPr>
        <w:t>：保険種別医療費の状況</w:t>
      </w:r>
      <w:bookmarkEnd w:id="171"/>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24"/>
        <w:gridCol w:w="1172"/>
        <w:gridCol w:w="1277"/>
        <w:gridCol w:w="1279"/>
        <w:gridCol w:w="1277"/>
        <w:gridCol w:w="1277"/>
        <w:gridCol w:w="1269"/>
      </w:tblGrid>
      <w:tr>
        <w:trPr>
          <w:trHeight w:val="20" w:hRule="atLeast"/>
        </w:trPr>
        <w:tc>
          <w:tcPr>
            <w:tcW w:w="97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疾病名</w:t>
            </w:r>
          </w:p>
        </w:tc>
        <w:tc>
          <w:tcPr>
            <w:tcW w:w="1988" w:type="pct"/>
            <w:gridSpan w:val="3"/>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国保</w:t>
            </w:r>
          </w:p>
        </w:tc>
        <w:tc>
          <w:tcPr>
            <w:tcW w:w="2039" w:type="pct"/>
            <w:gridSpan w:val="3"/>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後期</w:t>
            </w:r>
            <w:r>
              <w:rPr>
                <w:rFonts w:hint="eastAsia"/>
                <w:b w:val="1"/>
              </w:rPr>
              <w:t>高齢者</w:t>
            </w:r>
          </w:p>
        </w:tc>
      </w:tr>
      <w:tr>
        <w:trPr>
          <w:trHeight w:val="25" w:hRule="atLeast"/>
        </w:trPr>
        <w:tc>
          <w:tcPr>
            <w:tcW w:w="973" w:type="pct"/>
            <w:vMerge w:val="continue"/>
            <w:tcMar>
              <w:top w:w="28" w:type="dxa"/>
              <w:left w:w="28" w:type="dxa"/>
              <w:bottom w:w="28" w:type="dxa"/>
              <w:right w:w="28" w:type="dxa"/>
            </w:tcMar>
            <w:vAlign w:val="center"/>
          </w:tcPr>
          <w:p>
            <w:pPr>
              <w:pStyle w:val="0"/>
              <w:jc w:val="center"/>
              <w:rPr>
                <w:rFonts w:hint="default"/>
                <w:b w:val="1"/>
              </w:rPr>
            </w:pPr>
          </w:p>
        </w:tc>
        <w:tc>
          <w:tcPr>
            <w:tcW w:w="625"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68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681"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c>
          <w:tcPr>
            <w:tcW w:w="68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68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677"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糖尿病</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6.8%</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5.4%</w:t>
            </w:r>
          </w:p>
        </w:tc>
        <w:tc>
          <w:tcPr>
            <w:tcW w:w="681" w:type="pct"/>
            <w:tcMar>
              <w:top w:w="28" w:type="dxa"/>
              <w:left w:w="28" w:type="dxa"/>
              <w:bottom w:w="28" w:type="dxa"/>
              <w:right w:w="28" w:type="dxa"/>
            </w:tcMar>
            <w:vAlign w:val="center"/>
          </w:tcPr>
          <w:p>
            <w:pPr>
              <w:pStyle w:val="0"/>
              <w:jc w:val="right"/>
              <w:rPr>
                <w:rFonts w:hint="default"/>
              </w:rPr>
            </w:pPr>
            <w:r>
              <w:rPr>
                <w:rFonts w:hint="default"/>
              </w:rPr>
              <w:t>1.4</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4.6%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4.1%</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高血圧症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2.8%</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681" w:type="pct"/>
            <w:tcMar>
              <w:top w:w="28" w:type="dxa"/>
              <w:left w:w="28" w:type="dxa"/>
              <w:bottom w:w="28" w:type="dxa"/>
              <w:right w:w="28" w:type="dxa"/>
            </w:tcMar>
            <w:vAlign w:val="center"/>
          </w:tcPr>
          <w:p>
            <w:pPr>
              <w:pStyle w:val="0"/>
              <w:jc w:val="right"/>
              <w:rPr>
                <w:rFonts w:hint="default"/>
              </w:rPr>
            </w:pPr>
            <w:r>
              <w:rPr>
                <w:rFonts w:hint="default"/>
              </w:rPr>
              <w:t>-0.3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2.7%</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脂質異常症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1.7%</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2.1%</w:t>
            </w:r>
          </w:p>
        </w:tc>
        <w:tc>
          <w:tcPr>
            <w:tcW w:w="681" w:type="pct"/>
            <w:tcMar>
              <w:top w:w="28" w:type="dxa"/>
              <w:left w:w="28" w:type="dxa"/>
              <w:bottom w:w="28" w:type="dxa"/>
              <w:right w:w="28" w:type="dxa"/>
            </w:tcMar>
            <w:vAlign w:val="center"/>
          </w:tcPr>
          <w:p>
            <w:pPr>
              <w:pStyle w:val="0"/>
              <w:jc w:val="right"/>
              <w:rPr>
                <w:rFonts w:hint="default"/>
              </w:rPr>
            </w:pPr>
            <w:r>
              <w:rPr>
                <w:rFonts w:hint="default"/>
              </w:rPr>
              <w:t>-0.4</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高尿酸血症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681" w:type="pct"/>
            <w:tcMar>
              <w:top w:w="28" w:type="dxa"/>
              <w:left w:w="28" w:type="dxa"/>
              <w:bottom w:w="28" w:type="dxa"/>
              <w:right w:w="28" w:type="dxa"/>
            </w:tcMar>
            <w:vAlign w:val="center"/>
          </w:tcPr>
          <w:p>
            <w:pPr>
              <w:pStyle w:val="0"/>
              <w:jc w:val="right"/>
              <w:rPr>
                <w:rFonts w:hint="default"/>
              </w:rPr>
            </w:pPr>
            <w:r>
              <w:rPr>
                <w:rFonts w:hint="default"/>
              </w:rPr>
              <w:t>0.1</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脂肪肝</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681" w:type="pct"/>
            <w:tcMar>
              <w:top w:w="28" w:type="dxa"/>
              <w:left w:w="28" w:type="dxa"/>
              <w:bottom w:w="28" w:type="dxa"/>
              <w:right w:w="28" w:type="dxa"/>
            </w:tcMar>
            <w:vAlign w:val="center"/>
          </w:tcPr>
          <w:p>
            <w:pPr>
              <w:pStyle w:val="0"/>
              <w:jc w:val="right"/>
              <w:rPr>
                <w:rFonts w:hint="default"/>
              </w:rPr>
            </w:pPr>
            <w:r>
              <w:rPr>
                <w:rFonts w:hint="default"/>
              </w:rPr>
              <w:t>0.0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動脈硬化症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c>
          <w:tcPr>
            <w:tcW w:w="681" w:type="pct"/>
            <w:tcMar>
              <w:top w:w="28" w:type="dxa"/>
              <w:left w:w="28" w:type="dxa"/>
              <w:bottom w:w="28" w:type="dxa"/>
              <w:right w:w="28" w:type="dxa"/>
            </w:tcMar>
            <w:vAlign w:val="center"/>
          </w:tcPr>
          <w:p>
            <w:pPr>
              <w:pStyle w:val="0"/>
              <w:jc w:val="right"/>
              <w:rPr>
                <w:rFonts w:hint="default"/>
              </w:rPr>
            </w:pPr>
            <w:r>
              <w:rPr>
                <w:rFonts w:hint="default"/>
              </w:rPr>
              <w:t>0.0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がん</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16.0%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16.8%</w:t>
            </w:r>
          </w:p>
        </w:tc>
        <w:tc>
          <w:tcPr>
            <w:tcW w:w="681" w:type="pct"/>
            <w:tcMar>
              <w:top w:w="28" w:type="dxa"/>
              <w:left w:w="28" w:type="dxa"/>
              <w:bottom w:w="28" w:type="dxa"/>
              <w:right w:w="28" w:type="dxa"/>
            </w:tcMar>
            <w:vAlign w:val="center"/>
          </w:tcPr>
          <w:p>
            <w:pPr>
              <w:pStyle w:val="0"/>
              <w:jc w:val="right"/>
              <w:rPr>
                <w:rFonts w:hint="default"/>
              </w:rPr>
            </w:pPr>
            <w:r>
              <w:rPr>
                <w:rFonts w:hint="default"/>
              </w:rPr>
              <w:t>-0.8</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12.0%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11.2%</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0.8</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脳出血</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0.7%</w:t>
            </w:r>
          </w:p>
        </w:tc>
        <w:tc>
          <w:tcPr>
            <w:tcW w:w="681" w:type="pct"/>
            <w:tcMar>
              <w:top w:w="28" w:type="dxa"/>
              <w:left w:w="28" w:type="dxa"/>
              <w:bottom w:w="28" w:type="dxa"/>
              <w:right w:w="28" w:type="dxa"/>
            </w:tcMar>
            <w:vAlign w:val="center"/>
          </w:tcPr>
          <w:p>
            <w:pPr>
              <w:pStyle w:val="0"/>
              <w:jc w:val="right"/>
              <w:rPr>
                <w:rFonts w:hint="default"/>
              </w:rPr>
            </w:pPr>
            <w:r>
              <w:rPr>
                <w:rFonts w:hint="default"/>
              </w:rPr>
              <w:t>-0.3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0.7%</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脳梗塞</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681" w:type="pct"/>
            <w:tcMar>
              <w:top w:w="28" w:type="dxa"/>
              <w:left w:w="28" w:type="dxa"/>
              <w:bottom w:w="28" w:type="dxa"/>
              <w:right w:w="28" w:type="dxa"/>
            </w:tcMar>
            <w:vAlign w:val="center"/>
          </w:tcPr>
          <w:p>
            <w:pPr>
              <w:pStyle w:val="0"/>
              <w:jc w:val="right"/>
              <w:rPr>
                <w:rFonts w:hint="default"/>
              </w:rPr>
            </w:pPr>
            <w:r>
              <w:rPr>
                <w:rFonts w:hint="default"/>
              </w:rPr>
              <w:t>0.0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狭心症</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681" w:type="pct"/>
            <w:tcMar>
              <w:top w:w="28" w:type="dxa"/>
              <w:left w:w="28" w:type="dxa"/>
              <w:bottom w:w="28" w:type="dxa"/>
              <w:right w:w="28" w:type="dxa"/>
            </w:tcMar>
            <w:vAlign w:val="center"/>
          </w:tcPr>
          <w:p>
            <w:pPr>
              <w:pStyle w:val="0"/>
              <w:jc w:val="right"/>
              <w:rPr>
                <w:rFonts w:hint="default"/>
              </w:rPr>
            </w:pPr>
            <w:r>
              <w:rPr>
                <w:rFonts w:hint="default"/>
              </w:rPr>
              <w:t>0.2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心筋梗塞</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681" w:type="pct"/>
            <w:tcMar>
              <w:top w:w="28" w:type="dxa"/>
              <w:left w:w="28" w:type="dxa"/>
              <w:bottom w:w="28" w:type="dxa"/>
              <w:right w:w="28" w:type="dxa"/>
            </w:tcMar>
            <w:vAlign w:val="center"/>
          </w:tcPr>
          <w:p>
            <w:pPr>
              <w:pStyle w:val="0"/>
              <w:jc w:val="right"/>
              <w:rPr>
                <w:rFonts w:hint="default"/>
              </w:rPr>
            </w:pPr>
            <w:r>
              <w:rPr>
                <w:rFonts w:hint="default"/>
              </w:rPr>
              <w:t>0.0</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慢性腎臓病（透析あり）</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4.4%</w:t>
            </w:r>
          </w:p>
        </w:tc>
        <w:tc>
          <w:tcPr>
            <w:tcW w:w="681" w:type="pct"/>
            <w:tcMar>
              <w:top w:w="28" w:type="dxa"/>
              <w:left w:w="28" w:type="dxa"/>
              <w:bottom w:w="28" w:type="dxa"/>
              <w:right w:w="28" w:type="dxa"/>
            </w:tcMar>
            <w:vAlign w:val="center"/>
          </w:tcPr>
          <w:p>
            <w:pPr>
              <w:pStyle w:val="0"/>
              <w:jc w:val="right"/>
              <w:rPr>
                <w:rFonts w:hint="default"/>
              </w:rPr>
            </w:pPr>
            <w:r>
              <w:rPr>
                <w:rFonts w:hint="default"/>
              </w:rPr>
              <w:t>2.2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4.6%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4.6%</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慢性腎臓病（透析なし）</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c>
          <w:tcPr>
            <w:tcW w:w="681" w:type="pct"/>
            <w:tcMar>
              <w:top w:w="28" w:type="dxa"/>
              <w:left w:w="28" w:type="dxa"/>
              <w:bottom w:w="28" w:type="dxa"/>
              <w:right w:w="28" w:type="dxa"/>
            </w:tcMar>
            <w:vAlign w:val="center"/>
          </w:tcPr>
          <w:p>
            <w:pPr>
              <w:pStyle w:val="0"/>
              <w:jc w:val="right"/>
              <w:rPr>
                <w:rFonts w:hint="default"/>
              </w:rPr>
            </w:pPr>
            <w:r>
              <w:rPr>
                <w:rFonts w:hint="default"/>
              </w:rPr>
              <w:t>0.2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0.5%</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0.1</w:t>
            </w:r>
          </w:p>
        </w:tc>
      </w:tr>
      <w:tr>
        <w:trPr>
          <w:trHeight w:val="20"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eastAsia"/>
              </w:rPr>
              <w:t>精神疾患</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7.3%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7.9%</w:t>
            </w:r>
          </w:p>
        </w:tc>
        <w:tc>
          <w:tcPr>
            <w:tcW w:w="681" w:type="pct"/>
            <w:tcMar>
              <w:top w:w="28" w:type="dxa"/>
              <w:left w:w="28" w:type="dxa"/>
              <w:bottom w:w="28" w:type="dxa"/>
              <w:right w:w="28" w:type="dxa"/>
            </w:tcMar>
            <w:vAlign w:val="center"/>
          </w:tcPr>
          <w:p>
            <w:pPr>
              <w:pStyle w:val="0"/>
              <w:jc w:val="right"/>
              <w:rPr>
                <w:rFonts w:hint="default"/>
              </w:rPr>
            </w:pPr>
            <w:r>
              <w:rPr>
                <w:rFonts w:hint="default"/>
              </w:rPr>
              <w:t>-0.6</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r>
      <w:tr>
        <w:trPr>
          <w:trHeight w:val="32" w:hRule="atLeast"/>
        </w:trPr>
        <w:tc>
          <w:tcPr>
            <w:tcW w:w="973" w:type="pct"/>
            <w:shd w:val="clear" w:color="auto" w:fill="auto"/>
            <w:tcMar>
              <w:top w:w="28" w:type="dxa"/>
              <w:left w:w="28" w:type="dxa"/>
              <w:bottom w:w="28" w:type="dxa"/>
              <w:right w:w="28" w:type="dxa"/>
            </w:tcMar>
            <w:vAlign w:val="center"/>
          </w:tcPr>
          <w:p>
            <w:pPr>
              <w:pStyle w:val="0"/>
              <w:rPr>
                <w:rFonts w:hint="default"/>
              </w:rPr>
            </w:pPr>
            <w:r>
              <w:rPr>
                <w:rFonts w:hint="default"/>
              </w:rPr>
              <w:t>筋・骨格</w:t>
            </w:r>
            <w:r>
              <w:rPr>
                <w:rFonts w:hint="eastAsia"/>
              </w:rPr>
              <w:t>関連</w:t>
            </w:r>
            <w:r>
              <w:rPr>
                <w:rFonts w:hint="default"/>
              </w:rPr>
              <w:t>疾患</w:t>
            </w:r>
          </w:p>
        </w:tc>
        <w:tc>
          <w:tcPr>
            <w:tcW w:w="625" w:type="pct"/>
            <w:shd w:val="clear" w:color="auto" w:fill="auto"/>
            <w:tcMar>
              <w:top w:w="28" w:type="dxa"/>
              <w:left w:w="28" w:type="dxa"/>
              <w:bottom w:w="28" w:type="dxa"/>
              <w:right w:w="28" w:type="dxa"/>
            </w:tcMar>
            <w:vAlign w:val="center"/>
          </w:tcPr>
          <w:p>
            <w:pPr>
              <w:pStyle w:val="0"/>
              <w:jc w:val="right"/>
              <w:rPr>
                <w:rFonts w:hint="default"/>
              </w:rPr>
            </w:pPr>
            <w:r>
              <w:rPr>
                <w:rFonts w:hint="default"/>
              </w:rPr>
              <w:t>8.3%</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8.7%</w:t>
            </w:r>
          </w:p>
        </w:tc>
        <w:tc>
          <w:tcPr>
            <w:tcW w:w="681" w:type="pct"/>
            <w:tcMar>
              <w:top w:w="28" w:type="dxa"/>
              <w:left w:w="28" w:type="dxa"/>
              <w:bottom w:w="28" w:type="dxa"/>
              <w:right w:w="28" w:type="dxa"/>
            </w:tcMar>
            <w:vAlign w:val="center"/>
          </w:tcPr>
          <w:p>
            <w:pPr>
              <w:pStyle w:val="0"/>
              <w:jc w:val="right"/>
              <w:rPr>
                <w:rFonts w:hint="default"/>
              </w:rPr>
            </w:pPr>
            <w:r>
              <w:rPr>
                <w:rFonts w:hint="default"/>
              </w:rPr>
              <w:t>-0.4</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12.2%</w:t>
            </w:r>
          </w:p>
        </w:tc>
        <w:tc>
          <w:tcPr>
            <w:tcW w:w="681" w:type="pct"/>
            <w:shd w:val="clear" w:color="auto" w:fill="auto"/>
            <w:tcMar>
              <w:top w:w="28" w:type="dxa"/>
              <w:left w:w="28" w:type="dxa"/>
              <w:bottom w:w="28" w:type="dxa"/>
              <w:right w:w="28" w:type="dxa"/>
            </w:tcMar>
            <w:vAlign w:val="center"/>
          </w:tcPr>
          <w:p>
            <w:pPr>
              <w:pStyle w:val="0"/>
              <w:jc w:val="right"/>
              <w:rPr>
                <w:rFonts w:hint="default"/>
              </w:rPr>
            </w:pPr>
            <w:r>
              <w:rPr>
                <w:rFonts w:hint="default"/>
              </w:rPr>
              <w:t>12.4%</w:t>
            </w:r>
          </w:p>
        </w:tc>
        <w:tc>
          <w:tcPr>
            <w:tcW w:w="677"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default"/>
        </w:rPr>
        <w:t>令和</w:t>
      </w:r>
      <w:r>
        <w:rPr>
          <w:rFonts w:hint="default"/>
        </w:rPr>
        <w:t>4</w:t>
      </w:r>
      <w:r>
        <w:rPr>
          <w:rFonts w:hint="default"/>
        </w:rPr>
        <w:t>年度</w:t>
      </w:r>
      <w:r>
        <w:rPr>
          <w:rFonts w:hint="default"/>
        </w:rPr>
        <w:t xml:space="preserve"> </w:t>
      </w:r>
      <w:r>
        <w:rPr>
          <w:rFonts w:hint="default"/>
        </w:rPr>
        <w:t>累計（国保・後期）</w:t>
      </w:r>
    </w:p>
    <w:p>
      <w:pPr>
        <w:pStyle w:val="42"/>
        <w:rPr>
          <w:rFonts w:hint="default"/>
        </w:rPr>
      </w:pPr>
      <w:r>
        <w:rPr>
          <w:rFonts w:hint="default"/>
        </w:rPr>
        <w:t>※</w:t>
      </w:r>
      <w:r>
        <w:rPr>
          <w:rFonts w:hint="default"/>
        </w:rPr>
        <w:t>こ</w:t>
      </w:r>
      <w:r>
        <w:rPr>
          <w:rFonts w:hint="eastAsia"/>
        </w:rPr>
        <w:t>こで</w:t>
      </w:r>
      <w:r>
        <w:rPr>
          <w:rFonts w:hint="default"/>
        </w:rPr>
        <w:t>は、</w:t>
      </w:r>
      <w:r>
        <w:rPr>
          <w:rFonts w:hint="eastAsia"/>
        </w:rPr>
        <w:t>総医療費に占める各疾病の医療費の割合を集計している</w:t>
      </w:r>
    </w:p>
    <w:p>
      <w:pPr>
        <w:pStyle w:val="0"/>
        <w:rPr>
          <w:rFonts w:hint="default"/>
        </w:rPr>
      </w:pPr>
      <w:r>
        <w:rPr>
          <w:rFonts w:hint="default"/>
        </w:rPr>
        <w:br w:type="page"/>
      </w:r>
    </w:p>
    <w:p>
      <w:pPr>
        <w:pStyle w:val="3"/>
        <w:rPr>
          <w:rFonts w:hint="default"/>
        </w:rPr>
      </w:pPr>
      <w:bookmarkStart w:id="172" w:name="_Toc162548706"/>
      <w:r>
        <w:rPr>
          <w:rFonts w:hint="eastAsia"/>
        </w:rPr>
        <w:t>前期高齢者における骨折及び骨粗しょう症の受診率</w:t>
      </w:r>
      <w:bookmarkEnd w:id="172"/>
    </w:p>
    <w:p>
      <w:pPr>
        <w:pStyle w:val="39"/>
        <w:ind w:firstLine="200"/>
        <w:rPr>
          <w:rFonts w:hint="default"/>
        </w:rPr>
      </w:pPr>
      <w:r>
        <w:rPr>
          <w:rFonts w:hint="eastAsia"/>
        </w:rPr>
        <w:t>前期高齢者における「骨折」及び「骨粗しょう症」の受診率（</w:t>
      </w:r>
      <w:r>
        <w:rPr>
          <w:rFonts w:hint="eastAsia"/>
        </w:rPr>
        <w:fldChar w:fldCharType="begin"/>
      </w:r>
      <w:r>
        <w:rPr>
          <w:rFonts w:hint="eastAsia"/>
        </w:rPr>
        <w:instrText xml:space="preserve">REF _Ref130381190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4</w:t>
      </w:r>
      <w:r>
        <w:rPr>
          <w:rFonts w:hint="eastAsia"/>
        </w:rPr>
        <w:t>-</w:t>
      </w:r>
      <w:r>
        <w:rPr>
          <w:rFonts w:hint="default"/>
        </w:rPr>
        <w:t>1</w:t>
      </w:r>
      <w:r>
        <w:rPr>
          <w:rFonts w:hint="eastAsia"/>
        </w:rPr>
        <w:fldChar w:fldCharType="end"/>
      </w:r>
      <w:r>
        <w:rPr>
          <w:rFonts w:hint="default"/>
        </w:rPr>
        <w:t>）をみると、国と</w:t>
      </w:r>
      <w:r>
        <w:rPr>
          <w:rFonts w:hint="eastAsia"/>
        </w:rPr>
        <w:t>比べて</w:t>
      </w:r>
      <w:r>
        <w:rPr>
          <w:rFonts w:hint="default"/>
        </w:rPr>
        <w:t>、男性では「骨折」</w:t>
      </w:r>
      <w:r>
        <w:rPr>
          <w:rFonts w:hint="eastAsia"/>
        </w:rPr>
        <w:t>と</w:t>
      </w:r>
      <w:r>
        <w:rPr>
          <w:rFonts w:hint="default"/>
        </w:rPr>
        <w:t>「骨粗しょう症」の受診率は</w:t>
      </w:r>
      <w:r>
        <w:rPr>
          <w:rFonts w:hint="eastAsia"/>
        </w:rPr>
        <w:t>ともに低い</w:t>
      </w:r>
      <w:r>
        <w:rPr>
          <w:rFonts w:hint="default"/>
        </w:rPr>
        <w:t>。また、女性では「骨折」の受診率は</w:t>
      </w:r>
      <w:r>
        <w:rPr>
          <w:rFonts w:hint="eastAsia"/>
        </w:rPr>
        <w:t>高く</w:t>
      </w:r>
      <w:r>
        <w:rPr>
          <w:rFonts w:hint="default"/>
        </w:rPr>
        <w:t>、「骨粗しょう症」の受診率は</w:t>
      </w:r>
      <w:r>
        <w:rPr>
          <w:rFonts w:hint="eastAsia"/>
        </w:rPr>
        <w:t>低い</w:t>
      </w:r>
      <w:r>
        <w:rPr>
          <w:rFonts w:hint="default"/>
        </w:rPr>
        <w:t>。</w:t>
      </w:r>
    </w:p>
    <w:p>
      <w:pPr>
        <w:pStyle w:val="0"/>
        <w:rPr>
          <w:rFonts w:hint="default"/>
        </w:rPr>
      </w:pPr>
    </w:p>
    <w:p>
      <w:pPr>
        <w:pStyle w:val="38"/>
        <w:rPr>
          <w:rFonts w:hint="default"/>
        </w:rPr>
      </w:pPr>
      <w:bookmarkStart w:id="173" w:name="_Ref13038119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73"/>
      <w:r>
        <w:rPr>
          <w:rFonts w:hint="default"/>
        </w:rPr>
        <w:t>：</w:t>
      </w:r>
      <w:r>
        <w:rPr>
          <w:rFonts w:hint="eastAsia"/>
        </w:rPr>
        <w:t>前期</w:t>
      </w:r>
      <w:r>
        <w:rPr>
          <w:rFonts w:hint="default"/>
        </w:rPr>
        <w:t>高齢者の</w:t>
      </w:r>
      <w:r>
        <w:rPr>
          <w:rFonts w:hint="eastAsia"/>
        </w:rPr>
        <w:t>骨折及び骨粗しょう症の受診率比較</w:t>
      </w:r>
    </w:p>
    <w:p>
      <w:pPr>
        <w:pStyle w:val="0"/>
        <w:jc w:val="center"/>
        <w:rPr>
          <w:rFonts w:hint="default"/>
        </w:rPr>
      </w:pPr>
      <w:r>
        <w:rPr>
          <w:rFonts w:hint="eastAsia"/>
        </w:rPr>
        <w:drawing>
          <wp:inline distT="0" distB="0" distL="0" distR="0">
            <wp:extent cx="2879725" cy="2159635"/>
            <wp:effectExtent l="0" t="0" r="0" b="0"/>
            <wp:docPr id="1098" name="オブジェクト 0"/>
            <a:graphic xmlns:a="http://schemas.openxmlformats.org/drawingml/2006/main">
              <a:graphicData uri="http://schemas.openxmlformats.org/drawingml/2006/chart">
                <c:chart xmlns:c="http://schemas.openxmlformats.org/drawingml/2006/chart" r:id="rId53"/>
              </a:graphicData>
            </a:graphic>
          </wp:inline>
        </w:drawing>
      </w:r>
      <w:r>
        <w:rPr>
          <w:rFonts w:hint="eastAsia"/>
        </w:rPr>
        <w:drawing>
          <wp:inline distT="0" distB="0" distL="0" distR="0">
            <wp:extent cx="2879725" cy="2159635"/>
            <wp:effectExtent l="0" t="0" r="0" b="0"/>
            <wp:docPr id="1099" name="オブジェクト 0"/>
            <a:graphic xmlns:a="http://schemas.openxmlformats.org/drawingml/2006/main">
              <a:graphicData uri="http://schemas.openxmlformats.org/drawingml/2006/chart">
                <c:chart xmlns:c="http://schemas.openxmlformats.org/drawingml/2006/chart" r:id="rId54"/>
              </a:graphicData>
            </a:graphic>
          </wp:inline>
        </w:drawing>
      </w:r>
    </w:p>
    <w:p>
      <w:pPr>
        <w:pStyle w:val="44"/>
        <w:rPr>
          <w:rFonts w:hint="default"/>
        </w:rPr>
      </w:pPr>
      <w:r>
        <w:rPr>
          <w:rFonts w:hint="default"/>
        </w:rPr>
        <w:t>【出典】</w:t>
      </w:r>
      <w:r>
        <w:rPr>
          <w:rFonts w:hint="default"/>
        </w:rPr>
        <w:t>KDB</w:t>
      </w:r>
      <w:r>
        <w:rPr>
          <w:rFonts w:hint="default"/>
        </w:rPr>
        <w:t>帳票</w:t>
      </w:r>
      <w:r>
        <w:rPr>
          <w:rFonts w:hint="default"/>
        </w:rPr>
        <w:t xml:space="preserve"> S23_005-</w:t>
      </w:r>
      <w:r>
        <w:rPr>
          <w:rFonts w:hint="default"/>
        </w:rPr>
        <w:t>疾病別医療費分析（細小（</w:t>
      </w:r>
      <w:r>
        <w:rPr>
          <w:rFonts w:hint="default"/>
        </w:rPr>
        <w:t>82</w:t>
      </w:r>
      <w:r>
        <w:rPr>
          <w:rFonts w:hint="default"/>
        </w:rPr>
        <w:t>）分類）</w:t>
      </w:r>
      <w:r>
        <w:rPr>
          <w:rFonts w:hint="eastAsia"/>
        </w:rPr>
        <w:t xml:space="preserve"> </w:t>
      </w:r>
      <w:r>
        <w:rPr>
          <w:rFonts w:hint="default"/>
        </w:rPr>
        <w:t>令和</w:t>
      </w:r>
      <w:r>
        <w:rPr>
          <w:rFonts w:hint="eastAsia"/>
        </w:rPr>
        <w:t>4</w:t>
      </w:r>
      <w:r>
        <w:rPr>
          <w:rFonts w:hint="default"/>
        </w:rPr>
        <w:t>年度</w:t>
      </w:r>
      <w:r>
        <w:rPr>
          <w:rFonts w:hint="default"/>
        </w:rPr>
        <w:t xml:space="preserve"> </w:t>
      </w:r>
      <w:r>
        <w:rPr>
          <w:rFonts w:hint="default"/>
        </w:rPr>
        <w:t>累計</w:t>
      </w:r>
    </w:p>
    <w:p>
      <w:pPr>
        <w:pStyle w:val="42"/>
        <w:rPr>
          <w:rFonts w:hint="default"/>
        </w:rPr>
      </w:pPr>
      <w:r>
        <w:rPr>
          <w:rFonts w:hint="eastAsia"/>
        </w:rPr>
        <w:t>※表内の「骨折」は入院及び外来、「骨粗しょう症」は外来を集計している</w:t>
      </w:r>
    </w:p>
    <w:p>
      <w:pPr>
        <w:pStyle w:val="0"/>
        <w:rPr>
          <w:rFonts w:hint="default"/>
        </w:rPr>
      </w:pPr>
    </w:p>
    <w:p>
      <w:pPr>
        <w:pStyle w:val="3"/>
        <w:rPr>
          <w:rFonts w:hint="default"/>
        </w:rPr>
      </w:pPr>
      <w:bookmarkStart w:id="174" w:name="_Toc162548707"/>
      <w:r>
        <w:rPr>
          <w:rFonts w:hint="eastAsia"/>
        </w:rPr>
        <w:t>後期高齢者</w:t>
      </w:r>
      <w:r>
        <w:rPr>
          <w:rFonts w:hint="default"/>
        </w:rPr>
        <w:t>の健診</w:t>
      </w:r>
      <w:r>
        <w:rPr>
          <w:rFonts w:hint="eastAsia"/>
        </w:rPr>
        <w:t>受診</w:t>
      </w:r>
      <w:r>
        <w:rPr>
          <w:rFonts w:hint="default"/>
        </w:rPr>
        <w:t>状況</w:t>
      </w:r>
      <w:bookmarkEnd w:id="174"/>
    </w:p>
    <w:p>
      <w:pPr>
        <w:pStyle w:val="39"/>
        <w:ind w:firstLine="200"/>
        <w:rPr>
          <w:rFonts w:hint="default"/>
        </w:rPr>
      </w:pPr>
      <w:r>
        <w:rPr>
          <w:rFonts w:hint="eastAsia"/>
        </w:rPr>
        <w:t>健診受診の状況（</w:t>
      </w:r>
      <w:r>
        <w:rPr>
          <w:rFonts w:hint="eastAsia"/>
        </w:rPr>
        <w:fldChar w:fldCharType="begin"/>
      </w:r>
      <w:r>
        <w:rPr>
          <w:rFonts w:hint="eastAsia"/>
        </w:rPr>
        <w:instrText xml:space="preserve">REF _Ref122542682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5</w:t>
      </w:r>
      <w:r>
        <w:rPr>
          <w:rFonts w:hint="eastAsia"/>
        </w:rPr>
        <w:t>-</w:t>
      </w:r>
      <w:r>
        <w:rPr>
          <w:rFonts w:hint="default"/>
        </w:rPr>
        <w:t>1</w:t>
      </w:r>
      <w:r>
        <w:rPr>
          <w:rFonts w:hint="eastAsia"/>
        </w:rPr>
        <w:fldChar w:fldCharType="end"/>
      </w:r>
      <w:r>
        <w:rPr>
          <w:rFonts w:hint="default"/>
        </w:rPr>
        <w:t>）をみると、後期高齢者の健診受診率は</w:t>
      </w:r>
      <w:r>
        <w:rPr>
          <w:rFonts w:hint="eastAsia"/>
        </w:rPr>
        <w:t>18.9%</w:t>
      </w:r>
      <w:r>
        <w:rPr>
          <w:rFonts w:hint="default"/>
        </w:rPr>
        <w:t>で、国と比べて</w:t>
      </w:r>
      <w:r>
        <w:rPr>
          <w:rFonts w:hint="eastAsia"/>
        </w:rPr>
        <w:t>5.9</w:t>
      </w:r>
      <w:r>
        <w:rPr>
          <w:rFonts w:hint="eastAsia"/>
        </w:rPr>
        <w:t>ポイント低い</w:t>
      </w:r>
      <w:r>
        <w:rPr>
          <w:rFonts w:hint="default"/>
        </w:rPr>
        <w:t>。</w:t>
      </w:r>
      <w:r>
        <w:rPr>
          <w:rFonts w:hint="eastAsia"/>
        </w:rPr>
        <w:t>続いて、健診受診者に占める受診勧奨対象者の割合をみると、</w:t>
      </w:r>
      <w:r>
        <w:rPr>
          <w:rFonts w:hint="default"/>
        </w:rPr>
        <w:t>後期高齢者の</w:t>
      </w:r>
      <w:r>
        <w:rPr>
          <w:rFonts w:hint="eastAsia"/>
        </w:rPr>
        <w:t>受診勧奨対象者率</w:t>
      </w:r>
      <w:r>
        <w:rPr>
          <w:rFonts w:hint="default"/>
        </w:rPr>
        <w:t>は</w:t>
      </w:r>
      <w:r>
        <w:rPr>
          <w:rFonts w:hint="default"/>
        </w:rPr>
        <w:t>46.3%</w:t>
      </w:r>
      <w:r>
        <w:rPr>
          <w:rFonts w:hint="default"/>
        </w:rPr>
        <w:t>で、国と比べて</w:t>
      </w:r>
      <w:r>
        <w:rPr>
          <w:rFonts w:hint="default"/>
        </w:rPr>
        <w:t>14.6</w:t>
      </w:r>
      <w:r>
        <w:rPr>
          <w:rFonts w:hint="default"/>
        </w:rPr>
        <w:t>ポイント低い。</w:t>
      </w:r>
      <w:r>
        <w:rPr>
          <w:rFonts w:hint="eastAsia"/>
        </w:rPr>
        <w:t>また、検査項目ごとの健診受診者に占める有所見者の割合を</w:t>
      </w:r>
      <w:r>
        <w:rPr>
          <w:rFonts w:hint="default"/>
        </w:rPr>
        <w:t>国と比べ</w:t>
      </w:r>
      <w:r>
        <w:rPr>
          <w:rFonts w:hint="eastAsia"/>
        </w:rPr>
        <w:t>ると、</w:t>
      </w:r>
      <w:r>
        <w:rPr>
          <w:rFonts w:hint="default"/>
        </w:rPr>
        <w:t>後期高齢者</w:t>
      </w:r>
      <w:r>
        <w:rPr>
          <w:rFonts w:hint="eastAsia"/>
        </w:rPr>
        <w:t>で</w:t>
      </w:r>
      <w:r>
        <w:rPr>
          <w:rFonts w:hint="default"/>
        </w:rPr>
        <w:t>は</w:t>
      </w:r>
      <w:r>
        <w:rPr>
          <w:rFonts w:hint="eastAsia"/>
        </w:rPr>
        <w:t>「血糖」「脂質」「血糖・脂質」の該当割合が高い</w:t>
      </w:r>
      <w:r>
        <w:rPr>
          <w:rFonts w:hint="default"/>
        </w:rPr>
        <w:t>。</w:t>
      </w:r>
    </w:p>
    <w:p>
      <w:pPr>
        <w:pStyle w:val="0"/>
        <w:rPr>
          <w:rFonts w:hint="default"/>
          <w:sz w:val="18"/>
        </w:rPr>
      </w:pPr>
    </w:p>
    <w:p>
      <w:pPr>
        <w:pStyle w:val="38"/>
        <w:rPr>
          <w:rFonts w:hint="default"/>
        </w:rPr>
      </w:pPr>
      <w:bookmarkStart w:id="175" w:name="_Ref122542682"/>
      <w:bookmarkStart w:id="176" w:name="_Toc12493685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5</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75"/>
      <w:r>
        <w:rPr>
          <w:rFonts w:hint="default"/>
        </w:rPr>
        <w:t>：</w:t>
      </w:r>
      <w:r>
        <w:rPr>
          <w:rFonts w:hint="eastAsia"/>
        </w:rPr>
        <w:t>後期高齢者</w:t>
      </w:r>
      <w:r>
        <w:rPr>
          <w:rFonts w:hint="default"/>
        </w:rPr>
        <w:t>の健診状況</w:t>
      </w:r>
      <w:bookmarkEnd w:id="176"/>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75"/>
        <w:gridCol w:w="1875"/>
        <w:gridCol w:w="1875"/>
        <w:gridCol w:w="1875"/>
        <w:gridCol w:w="1875"/>
      </w:tblGrid>
      <w:tr>
        <w:trPr>
          <w:trHeight w:val="55" w:hRule="atLeast"/>
        </w:trPr>
        <w:tc>
          <w:tcPr>
            <w:tcW w:w="2000" w:type="pct"/>
            <w:gridSpan w:val="2"/>
            <w:vMerge w:val="restart"/>
            <w:shd w:val="clear" w:color="auto" w:fill="CCD6FF"/>
            <w:tcMar>
              <w:top w:w="28" w:type="dxa"/>
              <w:left w:w="28" w:type="dxa"/>
              <w:bottom w:w="28" w:type="dxa"/>
              <w:right w:w="28" w:type="dxa"/>
            </w:tcMar>
            <w:vAlign w:val="center"/>
          </w:tcPr>
          <w:p>
            <w:pPr>
              <w:pStyle w:val="0"/>
              <w:jc w:val="center"/>
              <w:rPr>
                <w:rFonts w:hint="default"/>
                <w:b w:val="1"/>
              </w:rPr>
            </w:pPr>
          </w:p>
        </w:tc>
        <w:tc>
          <w:tcPr>
            <w:tcW w:w="3000" w:type="pct"/>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後期高齢者</w:t>
            </w:r>
          </w:p>
        </w:tc>
      </w:tr>
      <w:tr>
        <w:trPr>
          <w:trHeight w:val="55" w:hRule="atLeast"/>
        </w:trPr>
        <w:tc>
          <w:tcPr>
            <w:tcW w:w="2000" w:type="pct"/>
            <w:gridSpan w:val="2"/>
            <w:vMerge w:val="continue"/>
            <w:tcMar>
              <w:top w:w="28" w:type="dxa"/>
              <w:left w:w="28" w:type="dxa"/>
              <w:bottom w:w="28" w:type="dxa"/>
              <w:right w:w="28" w:type="dxa"/>
            </w:tcMar>
            <w:vAlign w:val="center"/>
          </w:tcPr>
          <w:p>
            <w:pPr>
              <w:pStyle w:val="0"/>
              <w:jc w:val="center"/>
              <w:rPr>
                <w:rFonts w:hint="default"/>
                <w:b w:val="1"/>
              </w:rPr>
            </w:pPr>
          </w:p>
        </w:tc>
        <w:tc>
          <w:tcPr>
            <w:tcW w:w="100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00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国</w:t>
            </w:r>
          </w:p>
        </w:tc>
        <w:tc>
          <w:tcPr>
            <w:tcW w:w="1000" w:type="pct"/>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r>
      <w:tr>
        <w:trPr>
          <w:trHeight w:val="55" w:hRule="atLeast"/>
        </w:trPr>
        <w:tc>
          <w:tcPr>
            <w:tcW w:w="2000" w:type="pct"/>
            <w:gridSpan w:val="2"/>
            <w:shd w:val="clear" w:color="auto" w:fill="auto"/>
            <w:tcMar>
              <w:top w:w="28" w:type="dxa"/>
              <w:left w:w="28" w:type="dxa"/>
              <w:bottom w:w="28" w:type="dxa"/>
              <w:right w:w="28" w:type="dxa"/>
            </w:tcMar>
            <w:vAlign w:val="center"/>
          </w:tcPr>
          <w:p>
            <w:pPr>
              <w:pStyle w:val="0"/>
              <w:rPr>
                <w:rFonts w:hint="default"/>
              </w:rPr>
            </w:pPr>
            <w:r>
              <w:rPr>
                <w:rFonts w:hint="eastAsia"/>
              </w:rPr>
              <w:t>健診受診率</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18.9%</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24.8%</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-5.9</w:t>
            </w:r>
          </w:p>
        </w:tc>
      </w:tr>
      <w:tr>
        <w:trPr>
          <w:trHeight w:val="55" w:hRule="atLeast"/>
        </w:trPr>
        <w:tc>
          <w:tcPr>
            <w:tcW w:w="2000" w:type="pct"/>
            <w:gridSpan w:val="2"/>
            <w:shd w:val="clear" w:color="auto" w:fill="auto"/>
            <w:tcMar>
              <w:top w:w="28" w:type="dxa"/>
              <w:left w:w="28" w:type="dxa"/>
              <w:bottom w:w="28" w:type="dxa"/>
              <w:right w:w="28" w:type="dxa"/>
            </w:tcMar>
            <w:vAlign w:val="center"/>
          </w:tcPr>
          <w:p>
            <w:pPr>
              <w:pStyle w:val="0"/>
              <w:rPr>
                <w:rFonts w:hint="default"/>
              </w:rPr>
            </w:pPr>
            <w:r>
              <w:rPr>
                <w:rFonts w:hint="eastAsia"/>
              </w:rPr>
              <w:t>受診勧奨対象者率</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46.3%</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60.9%</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-14.6</w:t>
            </w:r>
          </w:p>
        </w:tc>
      </w:tr>
      <w:tr>
        <w:trPr/>
        <w:tc>
          <w:tcPr>
            <w:tcW w:w="1000" w:type="pct"/>
            <w:vMerge w:val="restart"/>
            <w:shd w:val="clear" w:color="auto" w:fill="auto"/>
            <w:tcMar>
              <w:top w:w="28" w:type="dxa"/>
              <w:left w:w="28" w:type="dxa"/>
              <w:bottom w:w="28" w:type="dxa"/>
              <w:right w:w="28" w:type="dxa"/>
            </w:tcMar>
            <w:vAlign w:val="center"/>
          </w:tcPr>
          <w:p>
            <w:pPr>
              <w:pStyle w:val="0"/>
              <w:rPr>
                <w:rFonts w:hint="default"/>
              </w:rPr>
            </w:pPr>
            <w:r>
              <w:rPr>
                <w:rFonts w:hint="eastAsia"/>
              </w:rPr>
              <w:t>有所見者の状況</w:t>
            </w: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血糖</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7.4%</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5.7%</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1.7</w:t>
            </w:r>
          </w:p>
        </w:tc>
      </w:tr>
      <w:tr>
        <w:trPr/>
        <w:tc>
          <w:tcPr>
            <w:tcW w:w="1000" w:type="pct"/>
            <w:vMerge w:val="continue"/>
            <w:tcMar>
              <w:top w:w="28" w:type="dxa"/>
              <w:left w:w="28" w:type="dxa"/>
              <w:bottom w:w="28" w:type="dxa"/>
              <w:right w:w="28" w:type="dxa"/>
            </w:tcMar>
            <w:vAlign w:val="center"/>
          </w:tcPr>
          <w:p>
            <w:pPr>
              <w:pStyle w:val="0"/>
              <w:rPr>
                <w:rFonts w:hint="default"/>
              </w:rPr>
            </w:pP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血圧</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24.3%</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-17.4</w:t>
            </w:r>
          </w:p>
        </w:tc>
      </w:tr>
      <w:tr>
        <w:trPr/>
        <w:tc>
          <w:tcPr>
            <w:tcW w:w="1000" w:type="pct"/>
            <w:vMerge w:val="continue"/>
            <w:tcMar>
              <w:top w:w="28" w:type="dxa"/>
              <w:left w:w="28" w:type="dxa"/>
              <w:bottom w:w="28" w:type="dxa"/>
              <w:right w:w="28" w:type="dxa"/>
            </w:tcMar>
            <w:vAlign w:val="center"/>
          </w:tcPr>
          <w:p>
            <w:pPr>
              <w:pStyle w:val="0"/>
              <w:rPr>
                <w:rFonts w:hint="default"/>
              </w:rPr>
            </w:pP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脂質</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16.9%</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10.8%</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6.1</w:t>
            </w:r>
          </w:p>
        </w:tc>
      </w:tr>
      <w:tr>
        <w:trPr/>
        <w:tc>
          <w:tcPr>
            <w:tcW w:w="1000" w:type="pct"/>
            <w:vMerge w:val="continue"/>
            <w:tcMar>
              <w:top w:w="28" w:type="dxa"/>
              <w:left w:w="28" w:type="dxa"/>
              <w:bottom w:w="28" w:type="dxa"/>
              <w:right w:w="28" w:type="dxa"/>
            </w:tcMar>
            <w:vAlign w:val="center"/>
          </w:tcPr>
          <w:p>
            <w:pPr>
              <w:pStyle w:val="0"/>
              <w:rPr>
                <w:rFonts w:hint="default"/>
              </w:rPr>
            </w:pP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血糖・血圧</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0.8%</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3.1%</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r>
      <w:tr>
        <w:trPr/>
        <w:tc>
          <w:tcPr>
            <w:tcW w:w="1000" w:type="pct"/>
            <w:vMerge w:val="continue"/>
            <w:tcMar>
              <w:top w:w="28" w:type="dxa"/>
              <w:left w:w="28" w:type="dxa"/>
              <w:bottom w:w="28" w:type="dxa"/>
              <w:right w:w="28" w:type="dxa"/>
            </w:tcMar>
            <w:vAlign w:val="center"/>
          </w:tcPr>
          <w:p>
            <w:pPr>
              <w:pStyle w:val="0"/>
              <w:rPr>
                <w:rFonts w:hint="default"/>
              </w:rPr>
            </w:pP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血糖・脂質</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0.7</w:t>
            </w:r>
          </w:p>
        </w:tc>
      </w:tr>
      <w:tr>
        <w:trPr/>
        <w:tc>
          <w:tcPr>
            <w:tcW w:w="1000" w:type="pct"/>
            <w:vMerge w:val="continue"/>
            <w:tcMar>
              <w:top w:w="28" w:type="dxa"/>
              <w:left w:w="28" w:type="dxa"/>
              <w:bottom w:w="28" w:type="dxa"/>
              <w:right w:w="28" w:type="dxa"/>
            </w:tcMar>
            <w:vAlign w:val="center"/>
          </w:tcPr>
          <w:p>
            <w:pPr>
              <w:pStyle w:val="0"/>
              <w:rPr>
                <w:rFonts w:hint="default"/>
              </w:rPr>
            </w:pP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血圧・脂質</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r>
      <w:tr>
        <w:trPr/>
        <w:tc>
          <w:tcPr>
            <w:tcW w:w="1000" w:type="pct"/>
            <w:vMerge w:val="continue"/>
            <w:tcMar>
              <w:top w:w="28" w:type="dxa"/>
              <w:left w:w="28" w:type="dxa"/>
              <w:bottom w:w="28" w:type="dxa"/>
              <w:right w:w="28" w:type="dxa"/>
            </w:tcMar>
            <w:vAlign w:val="center"/>
          </w:tcPr>
          <w:p>
            <w:pPr>
              <w:pStyle w:val="0"/>
              <w:rPr>
                <w:rFonts w:hint="default"/>
              </w:rPr>
            </w:pPr>
          </w:p>
        </w:tc>
        <w:tc>
          <w:tcPr>
            <w:tcW w:w="1000" w:type="pct"/>
            <w:shd w:val="clear" w:color="auto" w:fill="auto"/>
            <w:tcMar>
              <w:top w:w="28" w:type="dxa"/>
              <w:left w:w="28" w:type="dxa"/>
              <w:bottom w:w="28" w:type="dxa"/>
              <w:right w:w="28" w:type="dxa"/>
            </w:tcMar>
            <w:vAlign w:val="center"/>
          </w:tcPr>
          <w:p>
            <w:pPr>
              <w:pStyle w:val="0"/>
              <w:rPr>
                <w:rFonts w:hint="default"/>
              </w:rPr>
            </w:pPr>
            <w:r>
              <w:rPr>
                <w:rFonts w:hint="eastAsia"/>
              </w:rPr>
              <w:t>血糖・血圧・脂質</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0.8%</w:t>
            </w:r>
          </w:p>
        </w:tc>
        <w:tc>
          <w:tcPr>
            <w:tcW w:w="1000" w:type="pct"/>
            <w:shd w:val="clear" w:color="auto" w:fill="auto"/>
            <w:tcMar>
              <w:top w:w="28" w:type="dxa"/>
              <w:left w:w="28" w:type="dxa"/>
              <w:bottom w:w="28" w:type="dxa"/>
              <w:right w:w="28" w:type="dxa"/>
            </w:tcMar>
            <w:vAlign w:val="center"/>
          </w:tcPr>
          <w:p>
            <w:pPr>
              <w:pStyle w:val="0"/>
              <w:jc w:val="right"/>
              <w:rPr>
                <w:rFonts w:hint="default"/>
              </w:rPr>
            </w:pPr>
            <w:r>
              <w:rPr>
                <w:rFonts w:hint="default"/>
              </w:rPr>
              <w:t>-0.6</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4</w:t>
      </w:r>
      <w:r>
        <w:rPr>
          <w:rFonts w:hint="eastAsia"/>
        </w:rPr>
        <w:t>年度</w:t>
      </w:r>
      <w:r>
        <w:rPr>
          <w:rFonts w:hint="default"/>
        </w:rPr>
        <w:t xml:space="preserve"> </w:t>
      </w:r>
      <w:r>
        <w:rPr>
          <w:rFonts w:hint="default"/>
        </w:rPr>
        <w:t>累計（後期）</w:t>
      </w:r>
    </w:p>
    <w:p>
      <w:pPr>
        <w:pStyle w:val="0"/>
        <w:rPr>
          <w:rFonts w:hint="default"/>
        </w:rPr>
      </w:pPr>
      <w:bookmarkStart w:id="177" w:name="_503roz4k9o5n"/>
      <w:bookmarkEnd w:id="177"/>
    </w:p>
    <w:p>
      <w:pPr>
        <w:pStyle w:val="38"/>
        <w:rPr>
          <w:rFonts w:hint="default"/>
        </w:rPr>
      </w:pPr>
      <w:r>
        <w:rPr>
          <w:rFonts w:hint="default"/>
        </w:rPr>
        <w:t>参考：</w:t>
      </w:r>
      <w:r>
        <w:rPr>
          <w:rFonts w:hint="eastAsia"/>
        </w:rPr>
        <w:t>健</w:t>
      </w:r>
      <w:r>
        <w:rPr>
          <w:rFonts w:hint="default"/>
        </w:rPr>
        <w:t>診項目</w:t>
      </w:r>
      <w:r>
        <w:rPr>
          <w:rFonts w:hint="eastAsia"/>
        </w:rPr>
        <w:t>における</w:t>
      </w:r>
      <w:r>
        <w:rPr>
          <w:rFonts w:hint="default"/>
        </w:rPr>
        <w:t>受診勧奨判定値</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Look w:firstRow="0" w:lastRow="0" w:firstColumn="0" w:lastColumn="0" w:noHBand="1" w:noVBand="1" w:val="0600"/>
      </w:tblPr>
      <w:tblGrid>
        <w:gridCol w:w="1173"/>
        <w:gridCol w:w="1172"/>
        <w:gridCol w:w="1172"/>
        <w:gridCol w:w="1172"/>
        <w:gridCol w:w="1403"/>
        <w:gridCol w:w="941"/>
        <w:gridCol w:w="1326"/>
        <w:gridCol w:w="1016"/>
      </w:tblGrid>
      <w:tr>
        <w:trPr>
          <w:trHeight w:val="20" w:hRule="atLeast"/>
        </w:trPr>
        <w:tc>
          <w:tcPr>
            <w:tcW w:w="626"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空腹時血糖</w:t>
            </w:r>
          </w:p>
        </w:tc>
        <w:tc>
          <w:tcPr>
            <w:tcW w:w="625" w:type="pct"/>
            <w:tcMar>
              <w:top w:w="28" w:type="dxa"/>
              <w:left w:w="28" w:type="dxa"/>
              <w:bottom w:w="28" w:type="dxa"/>
              <w:right w:w="28" w:type="dxa"/>
            </w:tcMar>
            <w:vAlign w:val="center"/>
          </w:tcPr>
          <w:p>
            <w:pPr>
              <w:pStyle w:val="0"/>
              <w:widowControl w:val="0"/>
              <w:rPr>
                <w:rFonts w:hint="default"/>
                <w:sz w:val="14"/>
              </w:rPr>
            </w:pPr>
            <w:r>
              <w:rPr>
                <w:rFonts w:hint="eastAsia"/>
                <w:sz w:val="14"/>
              </w:rPr>
              <w:t>126mg/d</w:t>
            </w:r>
            <w:r>
              <w:rPr>
                <w:rFonts w:hint="default"/>
                <w:sz w:val="14"/>
              </w:rPr>
              <w:t>L</w:t>
            </w:r>
            <w:r>
              <w:rPr>
                <w:rFonts w:hint="eastAsia"/>
                <w:sz w:val="14"/>
              </w:rPr>
              <w:t>以上</w:t>
            </w:r>
          </w:p>
        </w:tc>
        <w:tc>
          <w:tcPr>
            <w:tcW w:w="625"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収縮期血圧</w:t>
            </w:r>
          </w:p>
        </w:tc>
        <w:tc>
          <w:tcPr>
            <w:tcW w:w="625" w:type="pct"/>
            <w:tcMar>
              <w:top w:w="28" w:type="dxa"/>
              <w:left w:w="28" w:type="dxa"/>
              <w:bottom w:w="28" w:type="dxa"/>
              <w:right w:w="28" w:type="dxa"/>
            </w:tcMar>
            <w:vAlign w:val="center"/>
          </w:tcPr>
          <w:p>
            <w:pPr>
              <w:pStyle w:val="0"/>
              <w:widowControl w:val="0"/>
              <w:rPr>
                <w:rFonts w:hint="default"/>
                <w:sz w:val="14"/>
              </w:rPr>
            </w:pPr>
            <w:r>
              <w:rPr>
                <w:rFonts w:hint="eastAsia"/>
                <w:sz w:val="14"/>
              </w:rPr>
              <w:t>140mmHg</w:t>
            </w:r>
            <w:r>
              <w:rPr>
                <w:rFonts w:hint="eastAsia"/>
                <w:sz w:val="14"/>
              </w:rPr>
              <w:t>以上</w:t>
            </w:r>
          </w:p>
        </w:tc>
        <w:tc>
          <w:tcPr>
            <w:tcW w:w="748" w:type="pct"/>
            <w:shd w:val="clear" w:color="auto" w:fill="F2F2F2"/>
            <w:vAlign w:val="center"/>
          </w:tcPr>
          <w:p>
            <w:pPr>
              <w:pStyle w:val="0"/>
              <w:widowControl w:val="0"/>
              <w:rPr>
                <w:rFonts w:hint="default"/>
                <w:sz w:val="14"/>
              </w:rPr>
            </w:pPr>
            <w:r>
              <w:rPr>
                <w:rFonts w:hint="eastAsia"/>
                <w:b w:val="1"/>
                <w:sz w:val="14"/>
              </w:rPr>
              <w:t>中性脂肪</w:t>
            </w:r>
          </w:p>
        </w:tc>
        <w:tc>
          <w:tcPr>
            <w:tcW w:w="502" w:type="pct"/>
            <w:vAlign w:val="center"/>
          </w:tcPr>
          <w:p>
            <w:pPr>
              <w:pStyle w:val="0"/>
              <w:widowControl w:val="0"/>
              <w:rPr>
                <w:rFonts w:hint="default"/>
                <w:sz w:val="14"/>
              </w:rPr>
            </w:pPr>
            <w:r>
              <w:rPr>
                <w:rFonts w:hint="eastAsia"/>
                <w:sz w:val="14"/>
              </w:rPr>
              <w:t>300mg/d</w:t>
            </w:r>
            <w:r>
              <w:rPr>
                <w:rFonts w:hint="default"/>
                <w:sz w:val="14"/>
              </w:rPr>
              <w:t>L</w:t>
            </w:r>
            <w:r>
              <w:rPr>
                <w:rFonts w:hint="eastAsia"/>
                <w:sz w:val="14"/>
              </w:rPr>
              <w:t>以上</w:t>
            </w:r>
          </w:p>
        </w:tc>
        <w:tc>
          <w:tcPr>
            <w:tcW w:w="707"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F2F2F2"/>
            <w:vAlign w:val="center"/>
          </w:tcPr>
          <w:p>
            <w:pPr>
              <w:pStyle w:val="0"/>
              <w:widowControl w:val="0"/>
              <w:rPr>
                <w:rFonts w:hint="default"/>
                <w:sz w:val="14"/>
              </w:rPr>
            </w:pPr>
            <w:r>
              <w:rPr>
                <w:rFonts w:hint="eastAsia"/>
                <w:b w:val="1"/>
                <w:sz w:val="14"/>
              </w:rPr>
              <w:t>LDL</w:t>
            </w:r>
            <w:r>
              <w:rPr>
                <w:rFonts w:hint="eastAsia"/>
                <w:b w:val="1"/>
                <w:sz w:val="14"/>
              </w:rPr>
              <w:t>コレステロール</w:t>
            </w:r>
          </w:p>
        </w:tc>
        <w:tc>
          <w:tcPr>
            <w:tcW w:w="542" w:type="pct"/>
            <w:tcBorders>
              <w:top w:val="none" w:color="auto" w:sz="0" w:space="0"/>
              <w:left w:val="none" w:color="auto" w:sz="0" w:space="0"/>
              <w:bottom w:val="single" w:color="auto" w:sz="4" w:space="0"/>
              <w:right w:val="none" w:color="auto" w:sz="0" w:space="0"/>
              <w:tl2br w:val="none" w:color="auto" w:sz="0" w:space="0"/>
              <w:tr2bl w:val="none" w:color="auto" w:sz="0" w:space="0"/>
            </w:tcBorders>
            <w:vAlign w:val="center"/>
          </w:tcPr>
          <w:p>
            <w:pPr>
              <w:pStyle w:val="0"/>
              <w:widowControl w:val="0"/>
              <w:rPr>
                <w:rFonts w:hint="default"/>
                <w:sz w:val="14"/>
              </w:rPr>
            </w:pPr>
            <w:r>
              <w:rPr>
                <w:rFonts w:hint="eastAsia"/>
                <w:sz w:val="14"/>
              </w:rPr>
              <w:t>140mg/d</w:t>
            </w:r>
            <w:r>
              <w:rPr>
                <w:rFonts w:hint="default"/>
                <w:sz w:val="14"/>
              </w:rPr>
              <w:t>L</w:t>
            </w:r>
            <w:r>
              <w:rPr>
                <w:rFonts w:hint="eastAsia"/>
                <w:sz w:val="14"/>
              </w:rPr>
              <w:t>以上</w:t>
            </w:r>
          </w:p>
        </w:tc>
      </w:tr>
      <w:tr>
        <w:trPr>
          <w:trHeight w:val="20" w:hRule="atLeast"/>
        </w:trPr>
        <w:tc>
          <w:tcPr>
            <w:tcW w:w="626" w:type="pc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eastAsia"/>
                <w:b w:val="1"/>
                <w:sz w:val="14"/>
              </w:rPr>
              <w:t>HbA1c</w:t>
            </w:r>
          </w:p>
        </w:tc>
        <w:tc>
          <w:tcPr>
            <w:tcW w:w="625" w:type="pct"/>
            <w:tcMar>
              <w:top w:w="28" w:type="dxa"/>
              <w:left w:w="28" w:type="dxa"/>
              <w:bottom w:w="28" w:type="dxa"/>
              <w:right w:w="28" w:type="dxa"/>
            </w:tcMar>
            <w:vAlign w:val="center"/>
          </w:tcPr>
          <w:p>
            <w:pPr>
              <w:pStyle w:val="0"/>
              <w:widowControl w:val="0"/>
              <w:rPr>
                <w:rFonts w:hint="default"/>
                <w:sz w:val="14"/>
              </w:rPr>
            </w:pPr>
            <w:r>
              <w:rPr>
                <w:rFonts w:hint="eastAsia"/>
                <w:sz w:val="14"/>
              </w:rPr>
              <w:t>6.5%</w:t>
            </w:r>
            <w:r>
              <w:rPr>
                <w:rFonts w:hint="eastAsia"/>
                <w:sz w:val="14"/>
              </w:rPr>
              <w:t>以上</w:t>
            </w:r>
          </w:p>
        </w:tc>
        <w:tc>
          <w:tcPr>
            <w:tcW w:w="625" w:type="pct"/>
            <w:shd w:val="clear" w:color="auto" w:fill="F2F2F2"/>
            <w:tcMar>
              <w:top w:w="28" w:type="dxa"/>
              <w:left w:w="28" w:type="dxa"/>
              <w:bottom w:w="28" w:type="dxa"/>
              <w:right w:w="28" w:type="dxa"/>
            </w:tcMar>
            <w:vAlign w:val="center"/>
          </w:tcPr>
          <w:p>
            <w:pPr>
              <w:pStyle w:val="0"/>
              <w:widowControl w:val="0"/>
              <w:rPr>
                <w:rFonts w:hint="default"/>
                <w:b w:val="1"/>
                <w:sz w:val="14"/>
              </w:rPr>
            </w:pPr>
            <w:r>
              <w:rPr>
                <w:rFonts w:hint="eastAsia"/>
                <w:b w:val="1"/>
                <w:sz w:val="14"/>
              </w:rPr>
              <w:t>拡張期</w:t>
            </w:r>
            <w:r>
              <w:rPr>
                <w:rFonts w:hint="default"/>
                <w:b w:val="1"/>
                <w:sz w:val="14"/>
              </w:rPr>
              <w:t>血圧</w:t>
            </w:r>
          </w:p>
        </w:tc>
        <w:tc>
          <w:tcPr>
            <w:tcW w:w="625" w:type="pct"/>
            <w:tcMar>
              <w:top w:w="28" w:type="dxa"/>
              <w:left w:w="28" w:type="dxa"/>
              <w:bottom w:w="28" w:type="dxa"/>
              <w:right w:w="28" w:type="dxa"/>
            </w:tcMar>
            <w:vAlign w:val="center"/>
          </w:tcPr>
          <w:p>
            <w:pPr>
              <w:pStyle w:val="0"/>
              <w:widowControl w:val="0"/>
              <w:rPr>
                <w:rFonts w:hint="default"/>
                <w:sz w:val="14"/>
              </w:rPr>
            </w:pPr>
            <w:r>
              <w:rPr>
                <w:rFonts w:hint="eastAsia"/>
                <w:sz w:val="14"/>
              </w:rPr>
              <w:t>90mmHg</w:t>
            </w:r>
            <w:r>
              <w:rPr>
                <w:rFonts w:hint="eastAsia"/>
                <w:sz w:val="14"/>
              </w:rPr>
              <w:t>以上</w:t>
            </w:r>
          </w:p>
        </w:tc>
        <w:tc>
          <w:tcPr>
            <w:tcW w:w="748" w:type="pct"/>
            <w:shd w:val="clear" w:color="auto" w:fill="F2F2F2"/>
            <w:vAlign w:val="center"/>
          </w:tcPr>
          <w:p>
            <w:pPr>
              <w:pStyle w:val="0"/>
              <w:widowControl w:val="0"/>
              <w:rPr>
                <w:rFonts w:hint="default"/>
                <w:sz w:val="14"/>
              </w:rPr>
            </w:pPr>
            <w:r>
              <w:rPr>
                <w:rFonts w:hint="eastAsia"/>
                <w:b w:val="1"/>
                <w:sz w:val="14"/>
              </w:rPr>
              <w:t>HDL</w:t>
            </w:r>
            <w:r>
              <w:rPr>
                <w:rFonts w:hint="eastAsia"/>
                <w:b w:val="1"/>
                <w:sz w:val="14"/>
              </w:rPr>
              <w:t>コレステロール</w:t>
            </w:r>
          </w:p>
        </w:tc>
        <w:tc>
          <w:tcPr>
            <w:tcW w:w="502" w:type="pct"/>
            <w:vAlign w:val="center"/>
          </w:tcPr>
          <w:p>
            <w:pPr>
              <w:pStyle w:val="0"/>
              <w:widowControl w:val="0"/>
              <w:rPr>
                <w:rFonts w:hint="default"/>
                <w:sz w:val="14"/>
              </w:rPr>
            </w:pPr>
            <w:r>
              <w:rPr>
                <w:rFonts w:hint="eastAsia"/>
                <w:sz w:val="14"/>
              </w:rPr>
              <w:t>34mg/d</w:t>
            </w:r>
            <w:r>
              <w:rPr>
                <w:rFonts w:hint="default"/>
                <w:sz w:val="14"/>
              </w:rPr>
              <w:t>L</w:t>
            </w:r>
            <w:r>
              <w:rPr>
                <w:rFonts w:hint="eastAsia"/>
                <w:sz w:val="14"/>
              </w:rPr>
              <w:t>以下</w:t>
            </w:r>
          </w:p>
        </w:tc>
        <w:tc>
          <w:tcPr>
            <w:tcW w:w="1249" w:type="pct"/>
            <w:gridSpan w:val="2"/>
            <w:tcBorders>
              <w:top w:val="none" w:color="auto" w:sz="0" w:space="0"/>
              <w:left w:val="none" w:color="auto" w:sz="0" w:space="0"/>
              <w:bottom w:val="nil"/>
              <w:right w:val="nil"/>
              <w:tl2br w:val="none" w:color="auto" w:sz="0" w:space="0"/>
              <w:tr2bl w:val="none" w:color="auto" w:sz="0" w:space="0"/>
            </w:tcBorders>
            <w:shd w:val="clear" w:color="auto" w:fill="auto"/>
            <w:vAlign w:val="center"/>
          </w:tcPr>
          <w:p>
            <w:pPr>
              <w:pStyle w:val="0"/>
              <w:widowControl w:val="0"/>
              <w:rPr>
                <w:rFonts w:hint="default"/>
                <w:sz w:val="14"/>
              </w:rPr>
            </w:pPr>
          </w:p>
        </w:tc>
      </w:tr>
    </w:tbl>
    <w:p>
      <w:pPr>
        <w:pStyle w:val="40"/>
        <w:rPr>
          <w:rFonts w:hint="default"/>
        </w:rPr>
      </w:pPr>
      <w:r>
        <w:rPr>
          <w:rFonts w:hint="default"/>
        </w:rPr>
        <w:t>【出典】</w:t>
      </w:r>
      <w:r>
        <w:rPr>
          <w:rFonts w:hint="eastAsia"/>
        </w:rPr>
        <w:t>KDB</w:t>
      </w:r>
      <w:r>
        <w:rPr>
          <w:rFonts w:hint="eastAsia"/>
        </w:rPr>
        <w:t>システム</w:t>
      </w:r>
      <w:r>
        <w:rPr>
          <w:rFonts w:hint="eastAsia"/>
        </w:rPr>
        <w:t xml:space="preserve"> </w:t>
      </w:r>
      <w:r>
        <w:rPr>
          <w:rFonts w:hint="eastAsia"/>
        </w:rPr>
        <w:t>各帳票等の項目にかかる集計要件</w:t>
      </w:r>
    </w:p>
    <w:p>
      <w:pPr>
        <w:pStyle w:val="42"/>
        <w:ind w:left="0" w:leftChars="0" w:firstLine="0" w:firstLineChars="0"/>
        <w:rPr>
          <w:rFonts w:hint="default"/>
        </w:rPr>
      </w:pPr>
      <w:r>
        <w:rPr>
          <w:rFonts w:hint="default"/>
        </w:rPr>
        <w:br w:type="page"/>
      </w:r>
    </w:p>
    <w:p>
      <w:pPr>
        <w:pStyle w:val="3"/>
        <w:rPr>
          <w:rFonts w:hint="default"/>
        </w:rPr>
      </w:pPr>
      <w:bookmarkStart w:id="178" w:name="_Toc162548708"/>
      <w:r>
        <w:rPr>
          <w:rFonts w:hint="default"/>
        </w:rPr>
        <w:t>後期高齢者</w:t>
      </w:r>
      <w:r>
        <w:rPr>
          <w:rFonts w:hint="eastAsia"/>
        </w:rPr>
        <w:t>における</w:t>
      </w:r>
      <w:r>
        <w:rPr>
          <w:rFonts w:hint="default"/>
        </w:rPr>
        <w:t>質問票の回答状況</w:t>
      </w:r>
      <w:bookmarkEnd w:id="178"/>
    </w:p>
    <w:p>
      <w:pPr>
        <w:pStyle w:val="39"/>
        <w:ind w:firstLine="200"/>
        <w:rPr>
          <w:rFonts w:hint="default"/>
        </w:rPr>
      </w:pPr>
      <w:r>
        <w:rPr>
          <w:rFonts w:hint="default"/>
        </w:rPr>
        <w:t>後期高齢者</w:t>
      </w:r>
      <w:r>
        <w:rPr>
          <w:rFonts w:hint="eastAsia"/>
        </w:rPr>
        <w:t>における</w:t>
      </w:r>
      <w:r>
        <w:rPr>
          <w:rFonts w:hint="default"/>
        </w:rPr>
        <w:t>質問票の回答状況をみると</w:t>
      </w:r>
      <w:r>
        <w:rPr>
          <w:rFonts w:hint="eastAsia"/>
        </w:rPr>
        <w:t>（</w:t>
      </w:r>
      <w:r>
        <w:rPr>
          <w:rFonts w:hint="eastAsia"/>
        </w:rPr>
        <w:fldChar w:fldCharType="begin"/>
      </w:r>
      <w:r>
        <w:rPr>
          <w:rFonts w:hint="eastAsia"/>
        </w:rPr>
        <w:instrText xml:space="preserve">REF _Ref122542728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6</w:t>
      </w:r>
      <w:r>
        <w:rPr>
          <w:rFonts w:hint="eastAsia"/>
        </w:rPr>
        <w:t>-</w:t>
      </w:r>
      <w:r>
        <w:rPr>
          <w:rFonts w:hint="default"/>
        </w:rPr>
        <w:t>1</w:t>
      </w:r>
      <w:r>
        <w:rPr>
          <w:rFonts w:hint="eastAsia"/>
        </w:rPr>
        <w:fldChar w:fldCharType="end"/>
      </w:r>
      <w:r>
        <w:rPr>
          <w:rFonts w:hint="default"/>
        </w:rPr>
        <w:t>）、国と</w:t>
      </w:r>
      <w:r>
        <w:rPr>
          <w:rFonts w:hint="eastAsia"/>
        </w:rPr>
        <w:t>比べて</w:t>
      </w:r>
      <w:r>
        <w:rPr>
          <w:rFonts w:hint="default"/>
        </w:rPr>
        <w:t>、</w:t>
      </w:r>
      <w:r>
        <w:rPr>
          <w:rFonts w:hint="default"/>
          <w:color w:val="000000"/>
          <w:shd w:val="clear" w:color="auto" w:fill="FFFFFF"/>
        </w:rPr>
        <w:t>「毎日の生活に「不満」」「</w:t>
      </w:r>
      <w:r>
        <w:rPr>
          <w:rFonts w:hint="default"/>
          <w:color w:val="000000"/>
          <w:shd w:val="clear" w:color="auto" w:fill="FFFFFF"/>
        </w:rPr>
        <w:t>1</w:t>
      </w:r>
      <w:r>
        <w:rPr>
          <w:rFonts w:hint="default"/>
          <w:color w:val="000000"/>
          <w:shd w:val="clear" w:color="auto" w:fill="FFFFFF"/>
        </w:rPr>
        <w:t>日</w:t>
      </w:r>
      <w:r>
        <w:rPr>
          <w:rFonts w:hint="default"/>
          <w:color w:val="000000"/>
          <w:shd w:val="clear" w:color="auto" w:fill="FFFFFF"/>
        </w:rPr>
        <w:t>3</w:t>
      </w:r>
      <w:r>
        <w:rPr>
          <w:rFonts w:hint="default"/>
          <w:color w:val="000000"/>
          <w:shd w:val="clear" w:color="auto" w:fill="FFFFFF"/>
        </w:rPr>
        <w:t>食「食べていない」」「ウォーキング等の運動を「週に</w:t>
      </w:r>
      <w:r>
        <w:rPr>
          <w:rFonts w:hint="default"/>
          <w:color w:val="000000"/>
          <w:shd w:val="clear" w:color="auto" w:fill="FFFFFF"/>
        </w:rPr>
        <w:t>1</w:t>
      </w:r>
      <w:r>
        <w:rPr>
          <w:rFonts w:hint="default"/>
          <w:color w:val="000000"/>
          <w:shd w:val="clear" w:color="auto" w:fill="FFFFFF"/>
        </w:rPr>
        <w:t>回以上していない」」「たばこを「吸っている」</w:t>
      </w:r>
      <w:r>
        <w:rPr>
          <w:rFonts w:hint="default"/>
          <w:color w:val="000000"/>
          <w:shd w:val="clear" w:color="auto" w:fill="FFFFFF"/>
        </w:rPr>
        <w:t xml:space="preserve"> </w:t>
      </w:r>
      <w:r>
        <w:rPr>
          <w:rFonts w:hint="default"/>
          <w:color w:val="000000"/>
          <w:shd w:val="clear" w:color="auto" w:fill="FFFFFF"/>
        </w:rPr>
        <w:t>」「週に</w:t>
      </w:r>
      <w:r>
        <w:rPr>
          <w:rFonts w:hint="default"/>
          <w:color w:val="000000"/>
          <w:shd w:val="clear" w:color="auto" w:fill="FFFFFF"/>
        </w:rPr>
        <w:t>1</w:t>
      </w:r>
      <w:r>
        <w:rPr>
          <w:rFonts w:hint="default"/>
          <w:color w:val="000000"/>
          <w:shd w:val="clear" w:color="auto" w:fill="FFFFFF"/>
        </w:rPr>
        <w:t>回以上外出して「いない」」「ふだんから家族や友人との付き合いが「ない」」「体調が悪いときに、身近に相談できる人が「いない」」の回答割合が高い</w:t>
      </w:r>
      <w:r>
        <w:rPr>
          <w:rFonts w:hint="default"/>
        </w:rPr>
        <w:t>。</w:t>
      </w:r>
    </w:p>
    <w:p>
      <w:pPr>
        <w:pStyle w:val="0"/>
        <w:rPr>
          <w:rFonts w:hint="default"/>
          <w:sz w:val="18"/>
        </w:rPr>
      </w:pPr>
    </w:p>
    <w:p>
      <w:pPr>
        <w:pStyle w:val="38"/>
        <w:rPr>
          <w:rFonts w:hint="default"/>
        </w:rPr>
      </w:pPr>
      <w:bookmarkStart w:id="179" w:name="_Ref122542728"/>
      <w:bookmarkStart w:id="180" w:name="_Toc12493685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79"/>
      <w:r>
        <w:rPr>
          <w:rFonts w:hint="default"/>
        </w:rPr>
        <w:t>：後期高齢者</w:t>
      </w:r>
      <w:r>
        <w:rPr>
          <w:rFonts w:hint="eastAsia"/>
        </w:rPr>
        <w:t>における</w:t>
      </w:r>
      <w:r>
        <w:rPr>
          <w:rFonts w:hint="default"/>
        </w:rPr>
        <w:t>質問</w:t>
      </w:r>
      <w:r>
        <w:rPr>
          <w:rFonts w:hint="eastAsia"/>
        </w:rPr>
        <w:t>票</w:t>
      </w:r>
      <w:r>
        <w:rPr>
          <w:rFonts w:hint="default"/>
        </w:rPr>
        <w:t>の回答状況</w:t>
      </w:r>
      <w:bookmarkEnd w:id="180"/>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658"/>
        <w:gridCol w:w="4227"/>
        <w:gridCol w:w="1163"/>
        <w:gridCol w:w="1163"/>
        <w:gridCol w:w="1164"/>
      </w:tblGrid>
      <w:tr>
        <w:trPr>
          <w:trHeight w:val="20" w:hRule="atLeast"/>
        </w:trPr>
        <w:tc>
          <w:tcPr>
            <w:tcW w:w="1658" w:type="dxa"/>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カテゴリー</w:t>
            </w:r>
          </w:p>
        </w:tc>
        <w:tc>
          <w:tcPr>
            <w:tcW w:w="4227" w:type="dxa"/>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項目・回答</w:t>
            </w:r>
          </w:p>
        </w:tc>
        <w:tc>
          <w:tcPr>
            <w:tcW w:w="3490" w:type="dxa"/>
            <w:gridSpan w:val="3"/>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回答割合</w:t>
            </w:r>
          </w:p>
        </w:tc>
      </w:tr>
      <w:tr>
        <w:trPr>
          <w:trHeight w:val="20" w:hRule="atLeast"/>
        </w:trPr>
        <w:tc>
          <w:tcPr>
            <w:tcW w:w="1658" w:type="dxa"/>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4227" w:type="dxa"/>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1163"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eastAsia"/>
                <w:b w:val="1"/>
                <w:sz w:val="14"/>
              </w:rPr>
              <w:t>八街市</w:t>
            </w:r>
          </w:p>
        </w:tc>
        <w:tc>
          <w:tcPr>
            <w:tcW w:w="1163" w:type="dxa"/>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国</w:t>
            </w:r>
          </w:p>
        </w:tc>
        <w:tc>
          <w:tcPr>
            <w:tcW w:w="1164" w:type="dxa"/>
            <w:shd w:val="clear" w:color="auto" w:fill="EFEFEF"/>
            <w:tcMar>
              <w:top w:w="28" w:type="dxa"/>
              <w:left w:w="28" w:type="dxa"/>
              <w:bottom w:w="28" w:type="dxa"/>
              <w:right w:w="28" w:type="dxa"/>
            </w:tcMar>
            <w:vAlign w:val="center"/>
          </w:tcPr>
          <w:p>
            <w:pPr>
              <w:pStyle w:val="0"/>
              <w:jc w:val="center"/>
              <w:rPr>
                <w:rFonts w:hint="default"/>
                <w:b w:val="1"/>
                <w:sz w:val="14"/>
              </w:rPr>
            </w:pPr>
            <w:r>
              <w:rPr>
                <w:rFonts w:hint="eastAsia"/>
                <w:b w:val="1"/>
                <w:sz w:val="14"/>
              </w:rPr>
              <w:t>国との差</w:t>
            </w:r>
          </w:p>
        </w:tc>
      </w:tr>
      <w:tr>
        <w:trPr>
          <w:trHeight w:val="20" w:hRule="atLeast"/>
        </w:trPr>
        <w:tc>
          <w:tcPr>
            <w:tcW w:w="1658" w:type="dxa"/>
            <w:shd w:val="clear" w:color="auto" w:fill="auto"/>
            <w:tcMar>
              <w:top w:w="28" w:type="dxa"/>
              <w:left w:w="28" w:type="dxa"/>
              <w:bottom w:w="28" w:type="dxa"/>
              <w:right w:w="28" w:type="dxa"/>
            </w:tcMar>
            <w:vAlign w:val="center"/>
          </w:tcPr>
          <w:p>
            <w:pPr>
              <w:pStyle w:val="0"/>
              <w:rPr>
                <w:rFonts w:hint="default"/>
              </w:rPr>
            </w:pPr>
            <w:r>
              <w:rPr>
                <w:rFonts w:hint="default"/>
              </w:rPr>
              <w:t>健康状態</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健康状態が「よくない」</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0.9%</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-0.2</w:t>
            </w:r>
          </w:p>
        </w:tc>
      </w:tr>
      <w:tr>
        <w:trPr>
          <w:trHeight w:val="20" w:hRule="atLeast"/>
        </w:trPr>
        <w:tc>
          <w:tcPr>
            <w:tcW w:w="1658" w:type="dxa"/>
            <w:shd w:val="clear" w:color="auto" w:fill="auto"/>
            <w:tcMar>
              <w:top w:w="28" w:type="dxa"/>
              <w:left w:w="28" w:type="dxa"/>
              <w:bottom w:w="28" w:type="dxa"/>
              <w:right w:w="28" w:type="dxa"/>
            </w:tcMar>
            <w:vAlign w:val="center"/>
          </w:tcPr>
          <w:p>
            <w:pPr>
              <w:pStyle w:val="0"/>
              <w:rPr>
                <w:rFonts w:hint="default"/>
              </w:rPr>
            </w:pPr>
            <w:r>
              <w:rPr>
                <w:rFonts w:hint="default"/>
              </w:rPr>
              <w:t>心の健康</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毎日の生活に「不満」</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1.4%</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1.1%</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0.3</w:t>
            </w:r>
          </w:p>
        </w:tc>
      </w:tr>
      <w:tr>
        <w:trPr>
          <w:trHeight w:val="20" w:hRule="atLeast"/>
        </w:trPr>
        <w:tc>
          <w:tcPr>
            <w:tcW w:w="1658" w:type="dxa"/>
            <w:shd w:val="clear" w:color="auto" w:fill="auto"/>
            <w:tcMar>
              <w:top w:w="28" w:type="dxa"/>
              <w:left w:w="28" w:type="dxa"/>
              <w:bottom w:w="28" w:type="dxa"/>
              <w:right w:w="28" w:type="dxa"/>
            </w:tcMar>
            <w:vAlign w:val="center"/>
          </w:tcPr>
          <w:p>
            <w:pPr>
              <w:pStyle w:val="0"/>
              <w:rPr>
                <w:rFonts w:hint="default"/>
              </w:rPr>
            </w:pPr>
            <w:r>
              <w:rPr>
                <w:rFonts w:hint="default"/>
              </w:rPr>
              <w:t>食習慣</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1</w:t>
            </w:r>
            <w:r>
              <w:rPr>
                <w:rFonts w:hint="default"/>
              </w:rPr>
              <w:t>日</w:t>
            </w:r>
            <w:r>
              <w:rPr>
                <w:rFonts w:hint="default"/>
              </w:rPr>
              <w:t>3</w:t>
            </w:r>
            <w:r>
              <w:rPr>
                <w:rFonts w:hint="default"/>
              </w:rPr>
              <w:t>食「食べていない」</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7.0%</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5.4%</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r>
      <w:tr>
        <w:trPr>
          <w:trHeight w:val="20" w:hRule="atLeast"/>
        </w:trPr>
        <w:tc>
          <w:tcPr>
            <w:tcW w:w="1658" w:type="dxa"/>
            <w:vMerge w:val="restart"/>
            <w:shd w:val="clear" w:color="auto" w:fill="auto"/>
            <w:tcMar>
              <w:top w:w="28" w:type="dxa"/>
              <w:left w:w="28" w:type="dxa"/>
              <w:bottom w:w="28" w:type="dxa"/>
              <w:right w:w="28" w:type="dxa"/>
            </w:tcMar>
            <w:vAlign w:val="center"/>
          </w:tcPr>
          <w:p>
            <w:pPr>
              <w:pStyle w:val="0"/>
              <w:rPr>
                <w:rFonts w:hint="default"/>
              </w:rPr>
            </w:pPr>
            <w:r>
              <w:rPr>
                <w:rFonts w:hint="default"/>
              </w:rPr>
              <w:t>口腔・嚥下</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半年前に比べて硬いものが「食べにくくなった」</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24.3%</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27.7%</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r>
      <w:tr>
        <w:trPr>
          <w:trHeight w:val="20" w:hRule="atLeast"/>
        </w:trPr>
        <w:tc>
          <w:tcPr>
            <w:tcW w:w="1658" w:type="dxa"/>
            <w:vMerge w:val="continue"/>
            <w:tcMar>
              <w:top w:w="28" w:type="dxa"/>
              <w:left w:w="28" w:type="dxa"/>
              <w:bottom w:w="28" w:type="dxa"/>
              <w:right w:w="28" w:type="dxa"/>
            </w:tcMar>
            <w:vAlign w:val="center"/>
          </w:tcPr>
          <w:p>
            <w:pPr>
              <w:pStyle w:val="0"/>
              <w:rPr>
                <w:rFonts w:hint="default"/>
              </w:rPr>
            </w:pP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お茶や汁物等で「むせることがある」</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15.6%</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20.9%</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-5.3</w:t>
            </w:r>
          </w:p>
        </w:tc>
      </w:tr>
      <w:tr>
        <w:trPr>
          <w:trHeight w:val="20" w:hRule="atLeast"/>
        </w:trPr>
        <w:tc>
          <w:tcPr>
            <w:tcW w:w="1658" w:type="dxa"/>
            <w:shd w:val="clear" w:color="auto" w:fill="auto"/>
            <w:tcMar>
              <w:top w:w="28" w:type="dxa"/>
              <w:left w:w="28" w:type="dxa"/>
              <w:bottom w:w="28" w:type="dxa"/>
              <w:right w:w="28" w:type="dxa"/>
            </w:tcMar>
            <w:vAlign w:val="center"/>
          </w:tcPr>
          <w:p>
            <w:pPr>
              <w:pStyle w:val="0"/>
              <w:rPr>
                <w:rFonts w:hint="default"/>
              </w:rPr>
            </w:pPr>
            <w:r>
              <w:rPr>
                <w:rFonts w:hint="default"/>
              </w:rPr>
              <w:t>体重変化</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6</w:t>
            </w:r>
            <w:r>
              <w:rPr>
                <w:rFonts w:hint="default"/>
              </w:rPr>
              <w:t>か月間で</w:t>
            </w:r>
            <w:r>
              <w:rPr>
                <w:rFonts w:hint="default"/>
              </w:rPr>
              <w:t>2</w:t>
            </w:r>
            <w:r>
              <w:rPr>
                <w:rFonts w:hint="default"/>
              </w:rPr>
              <w:t>〜</w:t>
            </w:r>
            <w:r>
              <w:rPr>
                <w:rFonts w:hint="default"/>
              </w:rPr>
              <w:t>3kg</w:t>
            </w:r>
            <w:r>
              <w:rPr>
                <w:rFonts w:hint="default"/>
              </w:rPr>
              <w:t>以上の体重減少が「あった」</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9.9%</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11.7%</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r>
      <w:tr>
        <w:trPr>
          <w:trHeight w:val="20" w:hRule="atLeast"/>
        </w:trPr>
        <w:tc>
          <w:tcPr>
            <w:tcW w:w="1658" w:type="dxa"/>
            <w:vMerge w:val="restart"/>
            <w:tcMar>
              <w:top w:w="28" w:type="dxa"/>
              <w:left w:w="28" w:type="dxa"/>
              <w:bottom w:w="28" w:type="dxa"/>
              <w:right w:w="28" w:type="dxa"/>
            </w:tcMar>
            <w:vAlign w:val="center"/>
          </w:tcPr>
          <w:p>
            <w:pPr>
              <w:pStyle w:val="0"/>
              <w:rPr>
                <w:rFonts w:hint="default"/>
              </w:rPr>
            </w:pPr>
            <w:r>
              <w:rPr>
                <w:rFonts w:hint="default"/>
              </w:rPr>
              <w:t>運動・転倒</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以前に比べて「歩行速度が遅くなったと思う」</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52.6%</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59.1%</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r>
      <w:tr>
        <w:trPr>
          <w:trHeight w:val="20" w:hRule="atLeast"/>
        </w:trPr>
        <w:tc>
          <w:tcPr>
            <w:tcW w:w="1658" w:type="dxa"/>
            <w:vMerge w:val="continue"/>
            <w:tcMar>
              <w:top w:w="28" w:type="dxa"/>
              <w:left w:w="28" w:type="dxa"/>
              <w:bottom w:w="28" w:type="dxa"/>
              <w:right w:w="28" w:type="dxa"/>
            </w:tcMar>
            <w:vAlign w:val="center"/>
          </w:tcPr>
          <w:p>
            <w:pPr>
              <w:pStyle w:val="0"/>
              <w:rPr>
                <w:rFonts w:hint="default"/>
              </w:rPr>
            </w:pP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この</w:t>
            </w:r>
            <w:r>
              <w:rPr>
                <w:rFonts w:hint="default"/>
              </w:rPr>
              <w:t>1</w:t>
            </w:r>
            <w:r>
              <w:rPr>
                <w:rFonts w:hint="default"/>
              </w:rPr>
              <w:t>年間に「転倒したことがある」</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14.1%</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18.1%</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r>
      <w:tr>
        <w:trPr>
          <w:trHeight w:val="20" w:hRule="atLeast"/>
        </w:trPr>
        <w:tc>
          <w:tcPr>
            <w:tcW w:w="1658" w:type="dxa"/>
            <w:vMerge w:val="continue"/>
            <w:tcMar>
              <w:top w:w="28" w:type="dxa"/>
              <w:left w:w="28" w:type="dxa"/>
              <w:bottom w:w="28" w:type="dxa"/>
              <w:right w:w="28" w:type="dxa"/>
            </w:tcMar>
            <w:vAlign w:val="center"/>
          </w:tcPr>
          <w:p>
            <w:pPr>
              <w:pStyle w:val="0"/>
              <w:rPr>
                <w:rFonts w:hint="default"/>
              </w:rPr>
            </w:pPr>
          </w:p>
        </w:tc>
        <w:tc>
          <w:tcPr>
            <w:tcW w:w="4227" w:type="dxa"/>
            <w:shd w:val="clear" w:color="auto" w:fill="auto"/>
            <w:tcMar>
              <w:top w:w="28" w:type="dxa"/>
              <w:left w:w="28" w:type="dxa"/>
              <w:bottom w:w="28" w:type="dxa"/>
              <w:right w:w="28" w:type="dxa"/>
            </w:tcMar>
            <w:vAlign w:val="center"/>
          </w:tcPr>
          <w:p>
            <w:pPr>
              <w:pStyle w:val="0"/>
              <w:snapToGrid w:val="0"/>
              <w:rPr>
                <w:rFonts w:hint="default"/>
              </w:rPr>
            </w:pPr>
            <w:r>
              <w:rPr>
                <w:rFonts w:hint="default"/>
              </w:rPr>
              <w:t>ウォーキング等の運動を「週に</w:t>
            </w:r>
            <w:r>
              <w:rPr>
                <w:rFonts w:hint="default"/>
              </w:rPr>
              <w:t>1</w:t>
            </w:r>
            <w:r>
              <w:rPr>
                <w:rFonts w:hint="default"/>
              </w:rPr>
              <w:t>回以上していない」</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42.2%</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37.1%</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5.1</w:t>
            </w:r>
          </w:p>
        </w:tc>
      </w:tr>
      <w:tr>
        <w:trPr>
          <w:trHeight w:val="20" w:hRule="atLeast"/>
        </w:trPr>
        <w:tc>
          <w:tcPr>
            <w:tcW w:w="1658" w:type="dxa"/>
            <w:vMerge w:val="restart"/>
            <w:shd w:val="clear" w:color="auto" w:fill="auto"/>
            <w:tcMar>
              <w:top w:w="28" w:type="dxa"/>
              <w:left w:w="28" w:type="dxa"/>
              <w:bottom w:w="28" w:type="dxa"/>
              <w:right w:w="28" w:type="dxa"/>
            </w:tcMar>
            <w:vAlign w:val="center"/>
          </w:tcPr>
          <w:p>
            <w:pPr>
              <w:pStyle w:val="0"/>
              <w:rPr>
                <w:rFonts w:hint="default"/>
              </w:rPr>
            </w:pPr>
            <w:r>
              <w:rPr>
                <w:rFonts w:hint="default"/>
              </w:rPr>
              <w:t>認知</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周囲の人から「物忘れがあると言われたことがある」</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12.6%</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16.2%</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r>
      <w:tr>
        <w:trPr>
          <w:trHeight w:val="20" w:hRule="atLeast"/>
        </w:trPr>
        <w:tc>
          <w:tcPr>
            <w:tcW w:w="1658" w:type="dxa"/>
            <w:vMerge w:val="continue"/>
            <w:tcMar>
              <w:top w:w="28" w:type="dxa"/>
              <w:left w:w="28" w:type="dxa"/>
              <w:bottom w:w="28" w:type="dxa"/>
              <w:right w:w="28" w:type="dxa"/>
            </w:tcMar>
            <w:vAlign w:val="center"/>
          </w:tcPr>
          <w:p>
            <w:pPr>
              <w:pStyle w:val="0"/>
              <w:rPr>
                <w:rFonts w:hint="default"/>
              </w:rPr>
            </w:pP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今日が何月何日かわからない日が「ある」</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19.5%</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24.8%</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-5.3</w:t>
            </w:r>
          </w:p>
        </w:tc>
      </w:tr>
      <w:tr>
        <w:trPr>
          <w:trHeight w:val="20" w:hRule="atLeast"/>
        </w:trPr>
        <w:tc>
          <w:tcPr>
            <w:tcW w:w="1658" w:type="dxa"/>
            <w:shd w:val="clear" w:color="auto" w:fill="auto"/>
            <w:tcMar>
              <w:top w:w="28" w:type="dxa"/>
              <w:left w:w="28" w:type="dxa"/>
              <w:bottom w:w="28" w:type="dxa"/>
              <w:right w:w="28" w:type="dxa"/>
            </w:tcMar>
            <w:vAlign w:val="center"/>
          </w:tcPr>
          <w:p>
            <w:pPr>
              <w:pStyle w:val="0"/>
              <w:rPr>
                <w:rFonts w:hint="default"/>
              </w:rPr>
            </w:pPr>
            <w:r>
              <w:rPr>
                <w:rFonts w:hint="default"/>
              </w:rPr>
              <w:t>喫煙</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たばこを「吸っている」</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7.4%</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4.8%</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r>
      <w:tr>
        <w:trPr>
          <w:trHeight w:val="20" w:hRule="atLeast"/>
        </w:trPr>
        <w:tc>
          <w:tcPr>
            <w:tcW w:w="1658" w:type="dxa"/>
            <w:vMerge w:val="restart"/>
            <w:shd w:val="clear" w:color="auto" w:fill="auto"/>
            <w:tcMar>
              <w:top w:w="28" w:type="dxa"/>
              <w:left w:w="28" w:type="dxa"/>
              <w:bottom w:w="28" w:type="dxa"/>
              <w:right w:w="28" w:type="dxa"/>
            </w:tcMar>
            <w:vAlign w:val="center"/>
          </w:tcPr>
          <w:p>
            <w:pPr>
              <w:pStyle w:val="0"/>
              <w:rPr>
                <w:rFonts w:hint="default"/>
              </w:rPr>
            </w:pPr>
            <w:r>
              <w:rPr>
                <w:rFonts w:hint="default"/>
              </w:rPr>
              <w:t>社会参加</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週に</w:t>
            </w:r>
            <w:r>
              <w:rPr>
                <w:rFonts w:hint="default"/>
              </w:rPr>
              <w:t>1</w:t>
            </w:r>
            <w:r>
              <w:rPr>
                <w:rFonts w:hint="default"/>
              </w:rPr>
              <w:t>回以上外出して「いない」</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9.8%</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9.4%</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0.4</w:t>
            </w:r>
          </w:p>
        </w:tc>
      </w:tr>
      <w:tr>
        <w:trPr>
          <w:trHeight w:val="20" w:hRule="atLeast"/>
        </w:trPr>
        <w:tc>
          <w:tcPr>
            <w:tcW w:w="1658" w:type="dxa"/>
            <w:vMerge w:val="continue"/>
            <w:tcMar>
              <w:top w:w="28" w:type="dxa"/>
              <w:left w:w="28" w:type="dxa"/>
              <w:bottom w:w="28" w:type="dxa"/>
              <w:right w:w="28" w:type="dxa"/>
            </w:tcMar>
            <w:vAlign w:val="center"/>
          </w:tcPr>
          <w:p>
            <w:pPr>
              <w:pStyle w:val="0"/>
              <w:rPr>
                <w:rFonts w:hint="default"/>
              </w:rPr>
            </w:pP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ふだんから家族や友人との付き合いが「ない」</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5.6%</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1.0</w:t>
            </w:r>
          </w:p>
        </w:tc>
      </w:tr>
      <w:tr>
        <w:trPr>
          <w:trHeight w:val="20" w:hRule="atLeast"/>
        </w:trPr>
        <w:tc>
          <w:tcPr>
            <w:tcW w:w="1658" w:type="dxa"/>
            <w:shd w:val="clear" w:color="auto" w:fill="auto"/>
            <w:tcMar>
              <w:top w:w="28" w:type="dxa"/>
              <w:left w:w="28" w:type="dxa"/>
              <w:bottom w:w="28" w:type="dxa"/>
              <w:right w:w="28" w:type="dxa"/>
            </w:tcMar>
            <w:vAlign w:val="center"/>
          </w:tcPr>
          <w:p>
            <w:pPr>
              <w:pStyle w:val="0"/>
              <w:rPr>
                <w:rFonts w:hint="default"/>
              </w:rPr>
            </w:pPr>
            <w:r>
              <w:rPr>
                <w:rFonts w:hint="default"/>
              </w:rPr>
              <w:t>ソーシャルサポート</w:t>
            </w:r>
          </w:p>
        </w:tc>
        <w:tc>
          <w:tcPr>
            <w:tcW w:w="4227" w:type="dxa"/>
            <w:shd w:val="clear" w:color="auto" w:fill="auto"/>
            <w:tcMar>
              <w:top w:w="28" w:type="dxa"/>
              <w:left w:w="28" w:type="dxa"/>
              <w:bottom w:w="28" w:type="dxa"/>
              <w:right w:w="28" w:type="dxa"/>
            </w:tcMar>
            <w:vAlign w:val="center"/>
          </w:tcPr>
          <w:p>
            <w:pPr>
              <w:pStyle w:val="0"/>
              <w:rPr>
                <w:rFonts w:hint="default"/>
              </w:rPr>
            </w:pPr>
            <w:r>
              <w:rPr>
                <w:rFonts w:hint="default"/>
              </w:rPr>
              <w:t>体調が悪いときに、身近に相談できる人が「いない」</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6.8%</w:t>
            </w:r>
          </w:p>
        </w:tc>
        <w:tc>
          <w:tcPr>
            <w:tcW w:w="1163" w:type="dxa"/>
            <w:shd w:val="clear" w:color="auto" w:fill="auto"/>
            <w:tcMar>
              <w:top w:w="28" w:type="dxa"/>
              <w:left w:w="28" w:type="dxa"/>
              <w:bottom w:w="28" w:type="dxa"/>
              <w:right w:w="28" w:type="dxa"/>
            </w:tcMar>
            <w:vAlign w:val="center"/>
          </w:tcPr>
          <w:p>
            <w:pPr>
              <w:pStyle w:val="0"/>
              <w:jc w:val="right"/>
              <w:rPr>
                <w:rFonts w:hint="default"/>
              </w:rPr>
            </w:pPr>
            <w:r>
              <w:rPr>
                <w:rFonts w:hint="default"/>
              </w:rPr>
              <w:t>4.9%</w:t>
            </w:r>
          </w:p>
        </w:tc>
        <w:tc>
          <w:tcPr>
            <w:tcW w:w="1164" w:type="dxa"/>
            <w:shd w:val="clear" w:color="auto" w:fill="auto"/>
            <w:tcMar>
              <w:top w:w="28" w:type="dxa"/>
              <w:left w:w="28" w:type="dxa"/>
              <w:bottom w:w="28" w:type="dxa"/>
              <w:right w:w="28" w:type="dxa"/>
            </w:tcMar>
            <w:vAlign w:val="center"/>
          </w:tcPr>
          <w:p>
            <w:pPr>
              <w:pStyle w:val="0"/>
              <w:jc w:val="right"/>
              <w:rPr>
                <w:rFonts w:hint="default"/>
              </w:rPr>
            </w:pPr>
            <w:r>
              <w:rPr>
                <w:rFonts w:hint="default"/>
              </w:rPr>
              <w:t>1.9</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4</w:t>
      </w:r>
      <w:r>
        <w:rPr>
          <w:rFonts w:hint="eastAsia"/>
        </w:rPr>
        <w:t>年度</w:t>
      </w:r>
      <w:r>
        <w:rPr>
          <w:rFonts w:hint="default"/>
        </w:rPr>
        <w:t xml:space="preserve"> </w:t>
      </w:r>
      <w:r>
        <w:rPr>
          <w:rFonts w:hint="default"/>
        </w:rPr>
        <w:t>累計（後期）</w:t>
      </w:r>
    </w:p>
    <w:p>
      <w:pPr>
        <w:pStyle w:val="0"/>
        <w:tabs>
          <w:tab w:val="right" w:leader="none" w:pos="10204"/>
        </w:tabs>
        <w:ind w:right="800"/>
        <w:rPr>
          <w:rFonts w:hint="default"/>
        </w:rPr>
      </w:pPr>
      <w:bookmarkEnd w:id="165"/>
      <w:r>
        <w:rPr>
          <w:rFonts w:hint="default"/>
        </w:rPr>
        <w:br w:type="page"/>
      </w:r>
    </w:p>
    <w:p>
      <w:pPr>
        <w:pStyle w:val="2"/>
        <w:rPr>
          <w:rFonts w:hint="default"/>
        </w:rPr>
      </w:pPr>
      <w:bookmarkStart w:id="181" w:name="_Toc162548709"/>
      <w:r>
        <w:rPr>
          <w:rFonts w:hint="default"/>
        </w:rPr>
        <w:t>その他の状況</w:t>
      </w:r>
      <w:r>
        <w:rPr>
          <w:rFonts w:hint="eastAsia"/>
        </w:rPr>
        <w:t>(</w:t>
      </w:r>
      <w:r>
        <w:rPr>
          <w:rFonts w:hint="eastAsia"/>
        </w:rPr>
        <w:t>医療費適正化</w:t>
      </w:r>
      <w:r>
        <w:rPr>
          <w:rFonts w:hint="eastAsia"/>
        </w:rPr>
        <w:t>)</w:t>
      </w:r>
      <w:bookmarkEnd w:id="181"/>
    </w:p>
    <w:p>
      <w:pPr>
        <w:pStyle w:val="3"/>
        <w:rPr>
          <w:rFonts w:hint="default"/>
        </w:rPr>
      </w:pPr>
      <w:bookmarkStart w:id="182" w:name="_Toc162548710"/>
      <w:r>
        <w:rPr>
          <w:rFonts w:hint="default"/>
        </w:rPr>
        <w:t>重複服薬の状況</w:t>
      </w:r>
      <w:bookmarkEnd w:id="182"/>
    </w:p>
    <w:p>
      <w:pPr>
        <w:pStyle w:val="39"/>
        <w:ind w:firstLine="200"/>
        <w:rPr>
          <w:rFonts w:hint="default"/>
        </w:rPr>
      </w:pPr>
      <w:r>
        <w:rPr>
          <w:rFonts w:hint="eastAsia"/>
        </w:rPr>
        <w:t>重複服薬の状況をみると（</w:t>
      </w:r>
      <w:r>
        <w:rPr>
          <w:rFonts w:hint="eastAsia"/>
        </w:rPr>
        <w:fldChar w:fldCharType="begin"/>
      </w:r>
      <w:r>
        <w:rPr>
          <w:rFonts w:hint="eastAsia"/>
        </w:rPr>
        <w:instrText xml:space="preserve">REF _Ref122542784 \h </w:instrText>
      </w:r>
      <w:r>
        <w:rPr>
          <w:rFonts w:hint="eastAsia"/>
        </w:rPr>
        <w:fldChar w:fldCharType="separate"/>
      </w:r>
      <w:r>
        <w:rPr>
          <w:rFonts w:hint="default"/>
        </w:rPr>
        <w:t>図表</w:t>
      </w:r>
      <w:r>
        <w:rPr>
          <w:rFonts w:hint="default"/>
        </w:rPr>
        <w:t>3</w:t>
      </w:r>
      <w:r>
        <w:rPr>
          <w:rFonts w:hint="eastAsia"/>
        </w:rPr>
        <w:t>-</w:t>
      </w:r>
      <w:r>
        <w:rPr>
          <w:rFonts w:hint="default"/>
        </w:rPr>
        <w:t>4</w:t>
      </w:r>
      <w:r>
        <w:rPr>
          <w:rFonts w:hint="eastAsia"/>
        </w:rPr>
        <w:t>-</w:t>
      </w:r>
      <w:r>
        <w:rPr>
          <w:rFonts w:hint="default"/>
        </w:rPr>
        <w:t>1</w:t>
      </w:r>
      <w:r>
        <w:rPr>
          <w:rFonts w:hint="eastAsia"/>
        </w:rPr>
        <w:t>-</w:t>
      </w:r>
      <w:r>
        <w:rPr>
          <w:rFonts w:hint="default"/>
        </w:rPr>
        <w:t>1</w:t>
      </w:r>
      <w:r>
        <w:rPr>
          <w:rFonts w:hint="eastAsia"/>
        </w:rPr>
        <w:fldChar w:fldCharType="end"/>
      </w:r>
      <w:r>
        <w:rPr>
          <w:rFonts w:hint="default"/>
        </w:rPr>
        <w:t>）、重複処方該当者数は</w:t>
      </w:r>
      <w:r>
        <w:rPr>
          <w:rFonts w:hint="default"/>
        </w:rPr>
        <w:t>130</w:t>
      </w:r>
      <w:r>
        <w:rPr>
          <w:rFonts w:hint="default"/>
        </w:rPr>
        <w:t>人</w:t>
      </w:r>
      <w:r>
        <w:rPr>
          <w:rFonts w:hint="eastAsia"/>
        </w:rPr>
        <w:t>である。</w:t>
      </w:r>
    </w:p>
    <w:p>
      <w:pPr>
        <w:pStyle w:val="0"/>
        <w:rPr>
          <w:rFonts w:hint="default"/>
        </w:rPr>
      </w:pPr>
    </w:p>
    <w:p>
      <w:pPr>
        <w:pStyle w:val="42"/>
        <w:rPr>
          <w:rFonts w:hint="default"/>
        </w:rPr>
      </w:pPr>
      <w:r>
        <w:rPr>
          <w:rFonts w:hint="default"/>
        </w:rPr>
        <w:t>※</w:t>
      </w:r>
      <w:r>
        <w:rPr>
          <w:rFonts w:hint="default"/>
        </w:rPr>
        <w:t>重複処方該当者：重複処方を受けた人のうち、</w:t>
      </w:r>
      <w:r>
        <w:rPr>
          <w:rFonts w:hint="default"/>
        </w:rPr>
        <w:t>3</w:t>
      </w:r>
      <w:r>
        <w:rPr>
          <w:rFonts w:hint="default"/>
        </w:rPr>
        <w:t>医療機関以上かつ複数の医療機関から重複処方が発生した薬効数が</w:t>
      </w:r>
      <w:r>
        <w:rPr>
          <w:rFonts w:hint="default"/>
        </w:rPr>
        <w:t>1</w:t>
      </w:r>
      <w:r>
        <w:rPr>
          <w:rFonts w:hint="default"/>
        </w:rPr>
        <w:t>以上、または</w:t>
      </w:r>
      <w:r>
        <w:rPr>
          <w:rFonts w:hint="default"/>
        </w:rPr>
        <w:t>2</w:t>
      </w:r>
      <w:r>
        <w:rPr>
          <w:rFonts w:hint="default"/>
        </w:rPr>
        <w:t>医療機関以上かつ複数の医療機関から重複処方が発生した薬効数が</w:t>
      </w:r>
      <w:r>
        <w:rPr>
          <w:rFonts w:hint="default"/>
        </w:rPr>
        <w:t>2</w:t>
      </w:r>
      <w:r>
        <w:rPr>
          <w:rFonts w:hint="default"/>
        </w:rPr>
        <w:t>以上に該当する</w:t>
      </w:r>
      <w:r>
        <w:rPr>
          <w:rFonts w:hint="eastAsia"/>
        </w:rPr>
        <w:t>もの</w:t>
      </w:r>
    </w:p>
    <w:p>
      <w:pPr>
        <w:pStyle w:val="0"/>
        <w:tabs>
          <w:tab w:val="right" w:leader="none" w:pos="10204"/>
        </w:tabs>
        <w:rPr>
          <w:rFonts w:hint="default"/>
          <w:sz w:val="18"/>
        </w:rPr>
      </w:pPr>
    </w:p>
    <w:p>
      <w:pPr>
        <w:pStyle w:val="38"/>
        <w:rPr>
          <w:rFonts w:hint="default"/>
        </w:rPr>
      </w:pPr>
      <w:bookmarkStart w:id="183" w:name="_Ref122542784"/>
      <w:bookmarkStart w:id="184" w:name="_Toc12493686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83"/>
      <w:r>
        <w:rPr>
          <w:rFonts w:hint="default"/>
        </w:rPr>
        <w:t>：重複服薬の状況（薬効分類単位で集計）</w:t>
      </w:r>
      <w:bookmarkEnd w:id="184"/>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212"/>
        <w:gridCol w:w="1214"/>
        <w:gridCol w:w="693"/>
        <w:gridCol w:w="696"/>
        <w:gridCol w:w="694"/>
        <w:gridCol w:w="696"/>
        <w:gridCol w:w="696"/>
        <w:gridCol w:w="694"/>
        <w:gridCol w:w="696"/>
        <w:gridCol w:w="694"/>
        <w:gridCol w:w="696"/>
        <w:gridCol w:w="694"/>
      </w:tblGrid>
      <w:tr>
        <w:trPr>
          <w:trHeight w:val="20" w:hRule="atLeast"/>
        </w:trPr>
        <w:tc>
          <w:tcPr>
            <w:tcW w:w="1295" w:type="pct"/>
            <w:gridSpan w:val="2"/>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他医療機関との重複処方が発生した医療機関数（同一月内）</w:t>
            </w:r>
          </w:p>
        </w:tc>
        <w:tc>
          <w:tcPr>
            <w:tcW w:w="3705" w:type="pct"/>
            <w:gridSpan w:val="10"/>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複数の医療機関から重複処方が発生した薬効数（同一月内）</w:t>
            </w:r>
          </w:p>
        </w:tc>
      </w:tr>
      <w:tr>
        <w:trPr>
          <w:trHeight w:val="20" w:hRule="atLeast"/>
        </w:trPr>
        <w:tc>
          <w:tcPr>
            <w:tcW w:w="1295" w:type="pct"/>
            <w:gridSpan w:val="2"/>
            <w:vMerge w:val="continue"/>
            <w:tcMar>
              <w:top w:w="28" w:type="dxa"/>
              <w:left w:w="28" w:type="dxa"/>
              <w:bottom w:w="28" w:type="dxa"/>
              <w:right w:w="28" w:type="dxa"/>
            </w:tcMar>
            <w:vAlign w:val="center"/>
          </w:tcPr>
          <w:p>
            <w:pPr>
              <w:pStyle w:val="0"/>
              <w:jc w:val="center"/>
              <w:rPr>
                <w:rFonts w:hint="default"/>
                <w:b w:val="1"/>
              </w:rPr>
            </w:pPr>
          </w:p>
        </w:tc>
        <w:tc>
          <w:tcPr>
            <w:tcW w:w="37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1</w:t>
            </w:r>
            <w:r>
              <w:rPr>
                <w:rFonts w:hint="default"/>
                <w:b w:val="1"/>
                <w:sz w:val="14"/>
              </w:rPr>
              <w:t>以上</w:t>
            </w:r>
          </w:p>
        </w:tc>
        <w:tc>
          <w:tcPr>
            <w:tcW w:w="37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2</w:t>
            </w:r>
            <w:r>
              <w:rPr>
                <w:rFonts w:hint="default"/>
                <w:b w:val="1"/>
                <w:sz w:val="14"/>
              </w:rPr>
              <w:t>以上</w:t>
            </w:r>
          </w:p>
        </w:tc>
        <w:tc>
          <w:tcPr>
            <w:tcW w:w="37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3</w:t>
            </w:r>
            <w:r>
              <w:rPr>
                <w:rFonts w:hint="default"/>
                <w:b w:val="1"/>
                <w:sz w:val="14"/>
              </w:rPr>
              <w:t>以上</w:t>
            </w:r>
          </w:p>
        </w:tc>
        <w:tc>
          <w:tcPr>
            <w:tcW w:w="37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4</w:t>
            </w:r>
            <w:r>
              <w:rPr>
                <w:rFonts w:hint="default"/>
                <w:b w:val="1"/>
                <w:sz w:val="14"/>
              </w:rPr>
              <w:t>以上</w:t>
            </w:r>
          </w:p>
        </w:tc>
        <w:tc>
          <w:tcPr>
            <w:tcW w:w="37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5</w:t>
            </w:r>
            <w:r>
              <w:rPr>
                <w:rFonts w:hint="default"/>
                <w:b w:val="1"/>
                <w:sz w:val="14"/>
              </w:rPr>
              <w:t>以上</w:t>
            </w:r>
          </w:p>
        </w:tc>
        <w:tc>
          <w:tcPr>
            <w:tcW w:w="37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6</w:t>
            </w:r>
            <w:r>
              <w:rPr>
                <w:rFonts w:hint="default"/>
                <w:b w:val="1"/>
                <w:sz w:val="14"/>
              </w:rPr>
              <w:t>以上</w:t>
            </w:r>
          </w:p>
        </w:tc>
        <w:tc>
          <w:tcPr>
            <w:tcW w:w="37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7</w:t>
            </w:r>
            <w:r>
              <w:rPr>
                <w:rFonts w:hint="default"/>
                <w:b w:val="1"/>
                <w:sz w:val="14"/>
              </w:rPr>
              <w:t>以上</w:t>
            </w:r>
          </w:p>
        </w:tc>
        <w:tc>
          <w:tcPr>
            <w:tcW w:w="370"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8</w:t>
            </w:r>
            <w:r>
              <w:rPr>
                <w:rFonts w:hint="default"/>
                <w:b w:val="1"/>
                <w:sz w:val="14"/>
              </w:rPr>
              <w:t>以上</w:t>
            </w:r>
          </w:p>
        </w:tc>
        <w:tc>
          <w:tcPr>
            <w:tcW w:w="37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9</w:t>
            </w:r>
            <w:r>
              <w:rPr>
                <w:rFonts w:hint="default"/>
                <w:b w:val="1"/>
                <w:sz w:val="14"/>
              </w:rPr>
              <w:t>以上</w:t>
            </w:r>
          </w:p>
        </w:tc>
        <w:tc>
          <w:tcPr>
            <w:tcW w:w="37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10</w:t>
            </w:r>
            <w:r>
              <w:rPr>
                <w:rFonts w:hint="default"/>
                <w:b w:val="1"/>
                <w:sz w:val="14"/>
              </w:rPr>
              <w:t>以上</w:t>
            </w:r>
          </w:p>
        </w:tc>
      </w:tr>
      <w:tr>
        <w:trPr>
          <w:trHeight w:val="20" w:hRule="atLeast"/>
        </w:trPr>
        <w:tc>
          <w:tcPr>
            <w:tcW w:w="647"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重複処方を</w:t>
            </w:r>
          </w:p>
          <w:p>
            <w:pPr>
              <w:pStyle w:val="0"/>
              <w:rPr>
                <w:rFonts w:hint="default"/>
              </w:rPr>
            </w:pPr>
            <w:r>
              <w:rPr>
                <w:rFonts w:hint="default"/>
              </w:rPr>
              <w:t>受けた人</w:t>
            </w:r>
          </w:p>
        </w:tc>
        <w:tc>
          <w:tcPr>
            <w:tcW w:w="648" w:type="pct"/>
            <w:shd w:val="clear" w:color="auto" w:fill="auto"/>
            <w:tcMar>
              <w:top w:w="28" w:type="dxa"/>
              <w:left w:w="28" w:type="dxa"/>
              <w:bottom w:w="28" w:type="dxa"/>
              <w:right w:w="28" w:type="dxa"/>
            </w:tcMar>
            <w:vAlign w:val="center"/>
          </w:tcPr>
          <w:p>
            <w:pPr>
              <w:pStyle w:val="0"/>
              <w:rPr>
                <w:rFonts w:hint="default"/>
              </w:rPr>
            </w:pPr>
            <w:r>
              <w:rPr>
                <w:rFonts w:hint="default"/>
              </w:rPr>
              <w:t>2</w:t>
            </w:r>
            <w:r>
              <w:rPr>
                <w:rFonts w:hint="default"/>
              </w:rPr>
              <w:t>医療機関以上</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384</w:t>
            </w:r>
          </w:p>
        </w:tc>
        <w:tc>
          <w:tcPr>
            <w:tcW w:w="371" w:type="pct"/>
            <w:shd w:val="clear" w:color="auto" w:fill="FFE1DB"/>
            <w:tcMar>
              <w:top w:w="28" w:type="dxa"/>
              <w:left w:w="28" w:type="dxa"/>
              <w:bottom w:w="28" w:type="dxa"/>
              <w:right w:w="28" w:type="dxa"/>
            </w:tcMar>
            <w:vAlign w:val="center"/>
          </w:tcPr>
          <w:p>
            <w:pPr>
              <w:pStyle w:val="0"/>
              <w:jc w:val="right"/>
              <w:rPr>
                <w:rFonts w:hint="default"/>
              </w:rPr>
            </w:pPr>
            <w:r>
              <w:rPr>
                <w:rFonts w:hint="default"/>
              </w:rPr>
              <w:t>115</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41</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13</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6</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4</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r>
      <w:tr>
        <w:trPr>
          <w:trHeight w:val="20" w:hRule="atLeast"/>
        </w:trPr>
        <w:tc>
          <w:tcPr>
            <w:tcW w:w="647" w:type="pct"/>
            <w:vMerge w:val="continue"/>
            <w:tcMar>
              <w:top w:w="28" w:type="dxa"/>
              <w:left w:w="28" w:type="dxa"/>
              <w:bottom w:w="28" w:type="dxa"/>
              <w:right w:w="28" w:type="dxa"/>
            </w:tcMar>
            <w:vAlign w:val="center"/>
          </w:tcPr>
          <w:p>
            <w:pPr>
              <w:pStyle w:val="0"/>
              <w:rPr>
                <w:rFonts w:hint="default"/>
              </w:rPr>
            </w:pPr>
          </w:p>
        </w:tc>
        <w:tc>
          <w:tcPr>
            <w:tcW w:w="648" w:type="pct"/>
            <w:shd w:val="clear" w:color="auto" w:fill="auto"/>
            <w:tcMar>
              <w:top w:w="28" w:type="dxa"/>
              <w:left w:w="28" w:type="dxa"/>
              <w:bottom w:w="28" w:type="dxa"/>
              <w:right w:w="28" w:type="dxa"/>
            </w:tcMar>
            <w:vAlign w:val="center"/>
          </w:tcPr>
          <w:p>
            <w:pPr>
              <w:pStyle w:val="0"/>
              <w:rPr>
                <w:rFonts w:hint="default"/>
              </w:rPr>
            </w:pPr>
            <w:r>
              <w:rPr>
                <w:rFonts w:hint="default"/>
              </w:rPr>
              <w:t>3</w:t>
            </w:r>
            <w:r>
              <w:rPr>
                <w:rFonts w:hint="default"/>
              </w:rPr>
              <w:t>医療機関以上</w:t>
            </w:r>
          </w:p>
        </w:tc>
        <w:tc>
          <w:tcPr>
            <w:tcW w:w="370" w:type="pct"/>
            <w:shd w:val="clear" w:color="auto" w:fill="FFE1DB"/>
            <w:tcMar>
              <w:top w:w="28" w:type="dxa"/>
              <w:left w:w="28" w:type="dxa"/>
              <w:bottom w:w="28" w:type="dxa"/>
              <w:right w:w="28" w:type="dxa"/>
            </w:tcMar>
            <w:vAlign w:val="center"/>
          </w:tcPr>
          <w:p>
            <w:pPr>
              <w:pStyle w:val="0"/>
              <w:jc w:val="right"/>
              <w:rPr>
                <w:rFonts w:hint="default"/>
              </w:rPr>
            </w:pPr>
            <w:r>
              <w:rPr>
                <w:rFonts w:hint="default"/>
              </w:rPr>
              <w:t>15</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7</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5</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2</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2</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r>
      <w:tr>
        <w:trPr>
          <w:trHeight w:val="20" w:hRule="atLeast"/>
        </w:trPr>
        <w:tc>
          <w:tcPr>
            <w:tcW w:w="647" w:type="pct"/>
            <w:vMerge w:val="continue"/>
            <w:tcMar>
              <w:top w:w="28" w:type="dxa"/>
              <w:left w:w="28" w:type="dxa"/>
              <w:bottom w:w="28" w:type="dxa"/>
              <w:right w:w="28" w:type="dxa"/>
            </w:tcMar>
            <w:vAlign w:val="center"/>
          </w:tcPr>
          <w:p>
            <w:pPr>
              <w:pStyle w:val="0"/>
              <w:rPr>
                <w:rFonts w:hint="default"/>
              </w:rPr>
            </w:pPr>
          </w:p>
        </w:tc>
        <w:tc>
          <w:tcPr>
            <w:tcW w:w="648" w:type="pct"/>
            <w:shd w:val="clear" w:color="auto" w:fill="auto"/>
            <w:tcMar>
              <w:top w:w="28" w:type="dxa"/>
              <w:left w:w="28" w:type="dxa"/>
              <w:bottom w:w="28" w:type="dxa"/>
              <w:right w:w="28" w:type="dxa"/>
            </w:tcMar>
            <w:vAlign w:val="center"/>
          </w:tcPr>
          <w:p>
            <w:pPr>
              <w:pStyle w:val="0"/>
              <w:rPr>
                <w:rFonts w:hint="default"/>
              </w:rPr>
            </w:pPr>
            <w:r>
              <w:rPr>
                <w:rFonts w:hint="default"/>
              </w:rPr>
              <w:t>4</w:t>
            </w:r>
            <w:r>
              <w:rPr>
                <w:rFonts w:hint="default"/>
              </w:rPr>
              <w:t>医療機関以上</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2</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r>
      <w:tr>
        <w:trPr>
          <w:trHeight w:val="20" w:hRule="atLeast"/>
        </w:trPr>
        <w:tc>
          <w:tcPr>
            <w:tcW w:w="647" w:type="pct"/>
            <w:vMerge w:val="continue"/>
            <w:tcMar>
              <w:top w:w="28" w:type="dxa"/>
              <w:left w:w="28" w:type="dxa"/>
              <w:bottom w:w="28" w:type="dxa"/>
              <w:right w:w="28" w:type="dxa"/>
            </w:tcMar>
            <w:vAlign w:val="center"/>
          </w:tcPr>
          <w:p>
            <w:pPr>
              <w:pStyle w:val="0"/>
              <w:rPr>
                <w:rFonts w:hint="default"/>
              </w:rPr>
            </w:pPr>
          </w:p>
        </w:tc>
        <w:tc>
          <w:tcPr>
            <w:tcW w:w="648" w:type="pct"/>
            <w:shd w:val="clear" w:color="auto" w:fill="auto"/>
            <w:tcMar>
              <w:top w:w="28" w:type="dxa"/>
              <w:left w:w="28" w:type="dxa"/>
              <w:bottom w:w="28" w:type="dxa"/>
              <w:right w:w="28" w:type="dxa"/>
            </w:tcMar>
            <w:vAlign w:val="center"/>
          </w:tcPr>
          <w:p>
            <w:pPr>
              <w:pStyle w:val="0"/>
              <w:rPr>
                <w:rFonts w:hint="default"/>
              </w:rPr>
            </w:pPr>
            <w:r>
              <w:rPr>
                <w:rFonts w:hint="default"/>
              </w:rPr>
              <w:t>5</w:t>
            </w:r>
            <w:r>
              <w:rPr>
                <w:rFonts w:hint="default"/>
              </w:rPr>
              <w:t>医療機関以上</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0"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371"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r>
    </w:tbl>
    <w:p>
      <w:pPr>
        <w:pStyle w:val="44"/>
        <w:rPr>
          <w:rFonts w:hint="default"/>
        </w:rPr>
      </w:pPr>
      <w:r>
        <w:rPr>
          <w:rFonts w:hint="default"/>
        </w:rPr>
        <w:t>【出典】</w:t>
      </w:r>
      <w:r>
        <w:rPr>
          <w:rFonts w:hint="default"/>
        </w:rPr>
        <w:t>KDB</w:t>
      </w:r>
      <w:r>
        <w:rPr>
          <w:rFonts w:hint="default"/>
        </w:rPr>
        <w:t>帳票</w:t>
      </w:r>
      <w:r>
        <w:rPr>
          <w:rFonts w:hint="default"/>
        </w:rPr>
        <w:t xml:space="preserve"> S27_013-</w:t>
      </w:r>
      <w:r>
        <w:rPr>
          <w:rFonts w:hint="default"/>
        </w:rPr>
        <w:t>重複・多剤処方の状況</w:t>
      </w:r>
      <w:r>
        <w:rPr>
          <w:rFonts w:hint="default"/>
        </w:rPr>
        <w:t xml:space="preserve"> </w:t>
      </w:r>
      <w:r>
        <w:rPr>
          <w:rFonts w:hint="default"/>
        </w:rPr>
        <w:t>令和</w:t>
      </w:r>
      <w:r>
        <w:rPr>
          <w:rFonts w:hint="default"/>
        </w:rPr>
        <w:t>5</w:t>
      </w:r>
      <w:r>
        <w:rPr>
          <w:rFonts w:hint="default"/>
        </w:rPr>
        <w:t>年</w:t>
      </w:r>
      <w:r>
        <w:rPr>
          <w:rFonts w:hint="eastAsia"/>
        </w:rPr>
        <w:t>3</w:t>
      </w:r>
      <w:r>
        <w:rPr>
          <w:rFonts w:hint="default"/>
        </w:rPr>
        <w:t>月</w:t>
      </w:r>
      <w:r>
        <w:rPr>
          <w:rFonts w:hint="eastAsia"/>
        </w:rPr>
        <w:t>診療分</w:t>
      </w:r>
    </w:p>
    <w:p>
      <w:pPr>
        <w:pStyle w:val="0"/>
        <w:tabs>
          <w:tab w:val="right" w:leader="none" w:pos="10204"/>
        </w:tabs>
        <w:spacing w:before="60" w:beforeLines="0" w:beforeAutospacing="0" w:line="240" w:lineRule="auto"/>
        <w:rPr>
          <w:rFonts w:hint="default"/>
        </w:rPr>
      </w:pPr>
    </w:p>
    <w:p>
      <w:pPr>
        <w:pStyle w:val="3"/>
        <w:rPr>
          <w:rFonts w:hint="default"/>
        </w:rPr>
      </w:pPr>
      <w:bookmarkStart w:id="185" w:name="_Toc162548711"/>
      <w:r>
        <w:rPr>
          <w:rFonts w:hint="default"/>
        </w:rPr>
        <w:t>多剤服薬の状況</w:t>
      </w:r>
      <w:bookmarkEnd w:id="185"/>
    </w:p>
    <w:p>
      <w:pPr>
        <w:pStyle w:val="39"/>
        <w:ind w:firstLine="200"/>
        <w:rPr>
          <w:rFonts w:hint="default"/>
        </w:rPr>
      </w:pPr>
      <w:r>
        <w:rPr>
          <w:rFonts w:hint="eastAsia"/>
        </w:rPr>
        <w:t>多剤服薬の状況をみると（</w:t>
      </w:r>
      <w:r>
        <w:rPr>
          <w:rFonts w:hint="eastAsia"/>
        </w:rPr>
        <w:fldChar w:fldCharType="begin"/>
      </w:r>
      <w:r>
        <w:rPr>
          <w:rFonts w:hint="eastAsia"/>
        </w:rPr>
        <w:instrText xml:space="preserve">REF _Ref122542867 \h </w:instrText>
      </w:r>
      <w:r>
        <w:rPr>
          <w:rFonts w:hint="eastAsia"/>
        </w:rPr>
        <w:fldChar w:fldCharType="separate"/>
      </w:r>
      <w:r>
        <w:rPr>
          <w:rFonts w:hint="default"/>
        </w:rPr>
        <w:t>図表</w:t>
      </w:r>
      <w:r>
        <w:rPr>
          <w:rFonts w:hint="default"/>
        </w:rPr>
        <w:t>3</w:t>
      </w:r>
      <w:r>
        <w:rPr>
          <w:rFonts w:hint="eastAsia"/>
        </w:rPr>
        <w:t>-</w:t>
      </w:r>
      <w:r>
        <w:rPr>
          <w:rFonts w:hint="default"/>
        </w:rPr>
        <w:t>4</w:t>
      </w:r>
      <w:r>
        <w:rPr>
          <w:rFonts w:hint="eastAsia"/>
        </w:rPr>
        <w:t>-</w:t>
      </w:r>
      <w:r>
        <w:rPr>
          <w:rFonts w:hint="default"/>
        </w:rPr>
        <w:t>2</w:t>
      </w:r>
      <w:r>
        <w:rPr>
          <w:rFonts w:hint="eastAsia"/>
        </w:rPr>
        <w:t>-</w:t>
      </w:r>
      <w:r>
        <w:rPr>
          <w:rFonts w:hint="default"/>
        </w:rPr>
        <w:t>1</w:t>
      </w:r>
      <w:r>
        <w:rPr>
          <w:rFonts w:hint="eastAsia"/>
        </w:rPr>
        <w:fldChar w:fldCharType="end"/>
      </w:r>
      <w:r>
        <w:rPr>
          <w:rFonts w:hint="default"/>
        </w:rPr>
        <w:t>）、多剤処方該当者数は</w:t>
      </w:r>
      <w:r>
        <w:rPr>
          <w:rFonts w:hint="default"/>
        </w:rPr>
        <w:t>39</w:t>
      </w:r>
      <w:r>
        <w:rPr>
          <w:rFonts w:hint="default"/>
        </w:rPr>
        <w:t>人</w:t>
      </w:r>
      <w:r>
        <w:rPr>
          <w:rFonts w:hint="eastAsia"/>
        </w:rPr>
        <w:t>である</w:t>
      </w:r>
      <w:r>
        <w:rPr>
          <w:rFonts w:hint="default"/>
        </w:rPr>
        <w:t>。</w:t>
      </w:r>
    </w:p>
    <w:p>
      <w:pPr>
        <w:pStyle w:val="0"/>
        <w:rPr>
          <w:rFonts w:hint="default"/>
        </w:rPr>
      </w:pPr>
    </w:p>
    <w:p>
      <w:pPr>
        <w:pStyle w:val="42"/>
        <w:rPr>
          <w:rFonts w:hint="default"/>
        </w:rPr>
      </w:pPr>
      <w:r>
        <w:rPr>
          <w:rFonts w:hint="eastAsia"/>
        </w:rPr>
        <w:t>※多剤処方該当者：同一薬効に関する処方日数が</w:t>
      </w:r>
      <w:r>
        <w:rPr>
          <w:rFonts w:hint="default"/>
        </w:rPr>
        <w:t>1</w:t>
      </w:r>
      <w:r>
        <w:rPr>
          <w:rFonts w:hint="default"/>
        </w:rPr>
        <w:t>日以上かつ処方薬</w:t>
      </w:r>
      <w:r>
        <w:rPr>
          <w:rFonts w:hint="eastAsia"/>
        </w:rPr>
        <w:t>効</w:t>
      </w:r>
      <w:r>
        <w:rPr>
          <w:rFonts w:hint="default"/>
        </w:rPr>
        <w:t>数（同一月内）が</w:t>
      </w:r>
      <w:r>
        <w:rPr>
          <w:rFonts w:hint="default"/>
        </w:rPr>
        <w:t>15</w:t>
      </w:r>
      <w:r>
        <w:rPr>
          <w:rFonts w:hint="default"/>
        </w:rPr>
        <w:t>以上に該当する</w:t>
      </w:r>
      <w:r>
        <w:rPr>
          <w:rFonts w:hint="eastAsia"/>
        </w:rPr>
        <w:t>もの</w:t>
      </w:r>
    </w:p>
    <w:p>
      <w:pPr>
        <w:pStyle w:val="0"/>
        <w:rPr>
          <w:rFonts w:hint="default"/>
          <w:sz w:val="18"/>
        </w:rPr>
      </w:pPr>
    </w:p>
    <w:p>
      <w:pPr>
        <w:pStyle w:val="38"/>
        <w:rPr>
          <w:rFonts w:hint="default"/>
        </w:rPr>
      </w:pPr>
      <w:bookmarkStart w:id="186" w:name="_Ref122542867"/>
      <w:bookmarkStart w:id="187" w:name="_Toc12493686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86"/>
      <w:r>
        <w:rPr>
          <w:rFonts w:hint="default"/>
        </w:rPr>
        <w:t>：多剤服薬の状況（薬効分類単位で集計）</w:t>
      </w:r>
      <w:bookmarkEnd w:id="187"/>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65"/>
        <w:gridCol w:w="952"/>
        <w:gridCol w:w="678"/>
        <w:gridCol w:w="680"/>
        <w:gridCol w:w="681"/>
        <w:gridCol w:w="679"/>
        <w:gridCol w:w="681"/>
        <w:gridCol w:w="681"/>
        <w:gridCol w:w="679"/>
        <w:gridCol w:w="681"/>
        <w:gridCol w:w="681"/>
        <w:gridCol w:w="679"/>
        <w:gridCol w:w="681"/>
        <w:gridCol w:w="677"/>
      </w:tblGrid>
      <w:tr>
        <w:trPr>
          <w:trHeight w:val="20" w:hRule="atLeast"/>
        </w:trPr>
        <w:tc>
          <w:tcPr>
            <w:tcW w:w="650" w:type="pct"/>
            <w:gridSpan w:val="2"/>
            <w:vMerge w:val="restart"/>
            <w:shd w:val="clear" w:color="auto" w:fill="CCD6FF"/>
            <w:tcMar>
              <w:top w:w="28" w:type="dxa"/>
              <w:left w:w="28" w:type="dxa"/>
              <w:bottom w:w="28" w:type="dxa"/>
              <w:right w:w="28" w:type="dxa"/>
            </w:tcMar>
            <w:vAlign w:val="center"/>
          </w:tcPr>
          <w:p>
            <w:pPr>
              <w:pStyle w:val="0"/>
              <w:jc w:val="center"/>
              <w:rPr>
                <w:rFonts w:hint="default"/>
              </w:rPr>
            </w:pPr>
          </w:p>
        </w:tc>
        <w:tc>
          <w:tcPr>
            <w:tcW w:w="4350" w:type="pct"/>
            <w:gridSpan w:val="1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処方薬効数（同一月内）</w:t>
            </w:r>
          </w:p>
        </w:tc>
      </w:tr>
      <w:tr>
        <w:trPr>
          <w:trHeight w:val="20" w:hRule="atLeast"/>
        </w:trPr>
        <w:tc>
          <w:tcPr>
            <w:tcW w:w="650" w:type="pct"/>
            <w:gridSpan w:val="2"/>
            <w:vMerge w:val="continue"/>
            <w:shd w:val="clear" w:color="auto" w:fill="CCD6FF"/>
            <w:tcMar>
              <w:top w:w="28" w:type="dxa"/>
              <w:left w:w="28" w:type="dxa"/>
              <w:bottom w:w="28" w:type="dxa"/>
              <w:right w:w="28" w:type="dxa"/>
            </w:tcMar>
            <w:vAlign w:val="center"/>
          </w:tcPr>
          <w:p>
            <w:pPr>
              <w:pStyle w:val="0"/>
              <w:jc w:val="center"/>
              <w:rPr>
                <w:rFonts w:hint="default"/>
              </w:rPr>
            </w:pPr>
          </w:p>
        </w:tc>
        <w:tc>
          <w:tcPr>
            <w:tcW w:w="362"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1</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2</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3</w:t>
            </w:r>
            <w:r>
              <w:rPr>
                <w:rFonts w:hint="default"/>
                <w:b w:val="1"/>
                <w:sz w:val="14"/>
              </w:rPr>
              <w:t>以上</w:t>
            </w:r>
          </w:p>
        </w:tc>
        <w:tc>
          <w:tcPr>
            <w:tcW w:w="362"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4</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5</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6</w:t>
            </w:r>
            <w:r>
              <w:rPr>
                <w:rFonts w:hint="default"/>
                <w:b w:val="1"/>
                <w:sz w:val="14"/>
              </w:rPr>
              <w:t>以上</w:t>
            </w:r>
          </w:p>
        </w:tc>
        <w:tc>
          <w:tcPr>
            <w:tcW w:w="362"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7</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8</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9</w:t>
            </w:r>
            <w:r>
              <w:rPr>
                <w:rFonts w:hint="default"/>
                <w:b w:val="1"/>
                <w:sz w:val="14"/>
              </w:rPr>
              <w:t>以上</w:t>
            </w:r>
          </w:p>
        </w:tc>
        <w:tc>
          <w:tcPr>
            <w:tcW w:w="362"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10</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15</w:t>
            </w:r>
            <w:r>
              <w:rPr>
                <w:rFonts w:hint="default"/>
                <w:b w:val="1"/>
                <w:sz w:val="14"/>
              </w:rPr>
              <w:t>以上</w:t>
            </w:r>
          </w:p>
        </w:tc>
        <w:tc>
          <w:tcPr>
            <w:tcW w:w="363" w:type="pct"/>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20</w:t>
            </w:r>
            <w:r>
              <w:rPr>
                <w:rFonts w:hint="default"/>
                <w:b w:val="1"/>
                <w:sz w:val="14"/>
              </w:rPr>
              <w:t>以上</w:t>
            </w:r>
          </w:p>
        </w:tc>
      </w:tr>
      <w:tr>
        <w:trPr>
          <w:trHeight w:val="20" w:hRule="atLeast"/>
        </w:trPr>
        <w:tc>
          <w:tcPr>
            <w:tcW w:w="142"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処</w:t>
            </w:r>
          </w:p>
          <w:p>
            <w:pPr>
              <w:pStyle w:val="0"/>
              <w:rPr>
                <w:rFonts w:hint="default"/>
              </w:rPr>
            </w:pPr>
            <w:r>
              <w:rPr>
                <w:rFonts w:hint="default"/>
              </w:rPr>
              <w:t>方</w:t>
            </w:r>
          </w:p>
          <w:p>
            <w:pPr>
              <w:pStyle w:val="0"/>
              <w:rPr>
                <w:rFonts w:hint="default"/>
              </w:rPr>
            </w:pPr>
            <w:r>
              <w:rPr>
                <w:rFonts w:hint="default"/>
              </w:rPr>
              <w:t>日</w:t>
            </w:r>
          </w:p>
          <w:p>
            <w:pPr>
              <w:pStyle w:val="0"/>
              <w:rPr>
                <w:rFonts w:hint="default"/>
              </w:rPr>
            </w:pPr>
            <w:r>
              <w:rPr>
                <w:rFonts w:hint="default"/>
              </w:rPr>
              <w:t>数</w:t>
            </w: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1</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7,963</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6,549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5,061</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3,661</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2,584</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1,800</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1,201</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762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498</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327</w:t>
            </w:r>
          </w:p>
        </w:tc>
        <w:tc>
          <w:tcPr>
            <w:tcW w:w="363" w:type="pct"/>
            <w:shd w:val="clear" w:color="auto" w:fill="FFE1DB"/>
            <w:tcMar>
              <w:top w:w="28" w:type="dxa"/>
              <w:left w:w="28" w:type="dxa"/>
              <w:bottom w:w="28" w:type="dxa"/>
              <w:right w:w="28" w:type="dxa"/>
            </w:tcMar>
            <w:vAlign w:val="center"/>
          </w:tcPr>
          <w:p>
            <w:pPr>
              <w:pStyle w:val="0"/>
              <w:jc w:val="right"/>
              <w:rPr>
                <w:rFonts w:hint="default"/>
              </w:rPr>
            </w:pPr>
            <w:r>
              <w:rPr>
                <w:rFonts w:hint="default"/>
              </w:rPr>
              <w:t>39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15</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6,594</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5,801</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4,611</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3,429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2,472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1,752</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1,185</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756</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495</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325</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30</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6,021</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5,322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4,267</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3,198</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2,332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1,665</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1,130</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725</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479</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318</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60</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3,597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3,252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2,699</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2,122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1,570</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1,181</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817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539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367</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251</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90</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1,778</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1,636</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1,403</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1,122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849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645</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464</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318</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221</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157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120</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950</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902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798</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650</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492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378</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190</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132</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95</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16</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150</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477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459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405</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339</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254</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195</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102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48</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r>
      <w:tr>
        <w:trPr>
          <w:trHeight w:val="20" w:hRule="atLeast"/>
        </w:trPr>
        <w:tc>
          <w:tcPr>
            <w:tcW w:w="142" w:type="pct"/>
            <w:vMerge w:val="continue"/>
            <w:shd w:val="clear" w:color="auto" w:fill="auto"/>
            <w:tcMar>
              <w:top w:w="28" w:type="dxa"/>
              <w:left w:w="28" w:type="dxa"/>
              <w:bottom w:w="28" w:type="dxa"/>
              <w:right w:w="28" w:type="dxa"/>
            </w:tcMar>
            <w:vAlign w:val="center"/>
          </w:tcPr>
          <w:p>
            <w:pPr>
              <w:pStyle w:val="0"/>
              <w:rPr>
                <w:rFonts w:hint="default"/>
              </w:rPr>
            </w:pPr>
          </w:p>
        </w:tc>
        <w:tc>
          <w:tcPr>
            <w:tcW w:w="508" w:type="pct"/>
            <w:shd w:val="clear" w:color="auto" w:fill="auto"/>
            <w:tcMar>
              <w:top w:w="28" w:type="dxa"/>
              <w:left w:w="28" w:type="dxa"/>
              <w:bottom w:w="28" w:type="dxa"/>
              <w:right w:w="28" w:type="dxa"/>
            </w:tcMar>
            <w:vAlign w:val="center"/>
          </w:tcPr>
          <w:p>
            <w:pPr>
              <w:pStyle w:val="0"/>
              <w:rPr>
                <w:rFonts w:hint="default"/>
              </w:rPr>
            </w:pPr>
            <w:r>
              <w:rPr>
                <w:rFonts w:hint="default"/>
              </w:rPr>
              <w:t>180</w:t>
            </w:r>
            <w:r>
              <w:rPr>
                <w:rFonts w:hint="default"/>
              </w:rPr>
              <w:t>日以上</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355</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343</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299</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247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183</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137</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97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67</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46</w:t>
            </w:r>
          </w:p>
        </w:tc>
        <w:tc>
          <w:tcPr>
            <w:tcW w:w="362" w:type="pct"/>
            <w:shd w:val="clear" w:color="auto" w:fill="auto"/>
            <w:tcMar>
              <w:top w:w="28" w:type="dxa"/>
              <w:left w:w="28" w:type="dxa"/>
              <w:bottom w:w="28" w:type="dxa"/>
              <w:right w:w="28" w:type="dxa"/>
            </w:tcMar>
            <w:vAlign w:val="center"/>
          </w:tcPr>
          <w:p>
            <w:pPr>
              <w:pStyle w:val="0"/>
              <w:jc w:val="right"/>
              <w:rPr>
                <w:rFonts w:hint="default"/>
              </w:rPr>
            </w:pPr>
            <w:r>
              <w:rPr>
                <w:rFonts w:hint="default"/>
              </w:rPr>
              <w:t>32</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6</w:t>
            </w:r>
          </w:p>
        </w:tc>
        <w:tc>
          <w:tcPr>
            <w:tcW w:w="363" w:type="pct"/>
            <w:shd w:val="clear" w:color="auto" w:fill="auto"/>
            <w:tcMar>
              <w:top w:w="28" w:type="dxa"/>
              <w:left w:w="28" w:type="dxa"/>
              <w:bottom w:w="28" w:type="dxa"/>
              <w:right w:w="28" w:type="dxa"/>
            </w:tcMar>
            <w:vAlign w:val="center"/>
          </w:tcPr>
          <w:p>
            <w:pPr>
              <w:pStyle w:val="0"/>
              <w:jc w:val="right"/>
              <w:rPr>
                <w:rFonts w:hint="default"/>
              </w:rPr>
            </w:pPr>
            <w:r>
              <w:rPr>
                <w:rFonts w:hint="default"/>
              </w:rPr>
              <w:t>1</w:t>
            </w:r>
          </w:p>
        </w:tc>
      </w:tr>
    </w:tbl>
    <w:p>
      <w:pPr>
        <w:pStyle w:val="44"/>
        <w:rPr>
          <w:rFonts w:hint="default"/>
        </w:rPr>
      </w:pPr>
      <w:r>
        <w:rPr>
          <w:rFonts w:hint="default"/>
        </w:rPr>
        <w:t>【出典】</w:t>
      </w:r>
      <w:r>
        <w:rPr>
          <w:rFonts w:hint="default"/>
        </w:rPr>
        <w:t>KDB</w:t>
      </w:r>
      <w:r>
        <w:rPr>
          <w:rFonts w:hint="default"/>
        </w:rPr>
        <w:t>帳票</w:t>
      </w:r>
      <w:r>
        <w:rPr>
          <w:rFonts w:hint="default"/>
        </w:rPr>
        <w:t xml:space="preserve"> S27_013-</w:t>
      </w:r>
      <w:r>
        <w:rPr>
          <w:rFonts w:hint="default"/>
        </w:rPr>
        <w:t>重複・多剤処方の状況</w:t>
      </w:r>
      <w:r>
        <w:rPr>
          <w:rFonts w:hint="default"/>
        </w:rPr>
        <w:t xml:space="preserve"> </w:t>
      </w:r>
      <w:r>
        <w:rPr>
          <w:rFonts w:hint="default"/>
        </w:rPr>
        <w:t>令和</w:t>
      </w:r>
      <w:r>
        <w:rPr>
          <w:rFonts w:hint="default"/>
        </w:rPr>
        <w:t>5</w:t>
      </w:r>
      <w:r>
        <w:rPr>
          <w:rFonts w:hint="default"/>
        </w:rPr>
        <w:t>年</w:t>
      </w:r>
      <w:r>
        <w:rPr>
          <w:rFonts w:hint="eastAsia"/>
        </w:rPr>
        <w:t>3</w:t>
      </w:r>
      <w:r>
        <w:rPr>
          <w:rFonts w:hint="default"/>
        </w:rPr>
        <w:t>月</w:t>
      </w:r>
      <w:r>
        <w:rPr>
          <w:rFonts w:hint="eastAsia"/>
        </w:rPr>
        <w:t>診療分</w:t>
      </w:r>
    </w:p>
    <w:p>
      <w:pPr>
        <w:pStyle w:val="0"/>
        <w:rPr>
          <w:rFonts w:hint="default"/>
        </w:rPr>
      </w:pPr>
    </w:p>
    <w:p>
      <w:pPr>
        <w:pStyle w:val="3"/>
        <w:rPr>
          <w:rFonts w:hint="default"/>
        </w:rPr>
      </w:pPr>
      <w:bookmarkStart w:id="188" w:name="_Toc162548712"/>
      <w:r>
        <w:rPr>
          <w:rFonts w:hint="default"/>
        </w:rPr>
        <w:t>後発医薬品の使用状況</w:t>
      </w:r>
      <w:bookmarkEnd w:id="188"/>
    </w:p>
    <w:p>
      <w:pPr>
        <w:pStyle w:val="39"/>
        <w:ind w:firstLine="200"/>
        <w:rPr>
          <w:rFonts w:hint="default"/>
        </w:rPr>
      </w:pPr>
      <w:r>
        <w:rPr>
          <w:rFonts w:hint="default"/>
        </w:rPr>
        <w:t>令和</w:t>
      </w:r>
      <w:r>
        <w:rPr>
          <w:rFonts w:hint="default"/>
        </w:rPr>
        <w:t>4</w:t>
      </w:r>
      <w:r>
        <w:rPr>
          <w:rFonts w:hint="default"/>
        </w:rPr>
        <w:t>年</w:t>
      </w:r>
      <w:r>
        <w:rPr>
          <w:rFonts w:hint="default"/>
        </w:rPr>
        <w:t>9</w:t>
      </w:r>
      <w:r>
        <w:rPr>
          <w:rFonts w:hint="default"/>
        </w:rPr>
        <w:t>月時点</w:t>
      </w:r>
      <w:r>
        <w:rPr>
          <w:rFonts w:hint="eastAsia"/>
        </w:rPr>
        <w:t>の後発医薬品の使用割合は</w:t>
      </w:r>
      <w:r>
        <w:rPr>
          <w:rFonts w:hint="default"/>
        </w:rPr>
        <w:t>79.9%</w:t>
      </w:r>
      <w:r>
        <w:rPr>
          <w:rFonts w:hint="eastAsia"/>
        </w:rPr>
        <w:t>で、</w:t>
      </w:r>
      <w:r>
        <w:rPr>
          <w:rFonts w:hint="default"/>
        </w:rPr>
        <w:t>県</w:t>
      </w:r>
      <w:r>
        <w:rPr>
          <w:rFonts w:hint="eastAsia"/>
        </w:rPr>
        <w:t>の</w:t>
      </w:r>
      <w:r>
        <w:rPr>
          <w:rFonts w:hint="default"/>
        </w:rPr>
        <w:t>81.0%</w:t>
      </w:r>
      <w:r>
        <w:rPr>
          <w:rFonts w:hint="eastAsia"/>
        </w:rPr>
        <w:t>と比較して</w:t>
      </w:r>
      <w:r>
        <w:rPr>
          <w:rFonts w:hint="default"/>
        </w:rPr>
        <w:t>1.1</w:t>
      </w:r>
      <w:r>
        <w:rPr>
          <w:rFonts w:hint="default"/>
        </w:rPr>
        <w:t>ポイント低い</w:t>
      </w:r>
      <w:r>
        <w:rPr>
          <w:rFonts w:hint="eastAsia"/>
        </w:rPr>
        <w:t>（</w:t>
      </w:r>
      <w:r>
        <w:rPr>
          <w:rFonts w:hint="eastAsia"/>
        </w:rPr>
        <w:fldChar w:fldCharType="begin"/>
      </w:r>
      <w:r>
        <w:rPr>
          <w:rFonts w:hint="eastAsia"/>
        </w:rPr>
        <w:instrText xml:space="preserve">REF _Ref122542912 \h </w:instrText>
      </w:r>
      <w:r>
        <w:rPr>
          <w:rFonts w:hint="eastAsia"/>
        </w:rPr>
        <w:fldChar w:fldCharType="separate"/>
      </w:r>
      <w:r>
        <w:rPr>
          <w:rFonts w:hint="default"/>
        </w:rPr>
        <w:t>図表</w:t>
      </w:r>
      <w:r>
        <w:rPr>
          <w:rFonts w:hint="default"/>
        </w:rPr>
        <w:t>3</w:t>
      </w:r>
      <w:r>
        <w:rPr>
          <w:rFonts w:hint="eastAsia"/>
        </w:rPr>
        <w:t>-</w:t>
      </w:r>
      <w:r>
        <w:rPr>
          <w:rFonts w:hint="default"/>
        </w:rPr>
        <w:t>4</w:t>
      </w:r>
      <w:r>
        <w:rPr>
          <w:rFonts w:hint="eastAsia"/>
        </w:rPr>
        <w:t>-</w:t>
      </w:r>
      <w:r>
        <w:rPr>
          <w:rFonts w:hint="default"/>
        </w:rPr>
        <w:t>3</w:t>
      </w:r>
      <w:r>
        <w:rPr>
          <w:rFonts w:hint="eastAsia"/>
        </w:rPr>
        <w:t>-</w:t>
      </w:r>
      <w:r>
        <w:rPr>
          <w:rFonts w:hint="default"/>
        </w:rPr>
        <w:t>1</w:t>
      </w:r>
      <w:r>
        <w:rPr>
          <w:rFonts w:hint="eastAsia"/>
        </w:rPr>
        <w:fldChar w:fldCharType="end"/>
      </w:r>
      <w:r>
        <w:rPr>
          <w:rFonts w:hint="default"/>
        </w:rPr>
        <w:t>）</w:t>
      </w:r>
      <w:r>
        <w:rPr>
          <w:rFonts w:hint="eastAsia"/>
        </w:rPr>
        <w:t>。</w:t>
      </w:r>
    </w:p>
    <w:p>
      <w:pPr>
        <w:pStyle w:val="0"/>
        <w:tabs>
          <w:tab w:val="right" w:leader="none" w:pos="10204"/>
        </w:tabs>
        <w:rPr>
          <w:rFonts w:hint="default"/>
          <w:sz w:val="18"/>
        </w:rPr>
      </w:pPr>
    </w:p>
    <w:p>
      <w:pPr>
        <w:pStyle w:val="38"/>
        <w:rPr>
          <w:rFonts w:hint="default"/>
        </w:rPr>
      </w:pPr>
      <w:bookmarkStart w:id="189" w:name="_Ref122542912"/>
      <w:bookmarkStart w:id="190" w:name="_Toc12493686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89"/>
      <w:r>
        <w:rPr>
          <w:rFonts w:hint="default"/>
        </w:rPr>
        <w:t>：後発医薬品の使用状況</w:t>
      </w:r>
      <w:bookmarkEnd w:id="190"/>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82"/>
        <w:gridCol w:w="1071"/>
        <w:gridCol w:w="1071"/>
        <w:gridCol w:w="1071"/>
        <w:gridCol w:w="1071"/>
        <w:gridCol w:w="1071"/>
        <w:gridCol w:w="1071"/>
        <w:gridCol w:w="1067"/>
      </w:tblGrid>
      <w:tr>
        <w:trPr/>
        <w:tc>
          <w:tcPr>
            <w:tcW w:w="1004" w:type="pct"/>
            <w:shd w:val="clear" w:color="auto" w:fill="CCD6FF"/>
            <w:tcMar>
              <w:top w:w="28" w:type="dxa"/>
              <w:left w:w="28" w:type="dxa"/>
              <w:bottom w:w="28" w:type="dxa"/>
              <w:right w:w="28" w:type="dxa"/>
            </w:tcMar>
            <w:vAlign w:val="center"/>
          </w:tcPr>
          <w:p>
            <w:pPr>
              <w:pStyle w:val="0"/>
              <w:jc w:val="center"/>
              <w:rPr>
                <w:rFonts w:hint="default"/>
              </w:rPr>
            </w:pPr>
          </w:p>
        </w:tc>
        <w:tc>
          <w:tcPr>
            <w:tcW w:w="571"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eastAsia"/>
                <w:b w:val="1"/>
              </w:rPr>
              <w:t>1</w:t>
            </w:r>
            <w:r>
              <w:rPr>
                <w:rFonts w:hint="default"/>
                <w:b w:val="1"/>
              </w:rPr>
              <w:t>年</w:t>
            </w:r>
            <w:r>
              <w:rPr>
                <w:rFonts w:hint="default"/>
                <w:b w:val="1"/>
              </w:rPr>
              <w:t>9</w:t>
            </w:r>
            <w:r>
              <w:rPr>
                <w:rFonts w:hint="default"/>
                <w:b w:val="1"/>
              </w:rPr>
              <w:t>月</w:t>
            </w:r>
          </w:p>
        </w:tc>
        <w:tc>
          <w:tcPr>
            <w:tcW w:w="571"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2</w:t>
            </w:r>
            <w:r>
              <w:rPr>
                <w:rFonts w:hint="default"/>
                <w:b w:val="1"/>
              </w:rPr>
              <w:t>年</w:t>
            </w:r>
            <w:r>
              <w:rPr>
                <w:rFonts w:hint="default"/>
                <w:b w:val="1"/>
              </w:rPr>
              <w:t>3</w:t>
            </w:r>
            <w:r>
              <w:rPr>
                <w:rFonts w:hint="default"/>
                <w:b w:val="1"/>
              </w:rPr>
              <w:t>月</w:t>
            </w:r>
          </w:p>
        </w:tc>
        <w:tc>
          <w:tcPr>
            <w:tcW w:w="571"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2</w:t>
            </w:r>
            <w:r>
              <w:rPr>
                <w:rFonts w:hint="default"/>
                <w:b w:val="1"/>
              </w:rPr>
              <w:t>年</w:t>
            </w:r>
            <w:r>
              <w:rPr>
                <w:rFonts w:hint="default"/>
                <w:b w:val="1"/>
              </w:rPr>
              <w:t>9</w:t>
            </w:r>
            <w:r>
              <w:rPr>
                <w:rFonts w:hint="default"/>
                <w:b w:val="1"/>
              </w:rPr>
              <w:t>月</w:t>
            </w:r>
          </w:p>
        </w:tc>
        <w:tc>
          <w:tcPr>
            <w:tcW w:w="571"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3</w:t>
            </w:r>
            <w:r>
              <w:rPr>
                <w:rFonts w:hint="default"/>
                <w:b w:val="1"/>
              </w:rPr>
              <w:t>年</w:t>
            </w:r>
            <w:r>
              <w:rPr>
                <w:rFonts w:hint="default"/>
                <w:b w:val="1"/>
              </w:rPr>
              <w:t>3</w:t>
            </w:r>
            <w:r>
              <w:rPr>
                <w:rFonts w:hint="default"/>
                <w:b w:val="1"/>
              </w:rPr>
              <w:t>月</w:t>
            </w:r>
          </w:p>
        </w:tc>
        <w:tc>
          <w:tcPr>
            <w:tcW w:w="571" w:type="pct"/>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3</w:t>
            </w:r>
            <w:r>
              <w:rPr>
                <w:rFonts w:hint="default"/>
                <w:b w:val="1"/>
              </w:rPr>
              <w:t>年</w:t>
            </w:r>
            <w:r>
              <w:rPr>
                <w:rFonts w:hint="default"/>
                <w:b w:val="1"/>
              </w:rPr>
              <w:t>9</w:t>
            </w:r>
            <w:r>
              <w:rPr>
                <w:rFonts w:hint="default"/>
                <w:b w:val="1"/>
              </w:rPr>
              <w:t>月</w:t>
            </w:r>
          </w:p>
        </w:tc>
        <w:tc>
          <w:tcPr>
            <w:tcW w:w="57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eastAsia"/>
                <w:b w:val="1"/>
              </w:rPr>
              <w:t>4</w:t>
            </w:r>
            <w:r>
              <w:rPr>
                <w:rFonts w:hint="default"/>
                <w:b w:val="1"/>
              </w:rPr>
              <w:t>年</w:t>
            </w:r>
            <w:r>
              <w:rPr>
                <w:rFonts w:hint="default"/>
                <w:b w:val="1"/>
              </w:rPr>
              <w:t>3</w:t>
            </w:r>
            <w:r>
              <w:rPr>
                <w:rFonts w:hint="default"/>
                <w:b w:val="1"/>
              </w:rPr>
              <w:t>月</w:t>
            </w:r>
          </w:p>
        </w:tc>
        <w:tc>
          <w:tcPr>
            <w:tcW w:w="569"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eastAsia"/>
                <w:b w:val="1"/>
              </w:rPr>
              <w:t>4</w:t>
            </w:r>
            <w:r>
              <w:rPr>
                <w:rFonts w:hint="default"/>
                <w:b w:val="1"/>
              </w:rPr>
              <w:t>年</w:t>
            </w:r>
            <w:r>
              <w:rPr>
                <w:rFonts w:hint="default"/>
                <w:b w:val="1"/>
              </w:rPr>
              <w:t>9</w:t>
            </w:r>
            <w:r>
              <w:rPr>
                <w:rFonts w:hint="default"/>
                <w:b w:val="1"/>
              </w:rPr>
              <w:t>月</w:t>
            </w:r>
          </w:p>
        </w:tc>
      </w:tr>
      <w:tr>
        <w:trPr/>
        <w:tc>
          <w:tcPr>
            <w:tcW w:w="1004" w:type="pct"/>
            <w:tcMar>
              <w:top w:w="28" w:type="dxa"/>
              <w:left w:w="28" w:type="dxa"/>
              <w:bottom w:w="28" w:type="dxa"/>
              <w:right w:w="28" w:type="dxa"/>
            </w:tcMar>
            <w:vAlign w:val="center"/>
          </w:tcPr>
          <w:p>
            <w:pPr>
              <w:pStyle w:val="0"/>
              <w:rPr>
                <w:rFonts w:hint="default"/>
              </w:rPr>
            </w:pPr>
            <w:r>
              <w:rPr>
                <w:rFonts w:hint="default"/>
              </w:rPr>
              <w:t>八街市</w:t>
            </w:r>
          </w:p>
        </w:tc>
        <w:tc>
          <w:tcPr>
            <w:tcW w:w="571" w:type="pct"/>
            <w:tcMar>
              <w:top w:w="28" w:type="dxa"/>
              <w:left w:w="28" w:type="dxa"/>
              <w:bottom w:w="28" w:type="dxa"/>
              <w:right w:w="28" w:type="dxa"/>
            </w:tcMar>
            <w:vAlign w:val="center"/>
          </w:tcPr>
          <w:p>
            <w:pPr>
              <w:pStyle w:val="0"/>
              <w:jc w:val="right"/>
              <w:rPr>
                <w:rFonts w:hint="default"/>
              </w:rPr>
            </w:pPr>
            <w:r>
              <w:rPr>
                <w:rFonts w:hint="default"/>
              </w:rPr>
              <w:t>77.3%</w:t>
            </w:r>
          </w:p>
        </w:tc>
        <w:tc>
          <w:tcPr>
            <w:tcW w:w="571" w:type="pct"/>
            <w:tcMar>
              <w:top w:w="28" w:type="dxa"/>
              <w:left w:w="28" w:type="dxa"/>
              <w:bottom w:w="28" w:type="dxa"/>
              <w:right w:w="28" w:type="dxa"/>
            </w:tcMar>
            <w:vAlign w:val="center"/>
          </w:tcPr>
          <w:p>
            <w:pPr>
              <w:pStyle w:val="0"/>
              <w:jc w:val="right"/>
              <w:rPr>
                <w:rFonts w:hint="default"/>
              </w:rPr>
            </w:pPr>
            <w:r>
              <w:rPr>
                <w:rFonts w:hint="default"/>
              </w:rPr>
              <w:t>79.7%</w:t>
            </w:r>
          </w:p>
        </w:tc>
        <w:tc>
          <w:tcPr>
            <w:tcW w:w="571" w:type="pct"/>
            <w:tcMar>
              <w:top w:w="28" w:type="dxa"/>
              <w:left w:w="28" w:type="dxa"/>
              <w:bottom w:w="28" w:type="dxa"/>
              <w:right w:w="28" w:type="dxa"/>
            </w:tcMar>
            <w:vAlign w:val="center"/>
          </w:tcPr>
          <w:p>
            <w:pPr>
              <w:pStyle w:val="0"/>
              <w:jc w:val="right"/>
              <w:rPr>
                <w:rFonts w:hint="default"/>
              </w:rPr>
            </w:pPr>
            <w:r>
              <w:rPr>
                <w:rFonts w:hint="default"/>
              </w:rPr>
              <w:t>80.6%</w:t>
            </w:r>
          </w:p>
        </w:tc>
        <w:tc>
          <w:tcPr>
            <w:tcW w:w="571" w:type="pct"/>
            <w:tcMar>
              <w:top w:w="28" w:type="dxa"/>
              <w:left w:w="28" w:type="dxa"/>
              <w:bottom w:w="28" w:type="dxa"/>
              <w:right w:w="28" w:type="dxa"/>
            </w:tcMar>
            <w:vAlign w:val="center"/>
          </w:tcPr>
          <w:p>
            <w:pPr>
              <w:pStyle w:val="0"/>
              <w:jc w:val="right"/>
              <w:rPr>
                <w:rFonts w:hint="default"/>
              </w:rPr>
            </w:pPr>
            <w:r>
              <w:rPr>
                <w:rFonts w:hint="default"/>
              </w:rPr>
              <w:t>81.0%</w:t>
            </w:r>
          </w:p>
        </w:tc>
        <w:tc>
          <w:tcPr>
            <w:tcW w:w="571" w:type="pct"/>
            <w:tcMar>
              <w:top w:w="28" w:type="dxa"/>
              <w:left w:w="28" w:type="dxa"/>
              <w:bottom w:w="28" w:type="dxa"/>
              <w:right w:w="28" w:type="dxa"/>
            </w:tcMar>
            <w:vAlign w:val="center"/>
          </w:tcPr>
          <w:p>
            <w:pPr>
              <w:pStyle w:val="0"/>
              <w:jc w:val="right"/>
              <w:rPr>
                <w:rFonts w:hint="default"/>
              </w:rPr>
            </w:pPr>
            <w:r>
              <w:rPr>
                <w:rFonts w:hint="default"/>
              </w:rPr>
              <w:t>81.0%</w:t>
            </w:r>
          </w:p>
        </w:tc>
        <w:tc>
          <w:tcPr>
            <w:tcW w:w="571" w:type="pct"/>
            <w:tcMar>
              <w:top w:w="28" w:type="dxa"/>
              <w:left w:w="28" w:type="dxa"/>
              <w:bottom w:w="28" w:type="dxa"/>
              <w:right w:w="28" w:type="dxa"/>
            </w:tcMar>
            <w:vAlign w:val="center"/>
          </w:tcPr>
          <w:p>
            <w:pPr>
              <w:pStyle w:val="0"/>
              <w:jc w:val="right"/>
              <w:rPr>
                <w:rFonts w:hint="default"/>
              </w:rPr>
            </w:pPr>
            <w:r>
              <w:rPr>
                <w:rFonts w:hint="default"/>
              </w:rPr>
              <w:t>79.6%</w:t>
            </w:r>
          </w:p>
        </w:tc>
        <w:tc>
          <w:tcPr>
            <w:tcW w:w="569" w:type="pct"/>
            <w:tcMar>
              <w:top w:w="28" w:type="dxa"/>
              <w:left w:w="28" w:type="dxa"/>
              <w:bottom w:w="28" w:type="dxa"/>
              <w:right w:w="28" w:type="dxa"/>
            </w:tcMar>
            <w:vAlign w:val="center"/>
          </w:tcPr>
          <w:p>
            <w:pPr>
              <w:pStyle w:val="0"/>
              <w:jc w:val="right"/>
              <w:rPr>
                <w:rFonts w:hint="default"/>
              </w:rPr>
            </w:pPr>
            <w:r>
              <w:rPr>
                <w:rFonts w:hint="default"/>
              </w:rPr>
              <w:t>79.9%</w:t>
            </w:r>
          </w:p>
        </w:tc>
      </w:tr>
      <w:tr>
        <w:trPr>
          <w:trHeight w:val="25" w:hRule="atLeast"/>
        </w:trPr>
        <w:tc>
          <w:tcPr>
            <w:tcW w:w="1004" w:type="pct"/>
            <w:tcMar>
              <w:top w:w="28" w:type="dxa"/>
              <w:left w:w="28" w:type="dxa"/>
              <w:bottom w:w="28" w:type="dxa"/>
              <w:right w:w="28" w:type="dxa"/>
            </w:tcMar>
            <w:vAlign w:val="center"/>
          </w:tcPr>
          <w:p>
            <w:pPr>
              <w:pStyle w:val="0"/>
              <w:rPr>
                <w:rFonts w:hint="default"/>
              </w:rPr>
            </w:pPr>
            <w:r>
              <w:rPr>
                <w:rFonts w:hint="default"/>
              </w:rPr>
              <w:t>県</w:t>
            </w:r>
          </w:p>
        </w:tc>
        <w:tc>
          <w:tcPr>
            <w:tcW w:w="571" w:type="pct"/>
            <w:tcMar>
              <w:top w:w="28" w:type="dxa"/>
              <w:left w:w="28" w:type="dxa"/>
              <w:bottom w:w="28" w:type="dxa"/>
              <w:right w:w="28" w:type="dxa"/>
            </w:tcMar>
            <w:vAlign w:val="center"/>
          </w:tcPr>
          <w:p>
            <w:pPr>
              <w:pStyle w:val="0"/>
              <w:jc w:val="right"/>
              <w:rPr>
                <w:rFonts w:hint="default"/>
              </w:rPr>
            </w:pPr>
            <w:r>
              <w:rPr>
                <w:rFonts w:hint="default"/>
              </w:rPr>
              <w:t>76.5%</w:t>
            </w:r>
          </w:p>
        </w:tc>
        <w:tc>
          <w:tcPr>
            <w:tcW w:w="571" w:type="pct"/>
            <w:tcMar>
              <w:top w:w="28" w:type="dxa"/>
              <w:left w:w="28" w:type="dxa"/>
              <w:bottom w:w="28" w:type="dxa"/>
              <w:right w:w="28" w:type="dxa"/>
            </w:tcMar>
            <w:vAlign w:val="center"/>
          </w:tcPr>
          <w:p>
            <w:pPr>
              <w:pStyle w:val="0"/>
              <w:jc w:val="right"/>
              <w:rPr>
                <w:rFonts w:hint="default"/>
              </w:rPr>
            </w:pPr>
            <w:r>
              <w:rPr>
                <w:rFonts w:hint="default"/>
              </w:rPr>
              <w:t>78.9%</w:t>
            </w:r>
          </w:p>
        </w:tc>
        <w:tc>
          <w:tcPr>
            <w:tcW w:w="571" w:type="pct"/>
            <w:tcMar>
              <w:top w:w="28" w:type="dxa"/>
              <w:left w:w="28" w:type="dxa"/>
              <w:bottom w:w="28" w:type="dxa"/>
              <w:right w:w="28" w:type="dxa"/>
            </w:tcMar>
            <w:vAlign w:val="center"/>
          </w:tcPr>
          <w:p>
            <w:pPr>
              <w:pStyle w:val="0"/>
              <w:jc w:val="right"/>
              <w:rPr>
                <w:rFonts w:hint="default"/>
              </w:rPr>
            </w:pPr>
            <w:r>
              <w:rPr>
                <w:rFonts w:hint="default"/>
              </w:rPr>
              <w:t>79.7%</w:t>
            </w:r>
          </w:p>
        </w:tc>
        <w:tc>
          <w:tcPr>
            <w:tcW w:w="571" w:type="pct"/>
            <w:tcMar>
              <w:top w:w="28" w:type="dxa"/>
              <w:left w:w="28" w:type="dxa"/>
              <w:bottom w:w="28" w:type="dxa"/>
              <w:right w:w="28" w:type="dxa"/>
            </w:tcMar>
            <w:vAlign w:val="center"/>
          </w:tcPr>
          <w:p>
            <w:pPr>
              <w:pStyle w:val="0"/>
              <w:jc w:val="right"/>
              <w:rPr>
                <w:rFonts w:hint="default"/>
              </w:rPr>
            </w:pPr>
            <w:r>
              <w:rPr>
                <w:rFonts w:hint="default"/>
              </w:rPr>
              <w:t>80.4%</w:t>
            </w:r>
          </w:p>
        </w:tc>
        <w:tc>
          <w:tcPr>
            <w:tcW w:w="571" w:type="pct"/>
            <w:tcMar>
              <w:top w:w="28" w:type="dxa"/>
              <w:left w:w="28" w:type="dxa"/>
              <w:bottom w:w="28" w:type="dxa"/>
              <w:right w:w="28" w:type="dxa"/>
            </w:tcMar>
            <w:vAlign w:val="center"/>
          </w:tcPr>
          <w:p>
            <w:pPr>
              <w:pStyle w:val="0"/>
              <w:jc w:val="right"/>
              <w:rPr>
                <w:rFonts w:hint="default"/>
              </w:rPr>
            </w:pPr>
            <w:r>
              <w:rPr>
                <w:rFonts w:hint="default"/>
              </w:rPr>
              <w:t>80.1%</w:t>
            </w:r>
          </w:p>
        </w:tc>
        <w:tc>
          <w:tcPr>
            <w:tcW w:w="571" w:type="pct"/>
            <w:tcMar>
              <w:top w:w="28" w:type="dxa"/>
              <w:left w:w="28" w:type="dxa"/>
              <w:bottom w:w="28" w:type="dxa"/>
              <w:right w:w="28" w:type="dxa"/>
            </w:tcMar>
            <w:vAlign w:val="center"/>
          </w:tcPr>
          <w:p>
            <w:pPr>
              <w:pStyle w:val="0"/>
              <w:jc w:val="right"/>
              <w:rPr>
                <w:rFonts w:hint="default"/>
              </w:rPr>
            </w:pPr>
            <w:r>
              <w:rPr>
                <w:rFonts w:hint="default"/>
              </w:rPr>
              <w:t>80.1%</w:t>
            </w:r>
          </w:p>
        </w:tc>
        <w:tc>
          <w:tcPr>
            <w:tcW w:w="569" w:type="pct"/>
            <w:tcMar>
              <w:top w:w="28" w:type="dxa"/>
              <w:left w:w="28" w:type="dxa"/>
              <w:bottom w:w="28" w:type="dxa"/>
              <w:right w:w="28" w:type="dxa"/>
            </w:tcMar>
            <w:vAlign w:val="center"/>
          </w:tcPr>
          <w:p>
            <w:pPr>
              <w:pStyle w:val="0"/>
              <w:jc w:val="right"/>
              <w:rPr>
                <w:rFonts w:hint="default"/>
              </w:rPr>
            </w:pPr>
            <w:r>
              <w:rPr>
                <w:rFonts w:hint="default"/>
              </w:rPr>
              <w:t>81.0%</w:t>
            </w:r>
          </w:p>
        </w:tc>
      </w:tr>
    </w:tbl>
    <w:p>
      <w:pPr>
        <w:pStyle w:val="44"/>
        <w:rPr>
          <w:rFonts w:hint="default"/>
        </w:rPr>
      </w:pPr>
      <w:r>
        <w:rPr>
          <w:rFonts w:hint="default"/>
        </w:rPr>
        <w:t>【出典】厚生労働省</w:t>
      </w:r>
      <w:r>
        <w:rPr>
          <w:rFonts w:hint="default"/>
        </w:rPr>
        <w:t xml:space="preserve"> </w:t>
      </w:r>
      <w:r>
        <w:rPr>
          <w:rFonts w:hint="default"/>
        </w:rPr>
        <w:t>保険者別の後発医薬品の使用割合</w:t>
      </w:r>
    </w:p>
    <w:p>
      <w:pPr>
        <w:pStyle w:val="0"/>
        <w:tabs>
          <w:tab w:val="right" w:leader="none" w:pos="10204"/>
        </w:tabs>
        <w:spacing w:before="60" w:beforeLines="0" w:beforeAutospacing="0" w:line="240" w:lineRule="auto"/>
        <w:rPr>
          <w:rFonts w:hint="default"/>
        </w:rPr>
      </w:pPr>
    </w:p>
    <w:p>
      <w:pPr>
        <w:pStyle w:val="2"/>
        <w:rPr>
          <w:rFonts w:hint="default"/>
        </w:rPr>
      </w:pPr>
      <w:bookmarkStart w:id="191" w:name="_Toc162548713"/>
      <w:r>
        <w:rPr>
          <w:rFonts w:hint="default"/>
        </w:rPr>
        <w:t>前期計画等に</w:t>
      </w:r>
      <w:r>
        <w:rPr>
          <w:rFonts w:hint="eastAsia"/>
        </w:rPr>
        <w:t>係</w:t>
      </w:r>
      <w:r>
        <w:rPr>
          <w:rFonts w:hint="default"/>
        </w:rPr>
        <w:t>る考察</w:t>
      </w:r>
      <w:bookmarkEnd w:id="191"/>
    </w:p>
    <w:p>
      <w:pPr>
        <w:pStyle w:val="3"/>
        <w:rPr>
          <w:rFonts w:hint="default"/>
        </w:rPr>
      </w:pPr>
      <w:bookmarkStart w:id="192" w:name="_Toc162548714"/>
      <w:r>
        <w:rPr>
          <w:rFonts w:hint="default"/>
        </w:rPr>
        <w:t>第</w:t>
      </w:r>
      <w:r>
        <w:rPr>
          <w:rFonts w:hint="default"/>
        </w:rPr>
        <w:t>2</w:t>
      </w:r>
      <w:r>
        <w:rPr>
          <w:rFonts w:hint="default"/>
        </w:rPr>
        <w:t>期データヘルス計画の目標評価</w:t>
      </w:r>
      <w:r>
        <w:rPr>
          <w:rFonts w:hint="eastAsia"/>
        </w:rPr>
        <w:t>・</w:t>
      </w:r>
      <w:r>
        <w:rPr>
          <w:rFonts w:hint="default"/>
        </w:rPr>
        <w:t>考察</w:t>
      </w:r>
      <w:bookmarkEnd w:id="192"/>
    </w:p>
    <w:p>
      <w:pPr>
        <w:pStyle w:val="39"/>
        <w:ind w:firstLine="200"/>
        <w:rPr>
          <w:rFonts w:hint="default"/>
        </w:rPr>
      </w:pPr>
      <w:r>
        <w:rPr>
          <w:rFonts w:hint="eastAsia"/>
        </w:rPr>
        <w:t>第</w:t>
      </w:r>
      <w:r>
        <w:rPr>
          <w:rFonts w:hint="eastAsia"/>
        </w:rPr>
        <w:t>2</w:t>
      </w:r>
      <w:r>
        <w:rPr>
          <w:rFonts w:hint="eastAsia"/>
        </w:rPr>
        <w:t>期データヘルス計画の優先課題の各項目について、下表のとおり評価した。</w:t>
      </w:r>
    </w:p>
    <w:tbl>
      <w:tblPr>
        <w:tblStyle w:val="11"/>
        <w:tblW w:w="5000" w:type="pct"/>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9365"/>
      </w:tblGrid>
      <w:tr>
        <w:trPr/>
        <w:tc>
          <w:tcPr>
            <w:tcW w:w="5000" w:type="pct"/>
            <w:shd w:val="clear" w:color="auto" w:fill="auto"/>
            <w:tcMar>
              <w:top w:w="40" w:type="dxa"/>
              <w:left w:w="40" w:type="dxa"/>
              <w:bottom w:w="40" w:type="dxa"/>
              <w:right w:w="40" w:type="dxa"/>
            </w:tcMar>
            <w:vAlign w:val="center"/>
          </w:tcPr>
          <w:p>
            <w:pPr>
              <w:pStyle w:val="0"/>
              <w:widowControl w:val="0"/>
              <w:rPr>
                <w:rFonts w:hint="default"/>
                <w:sz w:val="18"/>
              </w:rPr>
            </w:pPr>
            <w:r>
              <w:rPr>
                <w:rFonts w:hint="default"/>
                <w:sz w:val="18"/>
              </w:rPr>
              <w:t>【評価の凡例】</w:t>
            </w:r>
          </w:p>
          <w:p>
            <w:pPr>
              <w:pStyle w:val="0"/>
              <w:widowControl w:val="0"/>
              <w:rPr>
                <w:rFonts w:hint="default"/>
                <w:sz w:val="18"/>
              </w:rPr>
            </w:pPr>
            <w:r>
              <w:rPr>
                <w:rFonts w:hint="default"/>
                <w:sz w:val="18"/>
              </w:rPr>
              <w:t>○</w:t>
            </w:r>
            <w:r>
              <w:rPr>
                <w:rFonts w:hint="eastAsia"/>
                <w:sz w:val="18"/>
              </w:rPr>
              <w:t>「</w:t>
            </w:r>
            <w:r>
              <w:rPr>
                <w:rFonts w:hint="default"/>
                <w:sz w:val="18"/>
              </w:rPr>
              <w:t>指標評価</w:t>
            </w:r>
            <w:r>
              <w:rPr>
                <w:rFonts w:hint="eastAsia"/>
                <w:sz w:val="18"/>
              </w:rPr>
              <w:t>」欄</w:t>
            </w:r>
            <w:r>
              <w:rPr>
                <w:rFonts w:hint="default"/>
                <w:sz w:val="18"/>
              </w:rPr>
              <w:t>：</w:t>
            </w:r>
            <w:r>
              <w:rPr>
                <w:rFonts w:hint="default"/>
                <w:sz w:val="18"/>
              </w:rPr>
              <w:t>5</w:t>
            </w:r>
            <w:r>
              <w:rPr>
                <w:rFonts w:hint="default"/>
                <w:sz w:val="18"/>
              </w:rPr>
              <w:t>段階</w:t>
            </w:r>
          </w:p>
          <w:p>
            <w:pPr>
              <w:pStyle w:val="0"/>
              <w:widowControl w:val="0"/>
              <w:rPr>
                <w:rFonts w:hint="default"/>
              </w:rPr>
            </w:pPr>
            <w:r>
              <w:rPr>
                <w:rFonts w:hint="default"/>
                <w:sz w:val="18"/>
              </w:rPr>
              <w:t>A</w:t>
            </w:r>
            <w:r>
              <w:rPr>
                <w:rFonts w:hint="eastAsia"/>
                <w:sz w:val="18"/>
              </w:rPr>
              <w:t>：</w:t>
            </w:r>
            <w:r>
              <w:rPr>
                <w:rFonts w:hint="default"/>
                <w:sz w:val="18"/>
              </w:rPr>
              <w:t>目標達成　</w:t>
            </w:r>
            <w:r>
              <w:rPr>
                <w:rFonts w:hint="default"/>
                <w:sz w:val="18"/>
              </w:rPr>
              <w:t>B</w:t>
            </w:r>
            <w:r>
              <w:rPr>
                <w:rFonts w:hint="eastAsia"/>
                <w:sz w:val="18"/>
              </w:rPr>
              <w:t>：</w:t>
            </w:r>
            <w:r>
              <w:rPr>
                <w:rFonts w:hint="default"/>
                <w:sz w:val="18"/>
              </w:rPr>
              <w:t>目標達成はできていないが改善傾向　</w:t>
            </w:r>
            <w:r>
              <w:rPr>
                <w:rFonts w:hint="default"/>
                <w:sz w:val="18"/>
              </w:rPr>
              <w:t>C</w:t>
            </w:r>
            <w:r>
              <w:rPr>
                <w:rFonts w:hint="eastAsia"/>
                <w:sz w:val="18"/>
              </w:rPr>
              <w:t>：</w:t>
            </w:r>
            <w:r>
              <w:rPr>
                <w:rFonts w:hint="default"/>
                <w:sz w:val="18"/>
              </w:rPr>
              <w:t>変わらない　</w:t>
            </w:r>
            <w:r>
              <w:rPr>
                <w:rFonts w:hint="default"/>
                <w:sz w:val="18"/>
              </w:rPr>
              <w:t>D</w:t>
            </w:r>
            <w:r>
              <w:rPr>
                <w:rFonts w:hint="eastAsia"/>
                <w:sz w:val="18"/>
              </w:rPr>
              <w:t>：</w:t>
            </w:r>
            <w:r>
              <w:rPr>
                <w:rFonts w:hint="default"/>
                <w:sz w:val="18"/>
              </w:rPr>
              <w:t>悪化傾向　</w:t>
            </w:r>
            <w:r>
              <w:rPr>
                <w:rFonts w:hint="default"/>
                <w:sz w:val="18"/>
              </w:rPr>
              <w:t>E</w:t>
            </w:r>
            <w:r>
              <w:rPr>
                <w:rFonts w:hint="eastAsia"/>
                <w:sz w:val="18"/>
              </w:rPr>
              <w:t>：</w:t>
            </w:r>
            <w:r>
              <w:rPr>
                <w:rFonts w:hint="default"/>
                <w:sz w:val="18"/>
              </w:rPr>
              <w:t>評価困難</w:t>
            </w:r>
          </w:p>
        </w:tc>
      </w:tr>
    </w:tbl>
    <w:p>
      <w:pPr>
        <w:pStyle w:val="0"/>
        <w:rPr>
          <w:rFonts w:hint="default"/>
        </w:rPr>
      </w:pPr>
    </w:p>
    <w:tbl>
      <w:tblPr>
        <w:tblStyle w:val="172"/>
        <w:tblW w:w="5000" w:type="pct"/>
        <w:tblInd w:w="0" w:type="dxa"/>
        <w:tblLayout w:type="fixed"/>
        <w:tblLook w:firstRow="1" w:lastRow="0" w:firstColumn="1" w:lastColumn="0" w:noHBand="0" w:noVBand="1" w:val="04A0"/>
      </w:tblPr>
      <w:tblGrid>
        <w:gridCol w:w="418"/>
        <w:gridCol w:w="2636"/>
        <w:gridCol w:w="720"/>
        <w:gridCol w:w="720"/>
        <w:gridCol w:w="720"/>
        <w:gridCol w:w="720"/>
        <w:gridCol w:w="720"/>
        <w:gridCol w:w="720"/>
        <w:gridCol w:w="720"/>
        <w:gridCol w:w="679"/>
        <w:gridCol w:w="602"/>
      </w:tblGrid>
      <w:tr>
        <w:trPr/>
        <w:tc>
          <w:tcPr>
            <w:tcW w:w="223"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rPr>
            </w:pPr>
          </w:p>
        </w:tc>
        <w:tc>
          <w:tcPr>
            <w:tcW w:w="1406"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項目名</w:t>
            </w:r>
          </w:p>
        </w:tc>
        <w:tc>
          <w:tcPr>
            <w:tcW w:w="384"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開</w:t>
            </w:r>
          </w:p>
          <w:p>
            <w:pPr>
              <w:pStyle w:val="0"/>
              <w:spacing w:line="276" w:lineRule="auto"/>
              <w:jc w:val="center"/>
              <w:rPr>
                <w:rFonts w:hint="default"/>
                <w:b w:val="1"/>
              </w:rPr>
            </w:pPr>
            <w:r>
              <w:rPr>
                <w:rFonts w:hint="eastAsia"/>
                <w:b w:val="1"/>
              </w:rPr>
              <w:t>始</w:t>
            </w:r>
          </w:p>
          <w:p>
            <w:pPr>
              <w:pStyle w:val="0"/>
              <w:spacing w:line="276" w:lineRule="auto"/>
              <w:jc w:val="center"/>
              <w:rPr>
                <w:rFonts w:hint="default"/>
                <w:b w:val="1"/>
              </w:rPr>
            </w:pPr>
            <w:r>
              <w:rPr>
                <w:rFonts w:hint="eastAsia"/>
                <w:b w:val="1"/>
              </w:rPr>
              <w:t>時</w:t>
            </w:r>
          </w:p>
        </w:tc>
        <w:tc>
          <w:tcPr>
            <w:tcW w:w="384"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目</w:t>
            </w:r>
          </w:p>
          <w:p>
            <w:pPr>
              <w:pStyle w:val="0"/>
              <w:spacing w:line="276" w:lineRule="auto"/>
              <w:jc w:val="center"/>
              <w:rPr>
                <w:rFonts w:hint="default"/>
                <w:b w:val="1"/>
              </w:rPr>
            </w:pPr>
            <w:r>
              <w:rPr>
                <w:rFonts w:hint="eastAsia"/>
                <w:b w:val="1"/>
              </w:rPr>
              <w:t>標</w:t>
            </w:r>
          </w:p>
          <w:p>
            <w:pPr>
              <w:pStyle w:val="0"/>
              <w:spacing w:line="276" w:lineRule="auto"/>
              <w:jc w:val="center"/>
              <w:rPr>
                <w:rFonts w:hint="default"/>
                <w:b w:val="1"/>
              </w:rPr>
            </w:pPr>
            <w:r>
              <w:rPr>
                <w:rFonts w:hint="eastAsia"/>
                <w:b w:val="1"/>
              </w:rPr>
              <w:t>値</w:t>
            </w:r>
          </w:p>
        </w:tc>
        <w:tc>
          <w:tcPr>
            <w:tcW w:w="2282" w:type="pct"/>
            <w:gridSpan w:val="6"/>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実績値</w:t>
            </w:r>
          </w:p>
        </w:tc>
        <w:tc>
          <w:tcPr>
            <w:tcW w:w="321"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指標</w:t>
            </w:r>
          </w:p>
          <w:p>
            <w:pPr>
              <w:pStyle w:val="0"/>
              <w:spacing w:line="276" w:lineRule="auto"/>
              <w:jc w:val="center"/>
              <w:rPr>
                <w:rFonts w:hint="default"/>
                <w:b w:val="1"/>
              </w:rPr>
            </w:pPr>
            <w:r>
              <w:rPr>
                <w:rFonts w:hint="eastAsia"/>
                <w:b w:val="1"/>
              </w:rPr>
              <w:t>評価</w:t>
            </w:r>
          </w:p>
        </w:tc>
      </w:tr>
      <w:tr>
        <w:trPr/>
        <w:tc>
          <w:tcPr>
            <w:tcW w:w="223"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rPr>
            </w:pPr>
          </w:p>
        </w:tc>
        <w:tc>
          <w:tcPr>
            <w:tcW w:w="1406"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p>
        </w:tc>
        <w:tc>
          <w:tcPr>
            <w:tcW w:w="384"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p>
        </w:tc>
        <w:tc>
          <w:tcPr>
            <w:tcW w:w="384"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平成</w:t>
            </w:r>
          </w:p>
          <w:p>
            <w:pPr>
              <w:pStyle w:val="0"/>
              <w:spacing w:line="276" w:lineRule="auto"/>
              <w:jc w:val="center"/>
              <w:rPr>
                <w:rFonts w:hint="default"/>
                <w:b w:val="1"/>
              </w:rPr>
            </w:pPr>
            <w:r>
              <w:rPr>
                <w:rFonts w:hint="eastAsia"/>
                <w:b w:val="1"/>
              </w:rPr>
              <w:t>30</w:t>
            </w:r>
            <w:r>
              <w:rPr>
                <w:rFonts w:hint="eastAsia"/>
                <w:b w:val="1"/>
              </w:rPr>
              <w:t>年度</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令和</w:t>
            </w:r>
          </w:p>
          <w:p>
            <w:pPr>
              <w:pStyle w:val="0"/>
              <w:spacing w:line="276" w:lineRule="auto"/>
              <w:jc w:val="center"/>
              <w:rPr>
                <w:rFonts w:hint="default"/>
                <w:b w:val="1"/>
              </w:rPr>
            </w:pPr>
            <w:r>
              <w:rPr>
                <w:rFonts w:hint="eastAsia"/>
                <w:b w:val="1"/>
              </w:rPr>
              <w:t>1</w:t>
            </w:r>
            <w:r>
              <w:rPr>
                <w:rFonts w:hint="eastAsia"/>
                <w:b w:val="1"/>
              </w:rPr>
              <w:t>年度</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令和</w:t>
            </w:r>
          </w:p>
          <w:p>
            <w:pPr>
              <w:pStyle w:val="0"/>
              <w:spacing w:line="276" w:lineRule="auto"/>
              <w:jc w:val="center"/>
              <w:rPr>
                <w:rFonts w:hint="default"/>
                <w:b w:val="1"/>
              </w:rPr>
            </w:pPr>
            <w:r>
              <w:rPr>
                <w:rFonts w:hint="eastAsia"/>
                <w:b w:val="1"/>
              </w:rPr>
              <w:t>2</w:t>
            </w:r>
            <w:r>
              <w:rPr>
                <w:rFonts w:hint="eastAsia"/>
                <w:b w:val="1"/>
              </w:rPr>
              <w:t>年度</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令和</w:t>
            </w:r>
          </w:p>
          <w:p>
            <w:pPr>
              <w:pStyle w:val="0"/>
              <w:spacing w:line="276" w:lineRule="auto"/>
              <w:jc w:val="center"/>
              <w:rPr>
                <w:rFonts w:hint="default"/>
                <w:b w:val="1"/>
              </w:rPr>
            </w:pPr>
            <w:r>
              <w:rPr>
                <w:rFonts w:hint="eastAsia"/>
                <w:b w:val="1"/>
              </w:rPr>
              <w:t>3</w:t>
            </w:r>
            <w:r>
              <w:rPr>
                <w:rFonts w:hint="eastAsia"/>
                <w:b w:val="1"/>
              </w:rPr>
              <w:t>年度</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令和</w:t>
            </w:r>
          </w:p>
          <w:p>
            <w:pPr>
              <w:pStyle w:val="0"/>
              <w:spacing w:line="276" w:lineRule="auto"/>
              <w:jc w:val="center"/>
              <w:rPr>
                <w:rFonts w:hint="default"/>
                <w:b w:val="1"/>
              </w:rPr>
            </w:pPr>
            <w:r>
              <w:rPr>
                <w:rFonts w:hint="eastAsia"/>
                <w:b w:val="1"/>
              </w:rPr>
              <w:t>4</w:t>
            </w:r>
            <w:r>
              <w:rPr>
                <w:rFonts w:hint="eastAsia"/>
                <w:b w:val="1"/>
              </w:rPr>
              <w:t>年度</w:t>
            </w:r>
          </w:p>
        </w:tc>
        <w:tc>
          <w:tcPr>
            <w:tcW w:w="36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令和</w:t>
            </w:r>
          </w:p>
          <w:p>
            <w:pPr>
              <w:pStyle w:val="0"/>
              <w:spacing w:line="276" w:lineRule="auto"/>
              <w:jc w:val="center"/>
              <w:rPr>
                <w:rFonts w:hint="default"/>
                <w:b w:val="1"/>
              </w:rPr>
            </w:pPr>
            <w:r>
              <w:rPr>
                <w:rFonts w:hint="eastAsia"/>
                <w:b w:val="1"/>
              </w:rPr>
              <w:t>5</w:t>
            </w:r>
            <w:r>
              <w:rPr>
                <w:rFonts w:hint="eastAsia"/>
                <w:b w:val="1"/>
              </w:rPr>
              <w:t>年度</w:t>
            </w:r>
          </w:p>
        </w:tc>
        <w:tc>
          <w:tcPr>
            <w:tcW w:w="321"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p>
        </w:tc>
      </w:tr>
      <w:tr>
        <w:trPr>
          <w:trHeight w:val="359" w:hRule="atLeast"/>
        </w:trPr>
        <w:tc>
          <w:tcPr>
            <w:tcW w:w="223" w:type="pct"/>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b w:val="1"/>
                <w:color w:val="FF0000"/>
              </w:rPr>
            </w:pPr>
            <w:r>
              <w:rPr>
                <w:rFonts w:hint="eastAsia"/>
                <w:b w:val="1"/>
              </w:rPr>
              <w:t>優　先　課　題</w:t>
            </w:r>
          </w:p>
        </w:tc>
        <w:tc>
          <w:tcPr>
            <w:tcW w:w="14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both"/>
              <w:rPr>
                <w:rFonts w:hint="default"/>
              </w:rPr>
            </w:pPr>
            <w:r>
              <w:rPr>
                <w:rFonts w:hint="eastAsia"/>
              </w:rPr>
              <w:t>平均自立期間の延伸　男性</w:t>
            </w:r>
          </w:p>
          <w:p>
            <w:pPr>
              <w:pStyle w:val="0"/>
              <w:spacing w:line="276" w:lineRule="auto"/>
              <w:ind w:firstLine="1600" w:firstLineChars="1000"/>
              <w:jc w:val="both"/>
              <w:rPr>
                <w:rFonts w:hint="default"/>
              </w:rPr>
            </w:pPr>
            <w:r>
              <w:rPr>
                <w:rFonts w:hint="eastAsia"/>
              </w:rPr>
              <w:t>女性</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78.3</w:t>
            </w:r>
            <w:r>
              <w:rPr>
                <w:rFonts w:hint="eastAsia"/>
              </w:rPr>
              <w:t>歳</w:t>
            </w:r>
          </w:p>
          <w:p>
            <w:pPr>
              <w:pStyle w:val="0"/>
              <w:spacing w:line="276" w:lineRule="auto"/>
              <w:jc w:val="right"/>
              <w:rPr>
                <w:rFonts w:hint="default"/>
              </w:rPr>
            </w:pPr>
            <w:r>
              <w:rPr>
                <w:rFonts w:hint="eastAsia"/>
              </w:rPr>
              <w:t>82.2</w:t>
            </w:r>
            <w:r>
              <w:rPr>
                <w:rFonts w:hint="eastAsia"/>
              </w:rPr>
              <w:t>歳</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80.0</w:t>
            </w:r>
            <w:r>
              <w:rPr>
                <w:rFonts w:hint="eastAsia"/>
              </w:rPr>
              <w:t>歳</w:t>
            </w:r>
          </w:p>
          <w:p>
            <w:pPr>
              <w:pStyle w:val="0"/>
              <w:spacing w:line="276" w:lineRule="auto"/>
              <w:jc w:val="right"/>
              <w:rPr>
                <w:rFonts w:hint="default"/>
              </w:rPr>
            </w:pPr>
            <w:r>
              <w:rPr>
                <w:rFonts w:hint="eastAsia"/>
              </w:rPr>
              <w:t>83.9</w:t>
            </w:r>
            <w:r>
              <w:rPr>
                <w:rFonts w:hint="eastAsia"/>
              </w:rPr>
              <w:t>歳</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78.3</w:t>
            </w:r>
            <w:r>
              <w:rPr>
                <w:rFonts w:hint="eastAsia"/>
              </w:rPr>
              <w:t>歳</w:t>
            </w:r>
          </w:p>
          <w:p>
            <w:pPr>
              <w:pStyle w:val="0"/>
              <w:spacing w:line="276" w:lineRule="auto"/>
              <w:jc w:val="right"/>
              <w:rPr>
                <w:rFonts w:hint="default"/>
              </w:rPr>
            </w:pPr>
            <w:r>
              <w:rPr>
                <w:rFonts w:hint="eastAsia"/>
              </w:rPr>
              <w:t>82.2</w:t>
            </w:r>
            <w:r>
              <w:rPr>
                <w:rFonts w:hint="eastAsia"/>
              </w:rPr>
              <w:t>歳</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78.6</w:t>
            </w:r>
            <w:r>
              <w:rPr>
                <w:rFonts w:hint="eastAsia"/>
              </w:rPr>
              <w:t>歳</w:t>
            </w:r>
          </w:p>
          <w:p>
            <w:pPr>
              <w:pStyle w:val="0"/>
              <w:spacing w:line="276" w:lineRule="auto"/>
              <w:jc w:val="right"/>
              <w:rPr>
                <w:rFonts w:hint="default"/>
              </w:rPr>
            </w:pPr>
            <w:r>
              <w:rPr>
                <w:rFonts w:hint="eastAsia"/>
              </w:rPr>
              <w:t>82.7</w:t>
            </w:r>
            <w:r>
              <w:rPr>
                <w:rFonts w:hint="eastAsia"/>
              </w:rPr>
              <w:t>歳</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78.9</w:t>
            </w:r>
            <w:r>
              <w:rPr>
                <w:rFonts w:hint="eastAsia"/>
              </w:rPr>
              <w:t>歳</w:t>
            </w:r>
          </w:p>
          <w:p>
            <w:pPr>
              <w:pStyle w:val="0"/>
              <w:spacing w:line="276" w:lineRule="auto"/>
              <w:jc w:val="right"/>
              <w:rPr>
                <w:rFonts w:hint="default"/>
              </w:rPr>
            </w:pPr>
            <w:r>
              <w:rPr>
                <w:rFonts w:hint="eastAsia"/>
              </w:rPr>
              <w:t>82.8</w:t>
            </w:r>
            <w:r>
              <w:rPr>
                <w:rFonts w:hint="eastAsia"/>
              </w:rPr>
              <w:t>歳</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78.7</w:t>
            </w:r>
            <w:r>
              <w:rPr>
                <w:rFonts w:hint="eastAsia"/>
              </w:rPr>
              <w:t>歳</w:t>
            </w:r>
          </w:p>
          <w:p>
            <w:pPr>
              <w:pStyle w:val="0"/>
              <w:spacing w:line="276" w:lineRule="auto"/>
              <w:jc w:val="right"/>
              <w:rPr>
                <w:rFonts w:hint="default"/>
              </w:rPr>
            </w:pPr>
            <w:r>
              <w:rPr>
                <w:rFonts w:hint="eastAsia"/>
              </w:rPr>
              <w:t>82.8</w:t>
            </w:r>
            <w:r>
              <w:rPr>
                <w:rFonts w:hint="eastAsia"/>
              </w:rPr>
              <w:t>歳</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78.7</w:t>
            </w:r>
            <w:r>
              <w:rPr>
                <w:rFonts w:hint="eastAsia"/>
              </w:rPr>
              <w:t>歳</w:t>
            </w:r>
          </w:p>
          <w:p>
            <w:pPr>
              <w:pStyle w:val="0"/>
              <w:spacing w:line="276" w:lineRule="auto"/>
              <w:jc w:val="right"/>
              <w:rPr>
                <w:rFonts w:hint="default"/>
              </w:rPr>
            </w:pPr>
            <w:r>
              <w:rPr>
                <w:rFonts w:hint="eastAsia"/>
              </w:rPr>
              <w:t>83.0.</w:t>
            </w:r>
            <w:r>
              <w:rPr>
                <w:rFonts w:hint="eastAsia"/>
              </w:rPr>
              <w:t>歳</w:t>
            </w:r>
          </w:p>
        </w:tc>
        <w:tc>
          <w:tcPr>
            <w:tcW w:w="36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right"/>
              <w:rPr>
                <w:rFonts w:hint="default"/>
              </w:rPr>
            </w:pPr>
            <w:r>
              <w:rPr>
                <w:rFonts w:hint="eastAsia"/>
              </w:rPr>
              <w:t>78.1</w:t>
            </w:r>
            <w:r>
              <w:rPr>
                <w:rFonts w:hint="eastAsia"/>
              </w:rPr>
              <w:t>歳</w:t>
            </w:r>
          </w:p>
          <w:p>
            <w:pPr>
              <w:pStyle w:val="0"/>
              <w:spacing w:line="276" w:lineRule="auto"/>
              <w:jc w:val="right"/>
              <w:rPr>
                <w:rFonts w:hint="default"/>
              </w:rPr>
            </w:pPr>
            <w:r>
              <w:rPr>
                <w:rFonts w:hint="eastAsia"/>
              </w:rPr>
              <w:t>83.0</w:t>
            </w:r>
            <w:r>
              <w:rPr>
                <w:rFonts w:hint="eastAsia"/>
              </w:rPr>
              <w:t>歳</w:t>
            </w:r>
          </w:p>
        </w:tc>
        <w:tc>
          <w:tcPr>
            <w:tcW w:w="32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eastAsia"/>
              </w:rPr>
              <w:t>D</w:t>
            </w:r>
          </w:p>
          <w:p>
            <w:pPr>
              <w:pStyle w:val="0"/>
              <w:spacing w:line="276" w:lineRule="auto"/>
              <w:jc w:val="center"/>
              <w:rPr>
                <w:rFonts w:hint="default"/>
              </w:rPr>
            </w:pPr>
            <w:r>
              <w:rPr>
                <w:rFonts w:hint="eastAsia"/>
              </w:rPr>
              <w:t>B</w:t>
            </w:r>
          </w:p>
        </w:tc>
      </w:tr>
      <w:tr>
        <w:trPr/>
        <w:tc>
          <w:tcPr>
            <w:tcW w:w="223"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b w:val="1"/>
              </w:rPr>
            </w:pPr>
          </w:p>
        </w:tc>
        <w:tc>
          <w:tcPr>
            <w:tcW w:w="14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both"/>
              <w:rPr>
                <w:rFonts w:hint="default"/>
              </w:rPr>
            </w:pPr>
            <w:r>
              <w:rPr>
                <w:rFonts w:hint="eastAsia"/>
              </w:rPr>
              <w:t>一人当たり月額医療費の低減</w:t>
            </w:r>
            <w:r>
              <w:rPr>
                <w:rFonts w:hint="eastAsia"/>
              </w:rPr>
              <w:t>(</w:t>
            </w:r>
            <w:r>
              <w:rPr>
                <w:rFonts w:hint="eastAsia"/>
              </w:rPr>
              <w:t>円</w:t>
            </w:r>
            <w:r>
              <w:rPr>
                <w:rFonts w:hint="eastAsia"/>
              </w:rPr>
              <w:t>)</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24,250</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center"/>
              <w:rPr>
                <w:rFonts w:hint="default"/>
              </w:rPr>
            </w:pPr>
            <w:r>
              <w:rPr>
                <w:rFonts w:hint="default"/>
              </w:rPr>
              <w:t>24,700</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24,250</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25,560</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25,530</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27,310</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26,710</w:t>
            </w:r>
          </w:p>
        </w:tc>
        <w:tc>
          <w:tcPr>
            <w:tcW w:w="36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center"/>
              <w:rPr>
                <w:rFonts w:hint="default"/>
              </w:rPr>
            </w:pPr>
            <w:r>
              <w:rPr>
                <w:rFonts w:hint="default"/>
              </w:rPr>
              <w:t>29,110</w:t>
            </w:r>
          </w:p>
        </w:tc>
        <w:tc>
          <w:tcPr>
            <w:tcW w:w="32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eastAsia"/>
              </w:rPr>
              <w:t>D</w:t>
            </w:r>
          </w:p>
        </w:tc>
      </w:tr>
      <w:tr>
        <w:trPr/>
        <w:tc>
          <w:tcPr>
            <w:tcW w:w="223"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b w:val="1"/>
              </w:rPr>
            </w:pPr>
          </w:p>
        </w:tc>
        <w:tc>
          <w:tcPr>
            <w:tcW w:w="14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pacing w:line="276" w:lineRule="auto"/>
              <w:jc w:val="both"/>
              <w:rPr>
                <w:rFonts w:hint="default"/>
              </w:rPr>
            </w:pPr>
            <w:r>
              <w:rPr>
                <w:rFonts w:hint="eastAsia"/>
              </w:rPr>
              <w:t>腎不全の一人あたり外来医療費の</w:t>
            </w:r>
          </w:p>
          <w:p>
            <w:pPr>
              <w:pStyle w:val="0"/>
              <w:spacing w:line="276" w:lineRule="auto"/>
              <w:jc w:val="both"/>
              <w:rPr>
                <w:rFonts w:hint="default"/>
              </w:rPr>
            </w:pPr>
            <w:r>
              <w:rPr>
                <w:rFonts w:hint="eastAsia"/>
              </w:rPr>
              <w:t>低減</w:t>
            </w:r>
            <w:r>
              <w:rPr>
                <w:rFonts w:hint="default"/>
              </w:rPr>
              <w:t>(</w:t>
            </w:r>
            <w:r>
              <w:rPr>
                <w:rFonts w:hint="default"/>
              </w:rPr>
              <w:t>円）</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ind w:firstLine="160" w:firstLineChars="100"/>
              <w:jc w:val="center"/>
              <w:rPr>
                <w:rFonts w:hint="default"/>
              </w:rPr>
            </w:pPr>
            <w:r>
              <w:rPr>
                <w:rFonts w:hint="default"/>
              </w:rPr>
              <w:t>－</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default"/>
              </w:rPr>
              <w:t>18,291</w:t>
            </w:r>
            <w:r>
              <w:rPr>
                <w:rFonts w:hint="default"/>
              </w:rPr>
              <w:t>国</w:t>
            </w:r>
            <w:r>
              <w:rPr>
                <w:rFonts w:hint="default"/>
              </w:rPr>
              <w:t>R4</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default"/>
              </w:rPr>
              <w:t>－</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default"/>
              </w:rPr>
              <w:t>23,016</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default"/>
              </w:rPr>
              <w:t>23,039</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default"/>
              </w:rPr>
              <w:t>23,674</w:t>
            </w:r>
          </w:p>
        </w:tc>
        <w:tc>
          <w:tcPr>
            <w:tcW w:w="3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default"/>
              </w:rPr>
              <w:t>25,658</w:t>
            </w:r>
          </w:p>
        </w:tc>
        <w:tc>
          <w:tcPr>
            <w:tcW w:w="36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p>
        </w:tc>
        <w:tc>
          <w:tcPr>
            <w:tcW w:w="32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pacing w:line="276" w:lineRule="auto"/>
              <w:jc w:val="center"/>
              <w:rPr>
                <w:rFonts w:hint="default"/>
              </w:rPr>
            </w:pPr>
            <w:r>
              <w:rPr>
                <w:rFonts w:hint="default"/>
              </w:rPr>
              <w:t>D</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振り返り①</w:t>
            </w:r>
            <w:r>
              <w:rPr>
                <w:rFonts w:hint="eastAsia"/>
                <w:b w:val="1"/>
              </w:rPr>
              <w:t xml:space="preserve"> </w:t>
            </w:r>
            <w:r>
              <w:rPr>
                <w:rFonts w:hint="eastAsia"/>
                <w:b w:val="1"/>
              </w:rPr>
              <w:t>データヘルス計画全体の指標評価の振り返り</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spacing w:line="276" w:lineRule="auto"/>
              <w:jc w:val="both"/>
              <w:rPr>
                <w:rFonts w:hint="default"/>
              </w:rPr>
            </w:pPr>
            <w:r>
              <w:rPr>
                <w:rFonts w:hint="eastAsia"/>
              </w:rPr>
              <w:t>第</w:t>
            </w:r>
            <w:r>
              <w:rPr>
                <w:rFonts w:hint="default"/>
              </w:rPr>
              <w:t>2</w:t>
            </w:r>
            <w:r>
              <w:rPr>
                <w:rFonts w:hint="default"/>
              </w:rPr>
              <w:t>期データヘルス計画策定時は、各保健事業の経年目標を設定していなかったため、評価のしづらさがあった。そのため、中間評価の時点で上記の</w:t>
            </w:r>
            <w:r>
              <w:rPr>
                <w:rFonts w:hint="default"/>
              </w:rPr>
              <w:t>3</w:t>
            </w:r>
            <w:r>
              <w:rPr>
                <w:rFonts w:hint="default"/>
              </w:rPr>
              <w:t>項目を優先課題とし、課題解決に向けて、各保健事業の具体的な方策とそれに対するアウトプット、アウトカムを設定した。健康づくりの足がかりとなる特定健診の受診率向上について、</w:t>
            </w:r>
            <w:r>
              <w:rPr>
                <w:rFonts w:hint="default"/>
              </w:rPr>
              <w:t>AI</w:t>
            </w:r>
            <w:r>
              <w:rPr>
                <w:rFonts w:hint="default"/>
              </w:rPr>
              <w:t>による受診勧奨資材の工夫、個別健診の導入、みなし健診の周知および仕組みづくりの構築をすすめてきた。特定保健指導の実施については、健診との同時初回面談の継続、</w:t>
            </w:r>
            <w:r>
              <w:rPr>
                <w:rFonts w:hint="default"/>
              </w:rPr>
              <w:t>ICT</w:t>
            </w:r>
            <w:r>
              <w:rPr>
                <w:rFonts w:hint="default"/>
              </w:rPr>
              <w:t>面談を導入等実施率の向上に努めた。腎不全へ</w:t>
            </w:r>
            <w:r>
              <w:rPr>
                <w:rFonts w:hint="eastAsia"/>
              </w:rPr>
              <w:t>の移行を早期に食い止めるため、糖尿病性腎症重症化予防事業を令和</w:t>
            </w:r>
            <w:r>
              <w:rPr>
                <w:rFonts w:hint="default"/>
              </w:rPr>
              <w:t>3</w:t>
            </w:r>
            <w:r>
              <w:rPr>
                <w:rFonts w:hint="default"/>
              </w:rPr>
              <w:t>年度から本格的に着手し、効果を上げるための対象者抽出や、参加しやすい内容の設定等事業運営に思考をこらし実施してきた。結果は顕著に現れていないが、優先課題の解消には着実に進んでいると実感している。</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振り返り②</w:t>
            </w:r>
            <w:r>
              <w:rPr>
                <w:rFonts w:hint="eastAsia"/>
                <w:b w:val="1"/>
              </w:rPr>
              <w:t xml:space="preserve"> </w:t>
            </w:r>
            <w:r>
              <w:rPr>
                <w:rFonts w:hint="eastAsia"/>
                <w:b w:val="1"/>
              </w:rPr>
              <w:t>第</w:t>
            </w:r>
            <w:r>
              <w:rPr>
                <w:rFonts w:hint="eastAsia"/>
                <w:b w:val="1"/>
              </w:rPr>
              <w:t>2</w:t>
            </w:r>
            <w:r>
              <w:rPr>
                <w:rFonts w:hint="eastAsia"/>
                <w:b w:val="1"/>
              </w:rPr>
              <w:t>期計画全体をとおしてうまくできていた点</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spacing w:line="276" w:lineRule="auto"/>
              <w:jc w:val="both"/>
              <w:rPr>
                <w:rFonts w:hint="default"/>
              </w:rPr>
            </w:pPr>
            <w:r>
              <w:rPr>
                <w:rFonts w:hint="eastAsia"/>
              </w:rPr>
              <w:t>令和</w:t>
            </w:r>
            <w:r>
              <w:rPr>
                <w:rFonts w:hint="default"/>
              </w:rPr>
              <w:t>2</w:t>
            </w:r>
            <w:r>
              <w:rPr>
                <w:rFonts w:hint="default"/>
              </w:rPr>
              <w:t>年度専門職の配属により、第</w:t>
            </w:r>
            <w:r>
              <w:rPr>
                <w:rFonts w:hint="default"/>
              </w:rPr>
              <w:t>2</w:t>
            </w:r>
            <w:r>
              <w:rPr>
                <w:rFonts w:hint="default"/>
              </w:rPr>
              <w:t>期計画の後半からではあるが、各事業の見直し・改善を行い、『みなし健診による特定健診受診率向上事業』を、また新たに『糖尿病重症化予防事業』を行い保健事業の充実を図った。</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振り返り③</w:t>
            </w:r>
            <w:r>
              <w:rPr>
                <w:rFonts w:hint="eastAsia"/>
                <w:b w:val="1"/>
              </w:rPr>
              <w:t xml:space="preserve"> </w:t>
            </w:r>
            <w:r>
              <w:rPr>
                <w:rFonts w:hint="eastAsia"/>
                <w:b w:val="1"/>
              </w:rPr>
              <w:t>第</w:t>
            </w:r>
            <w:r>
              <w:rPr>
                <w:rFonts w:hint="eastAsia"/>
                <w:b w:val="1"/>
              </w:rPr>
              <w:t>2</w:t>
            </w:r>
            <w:r>
              <w:rPr>
                <w:rFonts w:hint="eastAsia"/>
                <w:b w:val="1"/>
              </w:rPr>
              <w:t>期計画全体をとおしてうまくできていなかった点</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spacing w:line="276" w:lineRule="auto"/>
              <w:jc w:val="both"/>
              <w:rPr>
                <w:rFonts w:hint="default"/>
              </w:rPr>
            </w:pPr>
            <w:r>
              <w:rPr>
                <w:rFonts w:hint="eastAsia"/>
              </w:rPr>
              <w:t>パニック値</w:t>
            </w:r>
            <w:r>
              <w:rPr>
                <w:rFonts w:hint="default"/>
              </w:rPr>
              <w:t>(※</w:t>
            </w:r>
            <w:r>
              <w:rPr>
                <w:rFonts w:hint="default"/>
              </w:rPr>
              <w:t>）該当者については電話および通知による受診勧奨を徹底できているが、その他の受診勧奨判定値の者に対しては、結果通知に記載して結果を郵送するにとどまっており、健診異常値の放置者の把握や受診勧奨の徹底ができていなかった。</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振り返り④</w:t>
            </w:r>
            <w:r>
              <w:rPr>
                <w:rFonts w:hint="eastAsia"/>
                <w:b w:val="1"/>
              </w:rPr>
              <w:t xml:space="preserve"> </w:t>
            </w:r>
            <w:r>
              <w:rPr>
                <w:rFonts w:hint="eastAsia"/>
                <w:b w:val="1"/>
              </w:rPr>
              <w:t>第</w:t>
            </w:r>
            <w:r>
              <w:rPr>
                <w:rFonts w:hint="eastAsia"/>
                <w:b w:val="1"/>
              </w:rPr>
              <w:t>3</w:t>
            </w:r>
            <w:r>
              <w:rPr>
                <w:rFonts w:hint="eastAsia"/>
                <w:b w:val="1"/>
              </w:rPr>
              <w:t>期計画への考察</w:t>
            </w:r>
          </w:p>
        </w:tc>
      </w:tr>
      <w:tr>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spacing w:line="276" w:lineRule="auto"/>
              <w:jc w:val="both"/>
              <w:rPr>
                <w:rFonts w:hint="default"/>
                <w:b w:val="1"/>
              </w:rPr>
            </w:pPr>
            <w:r>
              <w:rPr>
                <w:rFonts w:hint="eastAsia"/>
              </w:rPr>
              <w:t>特に本市では、受診勧奨対象者における医療機関の受診割合が低く、とくに「脂質異常値者における受診率」が低い。またメタボ該当者およびメタボ予備群該当者では「高血圧該当者」が多く、死因別割合を県と比較すると「心不全」「肺炎」が高く、死因別標準化死亡比は男女ともに「脳血管疾患」「急性心筋梗塞」は高く、「血圧」のコントロールや「脂質異常の改善」等を図る保健事業の実施により「脳血管疾患」「急性心筋梗塞」の発症を、血糖値の正常化により「腎不全」の抑制ができることから第</w:t>
            </w:r>
            <w:r>
              <w:rPr>
                <w:rFonts w:hint="default"/>
              </w:rPr>
              <w:t>3</w:t>
            </w:r>
            <w:r>
              <w:rPr>
                <w:rFonts w:hint="default"/>
              </w:rPr>
              <w:t>期計画では、受診勧奨の徹底による早期受診･早期治療を</w:t>
            </w:r>
            <w:r>
              <w:rPr>
                <w:rFonts w:hint="eastAsia"/>
              </w:rPr>
              <w:t>促進することや健康講座など保健事業の充実を図ることが、今後の医療費の抑制に大きく関係するものと思われる。</w:t>
            </w:r>
          </w:p>
        </w:tc>
      </w:tr>
    </w:tbl>
    <w:p>
      <w:pPr>
        <w:pStyle w:val="42"/>
        <w:rPr>
          <w:rFonts w:hint="default"/>
          <w:color w:val="FF0000"/>
        </w:rPr>
      </w:pPr>
      <w:r>
        <w:rPr>
          <w:rFonts w:hint="eastAsia"/>
        </w:rPr>
        <w:t>※基準範囲から極端に逸脱し、放置されると重大な疾病もしくは病態の存在が見逃され、患者の予後に著しい</w:t>
      </w:r>
      <w:r>
        <w:rPr>
          <w:rFonts w:hint="default"/>
        </w:rPr>
        <w:t xml:space="preserve"> </w:t>
      </w:r>
      <w:r>
        <w:rPr>
          <w:rFonts w:hint="default"/>
        </w:rPr>
        <w:t>悪影響を与えるため、担当医への迅速かつ確実な報告が必要となる検査値。</w:t>
      </w:r>
    </w:p>
    <w:p>
      <w:pPr>
        <w:pStyle w:val="0"/>
        <w:rPr>
          <w:rFonts w:hint="default"/>
          <w:b w:val="1"/>
          <w:color w:val="FF0000"/>
          <w:sz w:val="22"/>
        </w:rPr>
      </w:pPr>
      <w:r>
        <w:rPr>
          <w:rFonts w:hint="default"/>
          <w:b w:val="1"/>
          <w:color w:val="FF0000"/>
          <w:sz w:val="22"/>
        </w:rPr>
        <w:br w:type="page"/>
      </w:r>
    </w:p>
    <w:p>
      <w:pPr>
        <w:pStyle w:val="3"/>
        <w:rPr>
          <w:rFonts w:hint="default"/>
        </w:rPr>
      </w:pPr>
      <w:bookmarkStart w:id="193" w:name="_Toc162548715"/>
      <w:r>
        <w:rPr>
          <w:rFonts w:hint="default"/>
        </w:rPr>
        <w:t>第</w:t>
      </w:r>
      <w:r>
        <w:rPr>
          <w:rFonts w:hint="default"/>
        </w:rPr>
        <w:t>2</w:t>
      </w:r>
      <w:r>
        <w:rPr>
          <w:rFonts w:hint="default"/>
        </w:rPr>
        <w:t>期データヘルス計画の個別事業評価</w:t>
      </w:r>
      <w:r>
        <w:rPr>
          <w:rFonts w:hint="eastAsia"/>
        </w:rPr>
        <w:t>・</w:t>
      </w:r>
      <w:r>
        <w:rPr>
          <w:rFonts w:hint="default"/>
        </w:rPr>
        <w:t>考察</w:t>
      </w:r>
      <w:bookmarkEnd w:id="193"/>
    </w:p>
    <w:p>
      <w:pPr>
        <w:pStyle w:val="39"/>
        <w:ind w:firstLine="200"/>
        <w:rPr>
          <w:rFonts w:hint="default"/>
        </w:rPr>
      </w:pPr>
      <w:r>
        <w:rPr>
          <w:rFonts w:hint="eastAsia"/>
        </w:rPr>
        <w:t>第</w:t>
      </w:r>
      <w:r>
        <w:rPr>
          <w:rFonts w:hint="eastAsia"/>
        </w:rPr>
        <w:t>2</w:t>
      </w:r>
      <w:r>
        <w:rPr>
          <w:rFonts w:hint="eastAsia"/>
        </w:rPr>
        <w:t>期データヘルス計画における個別事業について、下表のとおり評価をした。</w:t>
      </w:r>
    </w:p>
    <w:tbl>
      <w:tblPr>
        <w:tblStyle w:val="11"/>
        <w:tblW w:w="5000" w:type="pct"/>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9365"/>
      </w:tblGrid>
      <w:tr>
        <w:trPr/>
        <w:tc>
          <w:tcPr>
            <w:tcW w:w="5000" w:type="pct"/>
            <w:shd w:val="clear" w:color="auto" w:fill="auto"/>
            <w:tcMar>
              <w:top w:w="28" w:type="dxa"/>
              <w:left w:w="28" w:type="dxa"/>
              <w:bottom w:w="28" w:type="dxa"/>
              <w:right w:w="28" w:type="dxa"/>
            </w:tcMar>
            <w:vAlign w:val="center"/>
          </w:tcPr>
          <w:p>
            <w:pPr>
              <w:pStyle w:val="0"/>
              <w:widowControl w:val="0"/>
              <w:spacing w:line="240" w:lineRule="auto"/>
              <w:rPr>
                <w:rFonts w:hint="default"/>
                <w:sz w:val="18"/>
              </w:rPr>
            </w:pPr>
            <w:r>
              <w:rPr>
                <w:rFonts w:hint="default"/>
                <w:sz w:val="18"/>
              </w:rPr>
              <w:t>【評価の凡例】</w:t>
            </w:r>
          </w:p>
          <w:p>
            <w:pPr>
              <w:pStyle w:val="0"/>
              <w:widowControl w:val="0"/>
              <w:spacing w:line="240" w:lineRule="auto"/>
              <w:rPr>
                <w:rFonts w:hint="default"/>
                <w:sz w:val="18"/>
              </w:rPr>
            </w:pPr>
            <w:r>
              <w:rPr>
                <w:rFonts w:hint="default"/>
                <w:sz w:val="18"/>
              </w:rPr>
              <w:t>○</w:t>
            </w:r>
            <w:r>
              <w:rPr>
                <w:rFonts w:hint="eastAsia"/>
                <w:sz w:val="18"/>
              </w:rPr>
              <w:t>「</w:t>
            </w:r>
            <w:r>
              <w:rPr>
                <w:rFonts w:hint="default"/>
                <w:sz w:val="18"/>
              </w:rPr>
              <w:t>事業評価</w:t>
            </w:r>
            <w:r>
              <w:rPr>
                <w:rFonts w:hint="eastAsia"/>
                <w:sz w:val="18"/>
              </w:rPr>
              <w:t>」欄</w:t>
            </w:r>
            <w:r>
              <w:rPr>
                <w:rFonts w:hint="default"/>
                <w:sz w:val="18"/>
              </w:rPr>
              <w:t>：</w:t>
            </w:r>
            <w:r>
              <w:rPr>
                <w:rFonts w:hint="default"/>
                <w:sz w:val="18"/>
              </w:rPr>
              <w:t>5</w:t>
            </w:r>
            <w:r>
              <w:rPr>
                <w:rFonts w:hint="default"/>
                <w:sz w:val="18"/>
              </w:rPr>
              <w:t>段階</w:t>
            </w:r>
          </w:p>
          <w:p>
            <w:pPr>
              <w:pStyle w:val="0"/>
              <w:widowControl w:val="0"/>
              <w:spacing w:line="240" w:lineRule="auto"/>
              <w:rPr>
                <w:rFonts w:hint="default"/>
                <w:sz w:val="18"/>
              </w:rPr>
            </w:pPr>
            <w:r>
              <w:rPr>
                <w:rFonts w:hint="default"/>
                <w:sz w:val="18"/>
              </w:rPr>
              <w:t>A</w:t>
            </w:r>
            <w:r>
              <w:rPr>
                <w:rFonts w:hint="eastAsia"/>
                <w:sz w:val="18"/>
              </w:rPr>
              <w:t>：</w:t>
            </w:r>
            <w:r>
              <w:rPr>
                <w:rFonts w:hint="default"/>
                <w:sz w:val="18"/>
              </w:rPr>
              <w:t>うまくいっている　</w:t>
            </w:r>
            <w:r>
              <w:rPr>
                <w:rFonts w:hint="default"/>
                <w:sz w:val="18"/>
              </w:rPr>
              <w:t>B</w:t>
            </w:r>
            <w:r>
              <w:rPr>
                <w:rFonts w:hint="eastAsia"/>
                <w:sz w:val="18"/>
              </w:rPr>
              <w:t>：</w:t>
            </w:r>
            <w:r>
              <w:rPr>
                <w:rFonts w:hint="default"/>
                <w:sz w:val="18"/>
              </w:rPr>
              <w:t>まあうまくいっている　</w:t>
            </w:r>
            <w:r>
              <w:rPr>
                <w:rFonts w:hint="default"/>
                <w:sz w:val="18"/>
              </w:rPr>
              <w:t>C</w:t>
            </w:r>
            <w:r>
              <w:rPr>
                <w:rFonts w:hint="eastAsia"/>
                <w:sz w:val="18"/>
              </w:rPr>
              <w:t>：</w:t>
            </w:r>
            <w:r>
              <w:rPr>
                <w:rFonts w:hint="default"/>
                <w:sz w:val="18"/>
              </w:rPr>
              <w:t>あまりうまくいっていない　</w:t>
            </w:r>
            <w:r>
              <w:rPr>
                <w:rFonts w:hint="default"/>
                <w:sz w:val="18"/>
              </w:rPr>
              <w:t>D</w:t>
            </w:r>
            <w:r>
              <w:rPr>
                <w:rFonts w:hint="eastAsia"/>
                <w:sz w:val="18"/>
              </w:rPr>
              <w:t>：</w:t>
            </w:r>
            <w:r>
              <w:rPr>
                <w:rFonts w:hint="default"/>
                <w:sz w:val="18"/>
              </w:rPr>
              <w:t>まったくうまくいっていない　</w:t>
            </w:r>
            <w:r>
              <w:rPr>
                <w:rFonts w:hint="default"/>
                <w:sz w:val="18"/>
              </w:rPr>
              <w:t>E</w:t>
            </w:r>
            <w:r>
              <w:rPr>
                <w:rFonts w:hint="eastAsia"/>
                <w:sz w:val="18"/>
              </w:rPr>
              <w:t>：</w:t>
            </w:r>
            <w:r>
              <w:rPr>
                <w:rFonts w:hint="default"/>
                <w:sz w:val="18"/>
              </w:rPr>
              <w:t>わからない</w:t>
            </w:r>
          </w:p>
          <w:p>
            <w:pPr>
              <w:pStyle w:val="0"/>
              <w:widowControl w:val="0"/>
              <w:spacing w:line="240" w:lineRule="auto"/>
              <w:rPr>
                <w:rFonts w:hint="default"/>
                <w:sz w:val="18"/>
              </w:rPr>
            </w:pPr>
            <w:r>
              <w:rPr>
                <w:rFonts w:hint="default"/>
                <w:sz w:val="18"/>
              </w:rPr>
              <w:t>○</w:t>
            </w:r>
            <w:r>
              <w:rPr>
                <w:rFonts w:hint="eastAsia"/>
                <w:sz w:val="18"/>
              </w:rPr>
              <w:t>「</w:t>
            </w:r>
            <w:r>
              <w:rPr>
                <w:rFonts w:hint="default"/>
                <w:sz w:val="18"/>
              </w:rPr>
              <w:t>指標評価</w:t>
            </w:r>
            <w:r>
              <w:rPr>
                <w:rFonts w:hint="eastAsia"/>
                <w:sz w:val="18"/>
              </w:rPr>
              <w:t>」欄</w:t>
            </w:r>
            <w:r>
              <w:rPr>
                <w:rFonts w:hint="default"/>
                <w:sz w:val="18"/>
              </w:rPr>
              <w:t>：</w:t>
            </w:r>
            <w:r>
              <w:rPr>
                <w:rFonts w:hint="default"/>
                <w:sz w:val="18"/>
              </w:rPr>
              <w:t>5</w:t>
            </w:r>
            <w:r>
              <w:rPr>
                <w:rFonts w:hint="default"/>
                <w:sz w:val="18"/>
              </w:rPr>
              <w:t>段階</w:t>
            </w:r>
          </w:p>
          <w:p>
            <w:pPr>
              <w:pStyle w:val="0"/>
              <w:widowControl w:val="0"/>
              <w:spacing w:line="240" w:lineRule="auto"/>
              <w:rPr>
                <w:rFonts w:hint="default"/>
              </w:rPr>
            </w:pPr>
            <w:r>
              <w:rPr>
                <w:rFonts w:hint="default"/>
                <w:sz w:val="18"/>
              </w:rPr>
              <w:t>A</w:t>
            </w:r>
            <w:r>
              <w:rPr>
                <w:rFonts w:hint="eastAsia"/>
                <w:sz w:val="18"/>
              </w:rPr>
              <w:t>：</w:t>
            </w:r>
            <w:r>
              <w:rPr>
                <w:rFonts w:hint="default"/>
                <w:sz w:val="18"/>
              </w:rPr>
              <w:t>目標達成　</w:t>
            </w:r>
            <w:r>
              <w:rPr>
                <w:rFonts w:hint="default"/>
                <w:sz w:val="18"/>
              </w:rPr>
              <w:t>B</w:t>
            </w:r>
            <w:r>
              <w:rPr>
                <w:rFonts w:hint="eastAsia"/>
                <w:sz w:val="18"/>
              </w:rPr>
              <w:t>：</w:t>
            </w:r>
            <w:r>
              <w:rPr>
                <w:rFonts w:hint="default"/>
                <w:sz w:val="18"/>
              </w:rPr>
              <w:t>目標達成はできていないが改善傾向　</w:t>
            </w:r>
            <w:r>
              <w:rPr>
                <w:rFonts w:hint="default"/>
                <w:sz w:val="18"/>
              </w:rPr>
              <w:t>C</w:t>
            </w:r>
            <w:r>
              <w:rPr>
                <w:rFonts w:hint="eastAsia"/>
                <w:sz w:val="18"/>
              </w:rPr>
              <w:t>：</w:t>
            </w:r>
            <w:r>
              <w:rPr>
                <w:rFonts w:hint="default"/>
                <w:sz w:val="18"/>
              </w:rPr>
              <w:t>変わらない　</w:t>
            </w:r>
            <w:r>
              <w:rPr>
                <w:rFonts w:hint="default"/>
                <w:sz w:val="18"/>
              </w:rPr>
              <w:t>D</w:t>
            </w:r>
            <w:r>
              <w:rPr>
                <w:rFonts w:hint="eastAsia"/>
                <w:sz w:val="18"/>
              </w:rPr>
              <w:t>：</w:t>
            </w:r>
            <w:r>
              <w:rPr>
                <w:rFonts w:hint="default"/>
                <w:sz w:val="18"/>
              </w:rPr>
              <w:t>悪化傾向　</w:t>
            </w:r>
            <w:r>
              <w:rPr>
                <w:rFonts w:hint="default"/>
                <w:sz w:val="18"/>
              </w:rPr>
              <w:t>E</w:t>
            </w:r>
            <w:r>
              <w:rPr>
                <w:rFonts w:hint="eastAsia"/>
                <w:sz w:val="18"/>
              </w:rPr>
              <w:t>：</w:t>
            </w:r>
            <w:r>
              <w:rPr>
                <w:rFonts w:hint="default"/>
                <w:sz w:val="18"/>
              </w:rPr>
              <w:t>評価困難</w:t>
            </w:r>
          </w:p>
        </w:tc>
      </w:tr>
    </w:tbl>
    <w:p>
      <w:pPr>
        <w:pStyle w:val="0"/>
        <w:rPr>
          <w:rFonts w:hint="default"/>
        </w:rPr>
      </w:pPr>
    </w:p>
    <w:p>
      <w:pPr>
        <w:pStyle w:val="4"/>
        <w:rPr>
          <w:rFonts w:hint="default"/>
        </w:rPr>
      </w:pPr>
      <w:r>
        <w:rPr>
          <w:rFonts w:hint="eastAsia"/>
        </w:rPr>
        <w:t>早期発見・特定健診</w:t>
      </w:r>
    </w:p>
    <w:tbl>
      <w:tblPr>
        <w:tblStyle w:val="172"/>
        <w:tblW w:w="5000" w:type="pct"/>
        <w:tblInd w:w="0" w:type="dxa"/>
        <w:tblLayout w:type="fixed"/>
        <w:tblLook w:firstRow="1" w:lastRow="0" w:firstColumn="1" w:lastColumn="0" w:noHBand="0" w:noVBand="1" w:val="04A0"/>
      </w:tblPr>
      <w:tblGrid>
        <w:gridCol w:w="2680"/>
        <w:gridCol w:w="1338"/>
        <w:gridCol w:w="659"/>
        <w:gridCol w:w="11"/>
        <w:gridCol w:w="669"/>
        <w:gridCol w:w="669"/>
        <w:gridCol w:w="669"/>
        <w:gridCol w:w="669"/>
        <w:gridCol w:w="671"/>
        <w:gridCol w:w="669"/>
        <w:gridCol w:w="671"/>
      </w:tblGrid>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7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86"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特定健診の受診率向上事業</w:t>
            </w:r>
          </w:p>
        </w:tc>
        <w:tc>
          <w:tcPr>
            <w:tcW w:w="107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color w:val="191F2B"/>
              </w:rPr>
              <w:t>適切に特定保健指導や重症化予防事業につなぐために特定健診の受診率を向上させる。</w:t>
            </w:r>
          </w:p>
          <w:p>
            <w:pPr>
              <w:pStyle w:val="0"/>
              <w:snapToGrid w:val="0"/>
              <w:spacing w:line="276" w:lineRule="auto"/>
              <w:jc w:val="both"/>
              <w:rPr>
                <w:rFonts w:hint="default"/>
              </w:rPr>
            </w:pPr>
          </w:p>
        </w:tc>
        <w:tc>
          <w:tcPr>
            <w:tcW w:w="1786"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未受診者分析を行い、治療中未受診者や連続未受診者等の状況を勘案し、それぞれの未受診者に響く資材で送り分けをし、さらなる特定健診の受診率の向上を目指し、さらには生活習慣病の発症･悪化を抑制する。</w:t>
            </w:r>
          </w:p>
        </w:tc>
        <w:tc>
          <w:tcPr>
            <w:tcW w:w="71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2499"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501"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499"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c>
          <w:tcPr>
            <w:tcW w:w="2501"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広報、</w:t>
            </w:r>
            <w:r>
              <w:rPr>
                <w:rFonts w:hint="default"/>
              </w:rPr>
              <w:t>LINE</w:t>
            </w:r>
            <w:r>
              <w:rPr>
                <w:rFonts w:hint="default"/>
              </w:rPr>
              <w:t>を使った周知</w:t>
            </w:r>
          </w:p>
          <w:p>
            <w:pPr>
              <w:pStyle w:val="0"/>
              <w:rPr>
                <w:rFonts w:hint="default"/>
              </w:rPr>
            </w:pPr>
            <w:r>
              <w:rPr>
                <w:rFonts w:hint="eastAsia"/>
              </w:rPr>
              <w:t>対象者の健診受診履歴データやレセプトデータによる個別通知勧奨</w:t>
            </w:r>
          </w:p>
          <w:p>
            <w:pPr>
              <w:pStyle w:val="0"/>
              <w:rPr>
                <w:rFonts w:hint="default"/>
              </w:rPr>
            </w:pPr>
            <w:r>
              <w:rPr>
                <w:rFonts w:hint="eastAsia"/>
              </w:rPr>
              <w:t>通院中未受診者に対する情報提供同意のお願い</w:t>
            </w:r>
          </w:p>
          <w:p>
            <w:pPr>
              <w:pStyle w:val="0"/>
              <w:rPr>
                <w:rFonts w:hint="default"/>
              </w:rPr>
            </w:pPr>
            <w:r>
              <w:rPr>
                <w:rFonts w:hint="eastAsia"/>
              </w:rPr>
              <w:t>人間ドックの周知啓発</w:t>
            </w: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none" w:color="auto" w:sz="0"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未受診者への通知率</w:t>
            </w:r>
          </w:p>
        </w:tc>
        <w:tc>
          <w:tcPr>
            <w:tcW w:w="713" w:type="pct"/>
            <w:vMerge w:val="restart"/>
            <w:tcBorders>
              <w:top w:val="none" w:color="auto" w:sz="0"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A</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3"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rPr>
            </w:pPr>
            <w:r>
              <w:rPr>
                <w:rFonts w:hint="eastAsia"/>
                <w:b w:val="1"/>
              </w:rPr>
              <w:t>アウトカム</w:t>
            </w:r>
          </w:p>
        </w:tc>
      </w:tr>
      <w:tr>
        <w:trPr>
          <w:trHeight w:val="3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6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特定健診受診率</w:t>
            </w:r>
          </w:p>
        </w:tc>
        <w:tc>
          <w:tcPr>
            <w:tcW w:w="713"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29.6%</w:t>
            </w:r>
          </w:p>
        </w:tc>
        <w:tc>
          <w:tcPr>
            <w:tcW w:w="35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6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35.0%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40.0%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45.0%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55.0%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60.0%</w:t>
            </w:r>
          </w:p>
        </w:tc>
        <w:tc>
          <w:tcPr>
            <w:tcW w:w="358"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3"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6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29.6%</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36.2%</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19.6%</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28.7%</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28.9%</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29.0%</w:t>
            </w:r>
            <w:r>
              <w:rPr>
                <w:rFonts w:hint="eastAsia"/>
              </w:rPr>
              <w:t>（見込値）</w:t>
            </w:r>
          </w:p>
        </w:tc>
        <w:tc>
          <w:tcPr>
            <w:tcW w:w="358"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2493"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507" w:type="pct"/>
            <w:gridSpan w:val="8"/>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20" w:hRule="atLeast"/>
        </w:trPr>
        <w:tc>
          <w:tcPr>
            <w:tcW w:w="2493"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令和</w:t>
            </w:r>
            <w:r>
              <w:rPr>
                <w:rFonts w:hint="eastAsia"/>
              </w:rPr>
              <w:t>2</w:t>
            </w:r>
            <w:r>
              <w:rPr>
                <w:rFonts w:hint="eastAsia"/>
              </w:rPr>
              <w:t>年度の新型コロナウイルス感染症の流行に伴い、受診率は激減したが、令和</w:t>
            </w:r>
            <w:r>
              <w:rPr>
                <w:rFonts w:hint="eastAsia"/>
              </w:rPr>
              <w:t>3</w:t>
            </w:r>
            <w:r>
              <w:rPr>
                <w:rFonts w:hint="eastAsia"/>
              </w:rPr>
              <w:t>年度から個別健診を開始し、目標にはほど遠いが受診率が回復した。</w:t>
            </w:r>
          </w:p>
        </w:tc>
        <w:tc>
          <w:tcPr>
            <w:tcW w:w="2507" w:type="pct"/>
            <w:gridSpan w:val="8"/>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未受診者分析により、通院中未受診者の割合が</w:t>
            </w:r>
            <w:r>
              <w:rPr>
                <w:rFonts w:hint="eastAsia"/>
              </w:rPr>
              <w:t>35%</w:t>
            </w:r>
            <w:r>
              <w:rPr>
                <w:rFonts w:hint="eastAsia"/>
              </w:rPr>
              <w:t>近くを占める。そうしたことから通院中の検査結果の提供同意を求める「みなし健診」のさらなる周知徹底により受診率が向上するものと考えられる。</w:t>
            </w: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rPr>
                <w:rFonts w:hint="default"/>
              </w:rPr>
            </w:pPr>
            <w:r>
              <w:rPr>
                <w:rFonts w:hint="eastAsia"/>
              </w:rPr>
              <w:t>約</w:t>
            </w:r>
            <w:r>
              <w:rPr>
                <w:rFonts w:hint="eastAsia"/>
              </w:rPr>
              <w:t>35%</w:t>
            </w:r>
            <w:r>
              <w:rPr>
                <w:rFonts w:hint="eastAsia"/>
              </w:rPr>
              <w:t>の割合を占める通院中未受診者へのみなし健診の通知発送を令和</w:t>
            </w:r>
            <w:r>
              <w:rPr>
                <w:rFonts w:hint="eastAsia"/>
              </w:rPr>
              <w:t>4</w:t>
            </w:r>
            <w:r>
              <w:rPr>
                <w:rFonts w:hint="eastAsia"/>
              </w:rPr>
              <w:t>年度から開始。契約医療機関外の未受診者には、個別通知をしていない現状であるが、こうした契約医療機関以外の医療機関への通院中の未受診者に対しても、第</w:t>
            </w:r>
            <w:r>
              <w:rPr>
                <w:rFonts w:hint="eastAsia"/>
              </w:rPr>
              <w:t>3</w:t>
            </w:r>
            <w:r>
              <w:rPr>
                <w:rFonts w:hint="eastAsia"/>
              </w:rPr>
              <w:t>期計画の中では、個別通知し、また広く被保険者全体へ健診受診率向上への目的目標を周知する機会を拡大していく。</w:t>
            </w:r>
          </w:p>
        </w:tc>
      </w:tr>
    </w:tbl>
    <w:p>
      <w:pPr>
        <w:pStyle w:val="0"/>
        <w:rPr>
          <w:rFonts w:hint="default"/>
        </w:rPr>
      </w:pPr>
    </w:p>
    <w:p>
      <w:pPr>
        <w:pStyle w:val="0"/>
        <w:rPr>
          <w:rFonts w:hint="default"/>
        </w:rPr>
      </w:pPr>
      <w:r>
        <w:rPr>
          <w:rFonts w:hint="default"/>
        </w:rPr>
        <w:br w:type="page"/>
      </w:r>
    </w:p>
    <w:p>
      <w:pPr>
        <w:pStyle w:val="4"/>
        <w:rPr>
          <w:rFonts w:hint="default"/>
        </w:rPr>
      </w:pPr>
      <w:r>
        <w:rPr>
          <w:rFonts w:hint="eastAsia"/>
        </w:rPr>
        <w:t>生活習慣病発症予防・保健指導</w:t>
      </w:r>
    </w:p>
    <w:tbl>
      <w:tblPr>
        <w:tblStyle w:val="172"/>
        <w:tblW w:w="5000" w:type="pct"/>
        <w:tblInd w:w="0" w:type="dxa"/>
        <w:tblLayout w:type="fixed"/>
        <w:tblLook w:firstRow="1" w:lastRow="0" w:firstColumn="1" w:lastColumn="0" w:noHBand="0" w:noVBand="1" w:val="04A0"/>
      </w:tblPr>
      <w:tblGrid>
        <w:gridCol w:w="2677"/>
        <w:gridCol w:w="1343"/>
        <w:gridCol w:w="654"/>
        <w:gridCol w:w="686"/>
        <w:gridCol w:w="669"/>
        <w:gridCol w:w="668"/>
        <w:gridCol w:w="669"/>
        <w:gridCol w:w="673"/>
        <w:gridCol w:w="668"/>
        <w:gridCol w:w="668"/>
      </w:tblGrid>
      <w:tr>
        <w:trPr>
          <w:trHeight w:val="20" w:hRule="atLeast"/>
        </w:trPr>
        <w:tc>
          <w:tcPr>
            <w:tcW w:w="142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6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9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特定保健指導</w:t>
            </w:r>
          </w:p>
        </w:tc>
        <w:tc>
          <w:tcPr>
            <w:tcW w:w="106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tabs>
                <w:tab w:val="left" w:leader="none" w:pos="847"/>
              </w:tabs>
              <w:snapToGrid w:val="0"/>
              <w:jc w:val="both"/>
              <w:rPr>
                <w:rFonts w:hint="default"/>
              </w:rPr>
            </w:pPr>
            <w:r>
              <w:rPr>
                <w:rFonts w:hint="eastAsia"/>
                <w:color w:val="191F2B"/>
              </w:rPr>
              <w:t>メタボリックシンドローム（内臓脂肪症候群）の予防と改善</w:t>
            </w:r>
          </w:p>
        </w:tc>
        <w:tc>
          <w:tcPr>
            <w:tcW w:w="179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tabs>
                <w:tab w:val="left" w:leader="none" w:pos="847"/>
              </w:tabs>
              <w:snapToGrid w:val="0"/>
              <w:spacing w:line="276" w:lineRule="auto"/>
              <w:jc w:val="both"/>
              <w:rPr>
                <w:rFonts w:hint="default"/>
              </w:rPr>
            </w:pPr>
            <w:r>
              <w:rPr>
                <w:rFonts w:hint="eastAsia"/>
              </w:rPr>
              <w:t>対象者が健診結果から自らの健康状態を把握し、生活習慣改善のための行動目標を自ら設定・実施できるよう、医師、保健師等による個々人の特性やリスクに配慮した支援を行う。</w:t>
            </w:r>
          </w:p>
          <w:p>
            <w:pPr>
              <w:pStyle w:val="0"/>
              <w:tabs>
                <w:tab w:val="left" w:leader="none" w:pos="847"/>
              </w:tabs>
              <w:snapToGrid w:val="0"/>
              <w:spacing w:line="276" w:lineRule="auto"/>
              <w:jc w:val="both"/>
              <w:rPr>
                <w:rFonts w:hint="default"/>
              </w:rPr>
            </w:pPr>
            <w:r>
              <w:rPr>
                <w:rFonts w:hint="eastAsia"/>
              </w:rPr>
              <w:t>特定保健指導対象者の選定方法により「動機付け支援」「積極的支援」に該当した方に対し実施する。</w:t>
            </w:r>
          </w:p>
        </w:tc>
        <w:tc>
          <w:tcPr>
            <w:tcW w:w="71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　　　</w:t>
            </w:r>
            <w:r>
              <w:rPr>
                <w:rFonts w:hint="eastAsia"/>
              </w:rPr>
              <w:t>B</w:t>
            </w:r>
          </w:p>
        </w:tc>
      </w:tr>
      <w:tr>
        <w:trPr>
          <w:trHeight w:val="20" w:hRule="atLeast"/>
        </w:trPr>
        <w:tc>
          <w:tcPr>
            <w:tcW w:w="249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50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49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事業の予算化･交付金申請事務</w:t>
            </w:r>
          </w:p>
          <w:p>
            <w:pPr>
              <w:pStyle w:val="0"/>
              <w:jc w:val="both"/>
              <w:rPr>
                <w:rFonts w:hint="default"/>
              </w:rPr>
            </w:pPr>
            <w:r>
              <w:rPr>
                <w:rFonts w:hint="eastAsia"/>
              </w:rPr>
              <w:t>実施要領の策定</w:t>
            </w:r>
          </w:p>
          <w:p>
            <w:pPr>
              <w:pStyle w:val="0"/>
              <w:jc w:val="both"/>
              <w:rPr>
                <w:rFonts w:hint="default"/>
              </w:rPr>
            </w:pPr>
            <w:r>
              <w:rPr>
                <w:rFonts w:hint="eastAsia"/>
              </w:rPr>
              <w:t>事業運営のための担当職員の配置</w:t>
            </w:r>
          </w:p>
          <w:p>
            <w:pPr>
              <w:pStyle w:val="0"/>
              <w:jc w:val="both"/>
              <w:rPr>
                <w:rFonts w:hint="default"/>
              </w:rPr>
            </w:pPr>
            <w:r>
              <w:rPr>
                <w:rFonts w:hint="eastAsia"/>
              </w:rPr>
              <w:t>関係機関への事業周知･説明の実施</w:t>
            </w:r>
          </w:p>
          <w:p>
            <w:pPr>
              <w:pStyle w:val="0"/>
              <w:jc w:val="both"/>
              <w:rPr>
                <w:rFonts w:hint="default"/>
              </w:rPr>
            </w:pPr>
            <w:r>
              <w:rPr>
                <w:rFonts w:hint="eastAsia"/>
              </w:rPr>
              <w:t>業務内容や実施方法の検討会の開催</w:t>
            </w:r>
          </w:p>
        </w:tc>
        <w:tc>
          <w:tcPr>
            <w:tcW w:w="250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集団健診時の初回面接同時実施</w:t>
            </w:r>
          </w:p>
          <w:p>
            <w:pPr>
              <w:pStyle w:val="0"/>
              <w:jc w:val="both"/>
              <w:rPr>
                <w:rFonts w:hint="default"/>
              </w:rPr>
            </w:pPr>
            <w:r>
              <w:rPr>
                <w:rFonts w:hint="eastAsia"/>
              </w:rPr>
              <w:t>該当者への参加勧奨資材の工夫</w:t>
            </w:r>
            <w:r>
              <w:rPr>
                <w:rFonts w:hint="eastAsia"/>
              </w:rPr>
              <w:t>(</w:t>
            </w:r>
            <w:r>
              <w:rPr>
                <w:rFonts w:hint="eastAsia"/>
              </w:rPr>
              <w:t>見直し</w:t>
            </w:r>
            <w:r>
              <w:rPr>
                <w:rFonts w:hint="eastAsia"/>
              </w:rPr>
              <w:t>)</w:t>
            </w:r>
          </w:p>
          <w:p>
            <w:pPr>
              <w:pStyle w:val="0"/>
              <w:jc w:val="both"/>
              <w:rPr>
                <w:rFonts w:hint="default"/>
              </w:rPr>
            </w:pPr>
            <w:r>
              <w:rPr>
                <w:rFonts w:hint="eastAsia"/>
              </w:rPr>
              <w:t>通知後の電話勧奨の実施</w:t>
            </w:r>
          </w:p>
          <w:p>
            <w:pPr>
              <w:pStyle w:val="0"/>
              <w:jc w:val="both"/>
              <w:rPr>
                <w:rFonts w:hint="default"/>
              </w:rPr>
            </w:pPr>
            <w:r>
              <w:rPr>
                <w:rFonts w:hint="eastAsia"/>
              </w:rPr>
              <w:t>参加者アンケートの実施</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4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8"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特定保健指導実施率</w:t>
            </w:r>
          </w:p>
        </w:tc>
        <w:tc>
          <w:tcPr>
            <w:tcW w:w="71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15.3%</w:t>
            </w:r>
          </w:p>
        </w:tc>
        <w:tc>
          <w:tcPr>
            <w:tcW w:w="34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25.0%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30.0%</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35.0%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40.0%</w:t>
            </w:r>
          </w:p>
        </w:tc>
        <w:tc>
          <w:tcPr>
            <w:tcW w:w="35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45.0%</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50.0%</w:t>
            </w:r>
          </w:p>
        </w:tc>
        <w:tc>
          <w:tcPr>
            <w:tcW w:w="357"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A</w:t>
            </w:r>
          </w:p>
        </w:tc>
      </w:tr>
      <w:tr>
        <w:trPr>
          <w:trHeight w:val="20" w:hRule="atLeast"/>
        </w:trPr>
        <w:tc>
          <w:tcPr>
            <w:tcW w:w="1428"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4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15.3%</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18.2%</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17.3%</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20.4%</w:t>
            </w:r>
          </w:p>
        </w:tc>
        <w:tc>
          <w:tcPr>
            <w:tcW w:w="35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27.0%</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32.0%</w:t>
            </w:r>
            <w:r>
              <w:rPr>
                <w:rFonts w:hint="eastAsia"/>
              </w:rPr>
              <w:t>（見込値）</w:t>
            </w:r>
          </w:p>
        </w:tc>
        <w:tc>
          <w:tcPr>
            <w:tcW w:w="357"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アウトカム</w:t>
            </w:r>
          </w:p>
        </w:tc>
      </w:tr>
      <w:tr>
        <w:trPr>
          <w:trHeight w:val="660" w:hRule="atLeast"/>
        </w:trPr>
        <w:tc>
          <w:tcPr>
            <w:tcW w:w="142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4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8"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メタボ該当者の割合</w:t>
            </w:r>
          </w:p>
        </w:tc>
        <w:tc>
          <w:tcPr>
            <w:tcW w:w="71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480" w:hanging="480" w:hangingChars="300"/>
              <w:jc w:val="center"/>
              <w:rPr>
                <w:rFonts w:hint="default"/>
              </w:rPr>
            </w:pPr>
            <w:r>
              <w:rPr>
                <w:rFonts w:hint="eastAsia"/>
              </w:rPr>
              <w:t>18.1%</w:t>
            </w:r>
          </w:p>
        </w:tc>
        <w:tc>
          <w:tcPr>
            <w:tcW w:w="34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18.1%</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18.5%</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20.6%</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20.2%</w:t>
            </w:r>
          </w:p>
        </w:tc>
        <w:tc>
          <w:tcPr>
            <w:tcW w:w="35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20.3%</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20.6%</w:t>
            </w:r>
          </w:p>
        </w:tc>
        <w:tc>
          <w:tcPr>
            <w:tcW w:w="357"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C</w:t>
            </w:r>
          </w:p>
        </w:tc>
      </w:tr>
      <w:tr>
        <w:trPr>
          <w:trHeight w:val="20" w:hRule="atLeast"/>
        </w:trPr>
        <w:tc>
          <w:tcPr>
            <w:tcW w:w="1428"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4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18.1%</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17.2%</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18.1%7</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19.3%</w:t>
            </w:r>
          </w:p>
        </w:tc>
        <w:tc>
          <w:tcPr>
            <w:tcW w:w="35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18.7%</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18%</w:t>
            </w:r>
            <w:r>
              <w:rPr>
                <w:rFonts w:hint="eastAsia"/>
              </w:rPr>
              <w:t>（見込値）</w:t>
            </w:r>
          </w:p>
        </w:tc>
        <w:tc>
          <w:tcPr>
            <w:tcW w:w="357"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249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50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20" w:hRule="atLeast"/>
        </w:trPr>
        <w:tc>
          <w:tcPr>
            <w:tcW w:w="249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特定保健指導の実施率は、令和</w:t>
            </w:r>
            <w:r>
              <w:rPr>
                <w:rFonts w:hint="default"/>
              </w:rPr>
              <w:t>4</w:t>
            </w:r>
            <w:r>
              <w:rPr>
                <w:rFonts w:hint="default"/>
              </w:rPr>
              <w:t>年度には前年度より</w:t>
            </w:r>
            <w:r>
              <w:rPr>
                <w:rFonts w:hint="default"/>
              </w:rPr>
              <w:t>6.6</w:t>
            </w:r>
            <w:r>
              <w:rPr>
                <w:rFonts w:hint="default"/>
              </w:rPr>
              <w:t>ポイントも上昇し、成果を上げた。参加勧奨を通知のみでなく、あわせて電話勧奨を通知到着から</w:t>
            </w:r>
            <w:r>
              <w:rPr>
                <w:rFonts w:hint="default"/>
              </w:rPr>
              <w:t>1</w:t>
            </w:r>
            <w:r>
              <w:rPr>
                <w:rFonts w:hint="default"/>
              </w:rPr>
              <w:t>週間から</w:t>
            </w:r>
            <w:r>
              <w:rPr>
                <w:rFonts w:hint="default"/>
              </w:rPr>
              <w:t>10</w:t>
            </w:r>
            <w:r>
              <w:rPr>
                <w:rFonts w:hint="default"/>
              </w:rPr>
              <w:t>日前後で行ったことで、参加率上昇につながったと思われる。</w:t>
            </w:r>
          </w:p>
        </w:tc>
        <w:tc>
          <w:tcPr>
            <w:tcW w:w="250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しかしながら、メタボ該当者の割合は、目標値より低く推移しているものの成果はあげられていない。それは、健診異常値放置者数と比例し、健診後に受療行動に移せていない可能性が高い。</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第</w:t>
            </w:r>
            <w:r>
              <w:rPr>
                <w:rFonts w:hint="eastAsia"/>
              </w:rPr>
              <w:t>3</w:t>
            </w:r>
            <w:r>
              <w:rPr>
                <w:rFonts w:hint="eastAsia"/>
              </w:rPr>
              <w:t>期計画では、生活習慣病重症化予防事業を新規事業として取り組み、受診履歴や特定健診の問診票の解答結果等のデータを分析し、分析結果をもとに介入対象者を決定し、対象者の状況･重症度に応じて医療機関への受診勧奨や保健指導を通知により実施する。</w:t>
            </w:r>
          </w:p>
        </w:tc>
      </w:tr>
    </w:tbl>
    <w:p>
      <w:pPr>
        <w:pStyle w:val="0"/>
        <w:rPr>
          <w:rFonts w:hint="default"/>
        </w:rPr>
      </w:pPr>
    </w:p>
    <w:p>
      <w:pPr>
        <w:pStyle w:val="0"/>
        <w:rPr>
          <w:rFonts w:hint="default"/>
        </w:rPr>
      </w:pPr>
      <w:r>
        <w:rPr>
          <w:rFonts w:hint="default"/>
        </w:rPr>
        <w:br w:type="page"/>
      </w:r>
    </w:p>
    <w:p>
      <w:pPr>
        <w:pStyle w:val="4"/>
        <w:rPr>
          <w:rFonts w:hint="default"/>
        </w:rPr>
      </w:pPr>
      <w:r>
        <w:rPr>
          <w:rFonts w:hint="eastAsia"/>
        </w:rPr>
        <w:t>健康づくり</w:t>
      </w:r>
    </w:p>
    <w:tbl>
      <w:tblPr>
        <w:tblStyle w:val="172"/>
        <w:tblW w:w="5000" w:type="pct"/>
        <w:tblInd w:w="0" w:type="dxa"/>
        <w:tblLayout w:type="fixed"/>
        <w:tblLook w:firstRow="1" w:lastRow="0" w:firstColumn="1" w:lastColumn="0" w:noHBand="0" w:noVBand="1" w:val="04A0"/>
      </w:tblPr>
      <w:tblGrid>
        <w:gridCol w:w="2680"/>
        <w:gridCol w:w="1344"/>
        <w:gridCol w:w="669"/>
        <w:gridCol w:w="669"/>
        <w:gridCol w:w="669"/>
        <w:gridCol w:w="669"/>
        <w:gridCol w:w="669"/>
        <w:gridCol w:w="671"/>
        <w:gridCol w:w="669"/>
        <w:gridCol w:w="666"/>
      </w:tblGrid>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7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jc w:val="both"/>
              <w:rPr>
                <w:rFonts w:hint="default"/>
              </w:rPr>
            </w:pPr>
            <w:r>
              <w:rPr>
                <w:rFonts w:hint="eastAsia"/>
              </w:rPr>
              <w:t>「からだチェンジ･私がかわる！</w:t>
            </w:r>
          </w:p>
          <w:p>
            <w:pPr>
              <w:pStyle w:val="0"/>
              <w:snapToGrid w:val="0"/>
              <w:spacing w:line="276" w:lineRule="auto"/>
              <w:jc w:val="both"/>
              <w:rPr>
                <w:rFonts w:hint="default"/>
              </w:rPr>
            </w:pPr>
            <w:r>
              <w:rPr>
                <w:rFonts w:hint="eastAsia"/>
              </w:rPr>
              <w:t>生活習慣病予防教室」</w:t>
            </w:r>
          </w:p>
        </w:tc>
        <w:tc>
          <w:tcPr>
            <w:tcW w:w="107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color w:val="191F2B"/>
              </w:rPr>
              <w:t>対象者が教室を通じて、健診を機に自身の生活を振り返り、望ましい健康状態や生活習慣について理解し、行動変容をすることで、生活習慣病の予防や重症化を防ぐ。</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特定健診の結果で血圧･脂質･血糖で基準値を超える数値の方を対象に、行動・食生活の記録票を取りながら自身の生活課題を見つけ、食事･運動・歯の健康について講義や実技を通じて行動変容を促す。</w:t>
            </w:r>
          </w:p>
        </w:tc>
        <w:tc>
          <w:tcPr>
            <w:tcW w:w="71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事業の予算化</w:t>
            </w:r>
          </w:p>
          <w:p>
            <w:pPr>
              <w:pStyle w:val="0"/>
              <w:jc w:val="both"/>
              <w:rPr>
                <w:rFonts w:hint="default"/>
              </w:rPr>
            </w:pPr>
            <w:r>
              <w:rPr>
                <w:rFonts w:hint="eastAsia"/>
              </w:rPr>
              <w:t>実施要領の策定</w:t>
            </w:r>
          </w:p>
          <w:p>
            <w:pPr>
              <w:pStyle w:val="0"/>
              <w:jc w:val="both"/>
              <w:rPr>
                <w:rFonts w:hint="default"/>
              </w:rPr>
            </w:pPr>
            <w:r>
              <w:rPr>
                <w:rFonts w:hint="eastAsia"/>
              </w:rPr>
              <w:t>事業運営のための担当職員の配置</w:t>
            </w:r>
          </w:p>
          <w:p>
            <w:pPr>
              <w:pStyle w:val="0"/>
              <w:jc w:val="both"/>
              <w:rPr>
                <w:rFonts w:hint="default"/>
              </w:rPr>
            </w:pPr>
            <w:r>
              <w:rPr>
                <w:rFonts w:hint="eastAsia"/>
              </w:rPr>
              <w:t>関係機関への事業周知･説明の実施</w:t>
            </w:r>
          </w:p>
          <w:p>
            <w:pPr>
              <w:pStyle w:val="0"/>
              <w:jc w:val="both"/>
              <w:rPr>
                <w:rFonts w:hint="default"/>
              </w:rPr>
            </w:pPr>
            <w:r>
              <w:rPr>
                <w:rFonts w:hint="eastAsia"/>
              </w:rPr>
              <w:t>業務内容や実施方法の検討会の開催</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実施率向上に向けての講師の選定</w:t>
            </w:r>
          </w:p>
          <w:p>
            <w:pPr>
              <w:pStyle w:val="0"/>
              <w:jc w:val="both"/>
              <w:rPr>
                <w:rFonts w:hint="default"/>
              </w:rPr>
            </w:pPr>
            <w:r>
              <w:rPr>
                <w:rFonts w:hint="eastAsia"/>
              </w:rPr>
              <w:t>参加勧奨資材の工夫</w:t>
            </w:r>
            <w:r>
              <w:rPr>
                <w:rFonts w:hint="eastAsia"/>
              </w:rPr>
              <w:t>(</w:t>
            </w:r>
            <w:r>
              <w:rPr>
                <w:rFonts w:hint="eastAsia"/>
              </w:rPr>
              <w:t>見直し</w:t>
            </w:r>
            <w:r>
              <w:rPr>
                <w:rFonts w:hint="eastAsia"/>
              </w:rPr>
              <w:t>)</w:t>
            </w:r>
          </w:p>
          <w:p>
            <w:pPr>
              <w:pStyle w:val="0"/>
              <w:jc w:val="both"/>
              <w:rPr>
                <w:rFonts w:hint="default"/>
              </w:rPr>
            </w:pPr>
            <w:r>
              <w:rPr>
                <w:rFonts w:hint="eastAsia"/>
              </w:rPr>
              <w:t>通知後の電話勧奨の実施</w:t>
            </w:r>
          </w:p>
          <w:p>
            <w:pPr>
              <w:pStyle w:val="0"/>
              <w:jc w:val="both"/>
              <w:rPr>
                <w:rFonts w:hint="default"/>
              </w:rPr>
            </w:pPr>
            <w:r>
              <w:rPr>
                <w:rFonts w:hint="eastAsia"/>
              </w:rPr>
              <w:t>参加者アンケートの実施</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定員に対する申込率</w:t>
            </w:r>
          </w:p>
        </w:tc>
        <w:tc>
          <w:tcPr>
            <w:tcW w:w="71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　　　</w:t>
            </w:r>
            <w:r>
              <w:rPr>
                <w:rFonts w:hint="eastAsia"/>
              </w:rPr>
              <w:t>90%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C</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ind w:firstLine="160" w:firstLineChars="100"/>
              <w:rPr>
                <w:rFonts w:hint="default"/>
              </w:rPr>
            </w:pPr>
            <w:r>
              <w:rPr>
                <w:rFonts w:hint="eastAsia"/>
              </w:rPr>
              <w:t>90%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　</w:t>
            </w:r>
            <w:r>
              <w:rPr>
                <w:rFonts w:hint="eastAsia"/>
              </w:rPr>
              <w:t>81%</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　</w:t>
            </w:r>
            <w:r>
              <w:rPr>
                <w:rFonts w:hint="eastAsia"/>
              </w:rPr>
              <w:t>92%</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58%</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108%</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90%</w:t>
            </w:r>
            <w:r>
              <w:rPr>
                <w:rFonts w:hint="eastAsia"/>
              </w:rPr>
              <w:t>（見込値）</w:t>
            </w:r>
          </w:p>
        </w:tc>
        <w:tc>
          <w:tcPr>
            <w:tcW w:w="35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アウトカム</w:t>
            </w:r>
          </w:p>
        </w:tc>
      </w:tr>
      <w:tr>
        <w:trPr>
          <w:trHeight w:val="3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color w:val="FF0000"/>
              </w:rPr>
            </w:pPr>
            <w:r>
              <w:rPr>
                <w:rFonts w:hint="eastAsia"/>
              </w:rPr>
              <w:t>特定健診受診勧奨判定値者の割合</w:t>
            </w:r>
          </w:p>
        </w:tc>
        <w:tc>
          <w:tcPr>
            <w:tcW w:w="71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color w:val="FF0000"/>
              </w:rPr>
              <w:t>　</w:t>
            </w:r>
            <w:r>
              <w:rPr>
                <w:rFonts w:hint="eastAsia"/>
              </w:rPr>
              <w:t>　　</w:t>
            </w:r>
            <w:r>
              <w:rPr>
                <w:rFonts w:hint="eastAsia"/>
              </w:rPr>
              <w:t>51.4%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56.9%</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57.5%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59.7%</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59.0%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57.1%</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53.1%</w:t>
            </w:r>
          </w:p>
        </w:tc>
        <w:tc>
          <w:tcPr>
            <w:tcW w:w="35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color w:val="FF0000"/>
              </w:rPr>
            </w:pPr>
            <w:r>
              <w:rPr>
                <w:rFonts w:hint="eastAsia"/>
                <w:color w:val="000000"/>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51.4%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52.5%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59.1%</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56.1%</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50.5%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default"/>
              </w:rPr>
              <w:t>49.0%</w:t>
            </w:r>
            <w:r>
              <w:rPr>
                <w:rFonts w:hint="default"/>
              </w:rPr>
              <w:t>（見込値）</w:t>
            </w:r>
          </w:p>
        </w:tc>
        <w:tc>
          <w:tcPr>
            <w:tcW w:w="35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受診勧奨対象者率は、国･県より低く、令和</w:t>
            </w:r>
            <w:r>
              <w:rPr>
                <w:rFonts w:hint="eastAsia"/>
              </w:rPr>
              <w:t>1</w:t>
            </w:r>
            <w:r>
              <w:rPr>
                <w:rFonts w:hint="eastAsia"/>
              </w:rPr>
              <w:t>年度と比較すると</w:t>
            </w:r>
            <w:r>
              <w:rPr>
                <w:rFonts w:hint="eastAsia"/>
              </w:rPr>
              <w:t>2.0</w:t>
            </w:r>
            <w:r>
              <w:rPr>
                <w:rFonts w:hint="eastAsia"/>
              </w:rPr>
              <w:t>ポイント減少している。これは、血糖の異常値者への受診勧奨の徹底と、糖尿病性腎症重症化予防事業での保健指導が効を奏したものと考えられる。</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both"/>
              <w:rPr>
                <w:rFonts w:hint="default"/>
              </w:rPr>
            </w:pPr>
            <w:r>
              <w:rPr>
                <w:rFonts w:hint="eastAsia"/>
              </w:rPr>
              <w:t>受診勧奨判定値者の割合を検査値ごとにみると脂質異常の占める割合が高く、脂質の異常値放置者の受診勧奨の徹底不足が減少しない理由と考えられる。</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第</w:t>
            </w:r>
            <w:r>
              <w:rPr>
                <w:rFonts w:hint="eastAsia"/>
              </w:rPr>
              <w:t>3</w:t>
            </w:r>
            <w:r>
              <w:rPr>
                <w:rFonts w:hint="eastAsia"/>
              </w:rPr>
              <w:t>期計画では、健診の結果、医療機関受診勧奨値の者に対し、適切な医療機関受診勧奨や保健指導を実施することにより、生活習慣病の重症化を予防し、脳血管疾患･虚血性心疾患・腎不全といった重篤な疾患の発生を抑制していく。また、新たに喫煙率が高い傾向があるため、特定健診の結果で血圧･脂質･血糖で基準値を超える数値の方を対象に、行動・食生活の記録票を取りながら自身の生活課題を見つけ、食事･運動・歯の健康について講義や実技を通じて行動変容を促していく。</w:t>
            </w:r>
          </w:p>
        </w:tc>
      </w:tr>
    </w:tbl>
    <w:p>
      <w:pPr>
        <w:pStyle w:val="0"/>
        <w:rPr>
          <w:rFonts w:hint="default"/>
        </w:rPr>
      </w:pPr>
    </w:p>
    <w:p>
      <w:pPr>
        <w:pStyle w:val="0"/>
        <w:rPr>
          <w:rFonts w:hint="default"/>
        </w:rPr>
      </w:pPr>
      <w:r>
        <w:rPr>
          <w:rFonts w:hint="default"/>
        </w:rPr>
        <w:br w:type="page"/>
      </w:r>
    </w:p>
    <w:tbl>
      <w:tblPr>
        <w:tblStyle w:val="172"/>
        <w:tblW w:w="5000" w:type="pct"/>
        <w:tblInd w:w="0" w:type="dxa"/>
        <w:tblLayout w:type="fixed"/>
        <w:tblLook w:firstRow="1" w:lastRow="0" w:firstColumn="1" w:lastColumn="0" w:noHBand="0" w:noVBand="1" w:val="04A0"/>
      </w:tblPr>
      <w:tblGrid>
        <w:gridCol w:w="2680"/>
        <w:gridCol w:w="1345"/>
        <w:gridCol w:w="670"/>
        <w:gridCol w:w="669"/>
        <w:gridCol w:w="669"/>
        <w:gridCol w:w="669"/>
        <w:gridCol w:w="669"/>
        <w:gridCol w:w="671"/>
        <w:gridCol w:w="669"/>
        <w:gridCol w:w="664"/>
      </w:tblGrid>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74"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2"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通いの場等への積極的な関与等</w:t>
            </w:r>
          </w:p>
        </w:tc>
        <w:tc>
          <w:tcPr>
            <w:tcW w:w="1074"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color w:val="191F2B"/>
              </w:rPr>
              <w:t>介護予防を目的とした運動指導や体力測定との器械を持つことで外出を促し、友人等とのふれあいを持ち、悩み等を</w:t>
            </w:r>
            <w:r>
              <w:rPr>
                <w:rFonts w:hint="eastAsia"/>
                <w:color w:val="191F2B"/>
              </w:rPr>
              <w:t>1</w:t>
            </w:r>
            <w:r>
              <w:rPr>
                <w:rFonts w:hint="eastAsia"/>
                <w:color w:val="191F2B"/>
              </w:rPr>
              <w:t>人で抱えぬよう心の健康や社会からの孤立を防止する。</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住民が運営する通いの場に、理学療法士を派遣し、介護予防を目的とした運動指導や多力測定等の実施する</w:t>
            </w:r>
          </w:p>
        </w:tc>
        <w:tc>
          <w:tcPr>
            <w:tcW w:w="712"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2503"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503"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事業の予算化・交付金の申請事務</w:t>
            </w:r>
          </w:p>
          <w:p>
            <w:pPr>
              <w:pStyle w:val="0"/>
              <w:jc w:val="both"/>
              <w:rPr>
                <w:rFonts w:hint="default"/>
              </w:rPr>
            </w:pPr>
            <w:r>
              <w:rPr>
                <w:rFonts w:hint="eastAsia"/>
              </w:rPr>
              <w:t>実施要領の策定</w:t>
            </w:r>
          </w:p>
          <w:p>
            <w:pPr>
              <w:pStyle w:val="0"/>
              <w:jc w:val="both"/>
              <w:rPr>
                <w:rFonts w:hint="default"/>
              </w:rPr>
            </w:pPr>
            <w:r>
              <w:rPr>
                <w:rFonts w:hint="eastAsia"/>
              </w:rPr>
              <w:t>事業運営のための担当職員の配置</w:t>
            </w:r>
          </w:p>
          <w:p>
            <w:pPr>
              <w:pStyle w:val="0"/>
              <w:jc w:val="both"/>
              <w:rPr>
                <w:rFonts w:hint="default"/>
              </w:rPr>
            </w:pPr>
            <w:r>
              <w:rPr>
                <w:rFonts w:hint="eastAsia"/>
              </w:rPr>
              <w:t>関係機関への事業周知・説明の実施</w:t>
            </w:r>
          </w:p>
          <w:p>
            <w:pPr>
              <w:pStyle w:val="0"/>
              <w:jc w:val="both"/>
              <w:rPr>
                <w:rFonts w:hint="default"/>
              </w:rPr>
            </w:pPr>
            <w:r>
              <w:rPr>
                <w:rFonts w:hint="eastAsia"/>
              </w:rPr>
              <w:t>業務内容や実施方法の検討会の開催</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rPr>
                <w:rFonts w:hint="default"/>
              </w:rPr>
            </w:pPr>
            <w:r>
              <w:rPr>
                <w:rFonts w:hint="eastAsia"/>
              </w:rPr>
              <w:t>実施事業者の選定</w:t>
            </w:r>
          </w:p>
          <w:p>
            <w:pPr>
              <w:pStyle w:val="0"/>
              <w:rPr>
                <w:rFonts w:hint="default"/>
              </w:rPr>
            </w:pPr>
            <w:r>
              <w:rPr>
                <w:rFonts w:hint="eastAsia"/>
              </w:rPr>
              <w:t>参加勧奨資材の工夫（見直し）</w:t>
            </w:r>
          </w:p>
          <w:p>
            <w:pPr>
              <w:pStyle w:val="0"/>
              <w:rPr>
                <w:rFonts w:hint="default"/>
              </w:rPr>
            </w:pPr>
            <w:r>
              <w:rPr>
                <w:rFonts w:hint="eastAsia"/>
              </w:rPr>
              <w:t>参加者アンケートの実施</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参加者数</w:t>
            </w:r>
          </w:p>
        </w:tc>
        <w:tc>
          <w:tcPr>
            <w:tcW w:w="717"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　　　</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250</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250</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250</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r>
              <w:rPr>
                <w:rFonts w:hint="eastAsia"/>
              </w:rPr>
              <w:t>人</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150</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150%</w:t>
            </w:r>
          </w:p>
        </w:tc>
        <w:tc>
          <w:tcPr>
            <w:tcW w:w="355"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C</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7"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ind w:firstLine="160" w:firstLineChars="100"/>
              <w:rPr>
                <w:rFonts w:hint="default"/>
              </w:rPr>
            </w:pPr>
            <w:r>
              <w:rPr>
                <w:rFonts w:hint="eastAsia"/>
              </w:rPr>
              <w:t>275</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eastAsia"/>
              </w:rPr>
              <w:t>246</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256</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なし</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30</w:t>
            </w:r>
            <w:r>
              <w:rPr>
                <w:rFonts w:hint="eastAsia"/>
              </w:rPr>
              <w:t>人</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80</w:t>
            </w:r>
            <w:r>
              <w:rPr>
                <w:rFonts w:hint="eastAsia"/>
              </w:rPr>
              <w:t>人</w:t>
            </w:r>
          </w:p>
        </w:tc>
        <w:tc>
          <w:tcPr>
            <w:tcW w:w="355"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アウトカム</w:t>
            </w:r>
          </w:p>
        </w:tc>
      </w:tr>
      <w:tr>
        <w:trPr>
          <w:trHeight w:val="3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「通いの場」創出数</w:t>
            </w:r>
          </w:p>
        </w:tc>
        <w:tc>
          <w:tcPr>
            <w:tcW w:w="717"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3</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w:t>
            </w:r>
          </w:p>
        </w:tc>
        <w:tc>
          <w:tcPr>
            <w:tcW w:w="355"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color w:val="FF0000"/>
              </w:rPr>
            </w:pPr>
            <w:r>
              <w:rPr>
                <w:rFonts w:hint="eastAsia"/>
                <w:color w:val="000000"/>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7"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3</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w:t>
            </w:r>
          </w:p>
        </w:tc>
        <w:tc>
          <w:tcPr>
            <w:tcW w:w="355"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2503"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586" w:hRule="atLeast"/>
        </w:trPr>
        <w:tc>
          <w:tcPr>
            <w:tcW w:w="2503"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通いの場の創出数は、老人福祉センターが主催し</w:t>
            </w:r>
            <w:r>
              <w:rPr>
                <w:rFonts w:hint="eastAsia"/>
              </w:rPr>
              <w:t>3</w:t>
            </w:r>
            <w:r>
              <w:rPr>
                <w:rFonts w:hint="eastAsia"/>
              </w:rPr>
              <w:t>ヶ月毎月</w:t>
            </w:r>
            <w:r>
              <w:rPr>
                <w:rFonts w:hint="eastAsia"/>
              </w:rPr>
              <w:t>2</w:t>
            </w:r>
            <w:r>
              <w:rPr>
                <w:rFonts w:hint="eastAsia"/>
              </w:rPr>
              <w:t>回の運動教室を開催し教室の終わり頃新規団体の立ち上げを促したり、地域の介護予防リーダーや民生委員がお世話係となり新規団体が増加した。</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rPr>
                <w:rFonts w:hint="default"/>
              </w:rPr>
            </w:pPr>
            <w:r>
              <w:rPr>
                <w:rFonts w:hint="eastAsia"/>
              </w:rPr>
              <w:t>通いの場の中で、市で依頼を受ける出張介護予防教室があるが介護予防リーダーを派遣している部分については市の介護予防リーダー養成講座への参加者が少し活躍しているリーダー数が増えていないことから積極的な周知、通いの場の立ち上げの促しができていない</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コロナ</w:t>
            </w:r>
            <w:r>
              <w:rPr>
                <w:rFonts w:hint="eastAsia"/>
              </w:rPr>
              <w:t>5</w:t>
            </w:r>
            <w:r>
              <w:rPr>
                <w:rFonts w:hint="eastAsia"/>
              </w:rPr>
              <w:t>類に移行し、少しずつ外出や集まりへ参加しやすい状況になってきているが、コロナ禍で開催場所の見直しもあり参加人数は思うように増やして実施が困難なため工夫が必要。</w:t>
            </w:r>
          </w:p>
        </w:tc>
      </w:tr>
    </w:tbl>
    <w:p>
      <w:pPr>
        <w:pStyle w:val="0"/>
        <w:rPr>
          <w:rFonts w:hint="default"/>
        </w:rPr>
      </w:pPr>
    </w:p>
    <w:p>
      <w:pPr>
        <w:pStyle w:val="0"/>
        <w:rPr>
          <w:rFonts w:hint="default"/>
        </w:rPr>
      </w:pPr>
      <w:r>
        <w:rPr>
          <w:rFonts w:hint="default"/>
        </w:rPr>
        <w:br w:type="page"/>
      </w:r>
    </w:p>
    <w:p>
      <w:pPr>
        <w:pStyle w:val="4"/>
        <w:rPr>
          <w:rFonts w:hint="default"/>
        </w:rPr>
      </w:pPr>
      <w:r>
        <w:rPr>
          <w:rFonts w:hint="default"/>
        </w:rPr>
        <w:t>重症化予防</w:t>
      </w:r>
    </w:p>
    <w:tbl>
      <w:tblPr>
        <w:tblStyle w:val="172"/>
        <w:tblW w:w="5000" w:type="pct"/>
        <w:tblInd w:w="0" w:type="dxa"/>
        <w:tblLayout w:type="fixed"/>
        <w:tblLook w:firstRow="1" w:lastRow="0" w:firstColumn="1" w:lastColumn="0" w:noHBand="0" w:noVBand="1" w:val="04A0"/>
      </w:tblPr>
      <w:tblGrid>
        <w:gridCol w:w="2680"/>
        <w:gridCol w:w="1340"/>
        <w:gridCol w:w="671"/>
        <w:gridCol w:w="669"/>
        <w:gridCol w:w="669"/>
        <w:gridCol w:w="669"/>
        <w:gridCol w:w="669"/>
        <w:gridCol w:w="671"/>
        <w:gridCol w:w="669"/>
        <w:gridCol w:w="668"/>
      </w:tblGrid>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72"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4"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糖尿病性腎症重症化予防事業</w:t>
            </w:r>
          </w:p>
        </w:tc>
        <w:tc>
          <w:tcPr>
            <w:tcW w:w="1072"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糖尿病性腎症をはじめとする糖尿病合併症発症予防、新規人工透析導入者ゼロに抑制。</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・糖尿病性腎症重症化予防プログラム</w:t>
            </w:r>
          </w:p>
        </w:tc>
        <w:tc>
          <w:tcPr>
            <w:tcW w:w="714"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　　　</w:t>
            </w:r>
            <w:r>
              <w:rPr>
                <w:rFonts w:hint="eastAsia"/>
              </w:rPr>
              <w:t>B</w:t>
            </w:r>
          </w:p>
        </w:tc>
      </w:tr>
      <w:tr>
        <w:trPr>
          <w:trHeight w:val="20" w:hRule="atLeast"/>
        </w:trPr>
        <w:tc>
          <w:tcPr>
            <w:tcW w:w="2501"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499"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501"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事業の予算化･交付金申請事務</w:t>
            </w:r>
          </w:p>
          <w:p>
            <w:pPr>
              <w:pStyle w:val="0"/>
              <w:jc w:val="both"/>
              <w:rPr>
                <w:rFonts w:hint="default"/>
              </w:rPr>
            </w:pPr>
            <w:r>
              <w:rPr>
                <w:rFonts w:hint="eastAsia"/>
              </w:rPr>
              <w:t>実施要領の策定</w:t>
            </w:r>
          </w:p>
          <w:p>
            <w:pPr>
              <w:pStyle w:val="0"/>
              <w:jc w:val="both"/>
              <w:rPr>
                <w:rFonts w:hint="default"/>
              </w:rPr>
            </w:pPr>
            <w:r>
              <w:rPr>
                <w:rFonts w:hint="eastAsia"/>
              </w:rPr>
              <w:t>事業運営のための担当職員の配置</w:t>
            </w:r>
          </w:p>
          <w:p>
            <w:pPr>
              <w:pStyle w:val="0"/>
              <w:jc w:val="both"/>
              <w:rPr>
                <w:rFonts w:hint="default"/>
              </w:rPr>
            </w:pPr>
            <w:r>
              <w:rPr>
                <w:rFonts w:hint="eastAsia"/>
              </w:rPr>
              <w:t>関係機関への事業周知･説明の実施</w:t>
            </w:r>
          </w:p>
          <w:p>
            <w:pPr>
              <w:pStyle w:val="0"/>
              <w:jc w:val="both"/>
              <w:rPr>
                <w:rFonts w:hint="default"/>
              </w:rPr>
            </w:pPr>
            <w:r>
              <w:rPr>
                <w:rFonts w:hint="eastAsia"/>
              </w:rPr>
              <w:t>業務内容や実施方法の検討会の開催</w:t>
            </w:r>
          </w:p>
        </w:tc>
        <w:tc>
          <w:tcPr>
            <w:tcW w:w="2499"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実施率向上に向けての講師の選定</w:t>
            </w:r>
          </w:p>
          <w:p>
            <w:pPr>
              <w:pStyle w:val="0"/>
              <w:jc w:val="both"/>
              <w:rPr>
                <w:rFonts w:hint="default"/>
              </w:rPr>
            </w:pPr>
            <w:r>
              <w:rPr>
                <w:rFonts w:hint="eastAsia"/>
              </w:rPr>
              <w:t>参加勧奨資材の工夫</w:t>
            </w:r>
            <w:r>
              <w:rPr>
                <w:rFonts w:hint="eastAsia"/>
              </w:rPr>
              <w:t>(</w:t>
            </w:r>
            <w:r>
              <w:rPr>
                <w:rFonts w:hint="eastAsia"/>
              </w:rPr>
              <w:t>見直し</w:t>
            </w:r>
            <w:r>
              <w:rPr>
                <w:rFonts w:hint="eastAsia"/>
              </w:rPr>
              <w:t>)</w:t>
            </w:r>
          </w:p>
          <w:p>
            <w:pPr>
              <w:pStyle w:val="0"/>
              <w:jc w:val="both"/>
              <w:rPr>
                <w:rFonts w:hint="default"/>
              </w:rPr>
            </w:pPr>
            <w:r>
              <w:rPr>
                <w:rFonts w:hint="eastAsia"/>
              </w:rPr>
              <w:t>通知後の電話勧奨の実施</w:t>
            </w:r>
          </w:p>
          <w:p>
            <w:pPr>
              <w:pStyle w:val="0"/>
              <w:jc w:val="both"/>
              <w:rPr>
                <w:rFonts w:hint="default"/>
              </w:rPr>
            </w:pPr>
            <w:r>
              <w:rPr>
                <w:rFonts w:hint="eastAsia"/>
              </w:rPr>
              <w:t>参加者アンケートの実施</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shd w:val="pct15" w:color="auto" w:fill="auto"/>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保健指導プログラム参加率</w:t>
            </w:r>
          </w:p>
        </w:tc>
        <w:tc>
          <w:tcPr>
            <w:tcW w:w="714"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未実施</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20%</w:t>
            </w:r>
          </w:p>
        </w:tc>
        <w:tc>
          <w:tcPr>
            <w:tcW w:w="357"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4"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9.9%</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30.4%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12.8%</w:t>
            </w:r>
          </w:p>
        </w:tc>
        <w:tc>
          <w:tcPr>
            <w:tcW w:w="357"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snapToGrid w:val="0"/>
              <w:spacing w:line="276" w:lineRule="auto"/>
              <w:jc w:val="center"/>
              <w:rPr>
                <w:rFonts w:hint="default"/>
              </w:rPr>
            </w:pPr>
            <w:r>
              <w:rPr>
                <w:rFonts w:hint="eastAsia"/>
                <w:b w:val="1"/>
              </w:rPr>
              <w:t>アウトカム</w:t>
            </w:r>
          </w:p>
        </w:tc>
      </w:tr>
      <w:tr>
        <w:trPr>
          <w:trHeight w:val="476" w:hRule="atLeast"/>
        </w:trPr>
        <w:tc>
          <w:tcPr>
            <w:tcW w:w="1429" w:type="pc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4" w:type="pc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shd w:val="pct15" w:color="auto" w:fill="auto"/>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rPr>
            </w:pPr>
            <w:r>
              <w:rPr>
                <w:rFonts w:hint="default"/>
                <w:b w:val="1"/>
              </w:rPr>
              <w:t>5</w:t>
            </w:r>
            <w:r>
              <w:rPr>
                <w:rFonts w:hint="eastAsia"/>
                <w:b w:val="1"/>
              </w:rPr>
              <w:t>年度</w:t>
            </w:r>
          </w:p>
        </w:tc>
        <w:tc>
          <w:tcPr>
            <w:tcW w:w="357" w:type="pc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none" w:color="auto" w:sz="0"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翌年度の健診結果の</w:t>
            </w:r>
            <w:r>
              <w:rPr>
                <w:rFonts w:hint="eastAsia"/>
              </w:rPr>
              <w:t>HbA1</w:t>
            </w:r>
            <w:r>
              <w:rPr>
                <w:rFonts w:hint="default"/>
              </w:rPr>
              <w:t>c</w:t>
            </w:r>
            <w:r>
              <w:rPr>
                <w:rFonts w:hint="eastAsia"/>
              </w:rPr>
              <w:t>の検査数値の改善率</w:t>
            </w:r>
          </w:p>
        </w:tc>
        <w:tc>
          <w:tcPr>
            <w:tcW w:w="714" w:type="pct"/>
            <w:vMerge w:val="restart"/>
            <w:tcBorders>
              <w:top w:val="none" w:color="auto" w:sz="0"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未実施</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35%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40%</w:t>
            </w:r>
          </w:p>
        </w:tc>
        <w:tc>
          <w:tcPr>
            <w:tcW w:w="357"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4"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highlight w:val="yellow"/>
              </w:rPr>
            </w:pPr>
            <w:r>
              <w:rPr>
                <w:rFonts w:hint="eastAsia"/>
              </w:rPr>
              <w:t>　</w:t>
            </w:r>
            <w:r>
              <w:rPr>
                <w:rFonts w:hint="eastAsia"/>
              </w:rPr>
              <w:t>18.1%</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highlight w:val="yellow"/>
              </w:rPr>
            </w:pPr>
            <w:r>
              <w:rPr>
                <w:rFonts w:hint="eastAsia"/>
              </w:rPr>
              <w:t>13.8%</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c>
          <w:tcPr>
            <w:tcW w:w="357"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2501"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499"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20" w:hRule="atLeast"/>
        </w:trPr>
        <w:tc>
          <w:tcPr>
            <w:tcW w:w="2501"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保健指導の参加率は目標には達していないものの、一定程度の参加者を見込、プログラム脱落者は少ないことから、参加者には好評価を得ている。</w:t>
            </w:r>
          </w:p>
        </w:tc>
        <w:tc>
          <w:tcPr>
            <w:tcW w:w="2499"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今後プログラム参加率を向上させるには、勧奨資材に参加者の声やプログラム内容の充実を図る必要がある。</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rPr>
                <w:rFonts w:hint="default"/>
              </w:rPr>
            </w:pPr>
            <w:r>
              <w:rPr>
                <w:rFonts w:hint="eastAsia"/>
              </w:rPr>
              <w:t>第</w:t>
            </w:r>
            <w:r>
              <w:rPr>
                <w:rFonts w:hint="eastAsia"/>
              </w:rPr>
              <w:t>2</w:t>
            </w:r>
            <w:r>
              <w:rPr>
                <w:rFonts w:hint="eastAsia"/>
              </w:rPr>
              <w:t>期計画では、個別プログラムでの事業展開であったが、同じように糖尿病予防に取り組む仲間（同志）の存在を糧にプログラム参加への期待や張り合いが感じられるような集団の力を用いた事業展開を検討していきたい。</w:t>
            </w:r>
          </w:p>
        </w:tc>
      </w:tr>
    </w:tbl>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sz w:val="18"/>
        </w:rPr>
      </w:pPr>
      <w:r>
        <w:rPr>
          <w:rFonts w:hint="default"/>
          <w:sz w:val="18"/>
        </w:rPr>
        <w:br w:type="page"/>
      </w:r>
    </w:p>
    <w:p>
      <w:pPr>
        <w:pStyle w:val="4"/>
        <w:numPr>
          <w:ilvl w:val="3"/>
          <w:numId w:val="0"/>
        </w:numPr>
        <w:ind w:left="227"/>
        <w:rPr>
          <w:rFonts w:hint="default"/>
          <w:color w:val="FF0000"/>
        </w:rPr>
      </w:pPr>
      <w:r>
        <w:rPr>
          <w:rFonts w:hint="eastAsia"/>
        </w:rPr>
        <w:t>⑤　その他</w:t>
      </w:r>
      <w:r>
        <w:rPr>
          <w:rFonts w:hint="eastAsia"/>
        </w:rPr>
        <w:t>(</w:t>
      </w:r>
      <w:r>
        <w:rPr>
          <w:rFonts w:hint="eastAsia"/>
        </w:rPr>
        <w:t>医療費適正化</w:t>
      </w:r>
      <w:r>
        <w:rPr>
          <w:rFonts w:hint="eastAsia"/>
        </w:rPr>
        <w:t>)</w:t>
      </w:r>
    </w:p>
    <w:tbl>
      <w:tblPr>
        <w:tblStyle w:val="172"/>
        <w:tblW w:w="5000" w:type="pct"/>
        <w:tblInd w:w="0" w:type="dxa"/>
        <w:tblLayout w:type="fixed"/>
        <w:tblLook w:firstRow="1" w:lastRow="0" w:firstColumn="1" w:lastColumn="0" w:noHBand="0" w:noVBand="1" w:val="04A0"/>
      </w:tblPr>
      <w:tblGrid>
        <w:gridCol w:w="2680"/>
        <w:gridCol w:w="560"/>
        <w:gridCol w:w="786"/>
        <w:gridCol w:w="669"/>
        <w:gridCol w:w="669"/>
        <w:gridCol w:w="669"/>
        <w:gridCol w:w="669"/>
        <w:gridCol w:w="669"/>
        <w:gridCol w:w="671"/>
        <w:gridCol w:w="669"/>
        <w:gridCol w:w="664"/>
      </w:tblGrid>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74"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2"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重複頻回･多剤服薬者等保健指導事業</w:t>
            </w:r>
          </w:p>
        </w:tc>
        <w:tc>
          <w:tcPr>
            <w:tcW w:w="1074"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重複頻回･多剤投与者に適性受診を促し、医療費の適正化を図る。</w:t>
            </w:r>
          </w:p>
          <w:p>
            <w:pPr>
              <w:pStyle w:val="0"/>
              <w:snapToGrid w:val="0"/>
              <w:spacing w:line="276" w:lineRule="auto"/>
              <w:jc w:val="both"/>
              <w:rPr>
                <w:rFonts w:hint="default"/>
              </w:rPr>
            </w:pP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重複頻回･多剤服薬者等の抽出を行い、該当者には適切な受療を促し、適宜、治療や服薬に関する相談や保健指導を行う。</w:t>
            </w:r>
          </w:p>
        </w:tc>
        <w:tc>
          <w:tcPr>
            <w:tcW w:w="712"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2503"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503"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事業の予算化･交付金申請事務</w:t>
            </w:r>
          </w:p>
          <w:p>
            <w:pPr>
              <w:pStyle w:val="0"/>
              <w:jc w:val="both"/>
              <w:rPr>
                <w:rFonts w:hint="default"/>
              </w:rPr>
            </w:pPr>
            <w:r>
              <w:rPr>
                <w:rFonts w:hint="eastAsia"/>
              </w:rPr>
              <w:t>実施要領の策定</w:t>
            </w:r>
          </w:p>
          <w:p>
            <w:pPr>
              <w:pStyle w:val="0"/>
              <w:jc w:val="both"/>
              <w:rPr>
                <w:rFonts w:hint="default"/>
              </w:rPr>
            </w:pPr>
            <w:r>
              <w:rPr>
                <w:rFonts w:hint="eastAsia"/>
              </w:rPr>
              <w:t>事業運営のための担当職員の配置</w:t>
            </w:r>
          </w:p>
          <w:p>
            <w:pPr>
              <w:pStyle w:val="0"/>
              <w:jc w:val="both"/>
              <w:rPr>
                <w:rFonts w:hint="default"/>
              </w:rPr>
            </w:pPr>
            <w:r>
              <w:rPr>
                <w:rFonts w:hint="eastAsia"/>
              </w:rPr>
              <w:t>関係機関への事業周知･説明の実施</w:t>
            </w:r>
          </w:p>
          <w:p>
            <w:pPr>
              <w:pStyle w:val="0"/>
              <w:jc w:val="both"/>
              <w:rPr>
                <w:rFonts w:hint="default"/>
              </w:rPr>
            </w:pPr>
            <w:r>
              <w:rPr>
                <w:rFonts w:hint="eastAsia"/>
              </w:rPr>
              <w:t>業務内容や実施方法の検討会の開催</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jc w:val="both"/>
              <w:rPr>
                <w:rFonts w:hint="default"/>
              </w:rPr>
            </w:pPr>
            <w:r>
              <w:rPr>
                <w:rFonts w:hint="eastAsia"/>
              </w:rPr>
              <w:t>医師会への事業協力依頼</w:t>
            </w:r>
          </w:p>
          <w:p>
            <w:pPr>
              <w:pStyle w:val="0"/>
              <w:jc w:val="both"/>
              <w:rPr>
                <w:rFonts w:hint="default"/>
              </w:rPr>
            </w:pPr>
            <w:r>
              <w:rPr>
                <w:rFonts w:hint="eastAsia"/>
              </w:rPr>
              <w:t>通知資材の工夫</w:t>
            </w:r>
            <w:r>
              <w:rPr>
                <w:rFonts w:hint="eastAsia"/>
              </w:rPr>
              <w:t>(</w:t>
            </w:r>
            <w:r>
              <w:rPr>
                <w:rFonts w:hint="eastAsia"/>
              </w:rPr>
              <w:t>見直し</w:t>
            </w:r>
            <w:r>
              <w:rPr>
                <w:rFonts w:hint="eastAsia"/>
              </w:rPr>
              <w:t>)</w:t>
            </w:r>
          </w:p>
          <w:p>
            <w:pPr>
              <w:pStyle w:val="0"/>
              <w:jc w:val="both"/>
              <w:rPr>
                <w:rFonts w:hint="default"/>
              </w:rPr>
            </w:pPr>
            <w:r>
              <w:rPr>
                <w:rFonts w:hint="eastAsia"/>
              </w:rPr>
              <w:t>通知後の面接･訪問実施</w:t>
            </w:r>
          </w:p>
          <w:p>
            <w:pPr>
              <w:pStyle w:val="0"/>
              <w:jc w:val="both"/>
              <w:rPr>
                <w:rFonts w:hint="default"/>
              </w:rPr>
            </w:pPr>
            <w:r>
              <w:rPr>
                <w:rFonts w:hint="eastAsia"/>
              </w:rPr>
              <w:t>参加者アンケートの実施</w:t>
            </w: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7"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sz w:val="14"/>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5</w:t>
            </w:r>
            <w:r>
              <w:rPr>
                <w:rFonts w:hint="eastAsia"/>
                <w:b w:val="1"/>
              </w:rPr>
              <w:t>年度</w:t>
            </w:r>
          </w:p>
        </w:tc>
        <w:tc>
          <w:tcPr>
            <w:tcW w:w="3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選定された対象者への指導割合</w:t>
            </w:r>
          </w:p>
        </w:tc>
        <w:tc>
          <w:tcPr>
            <w:tcW w:w="717" w:type="pct"/>
            <w:gridSpan w:val="2"/>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　　未実施</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5"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17" w:type="pct"/>
            <w:gridSpan w:val="2"/>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center"/>
              <w:rPr>
                <w:rFonts w:hint="default"/>
              </w:rPr>
            </w:pPr>
            <w:r>
              <w:rPr>
                <w:rFonts w:hint="default"/>
              </w:rPr>
              <w:t>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center"/>
              <w:rPr>
                <w:rFonts w:hint="default"/>
              </w:rPr>
            </w:pPr>
            <w:r>
              <w:rPr>
                <w:rFonts w:hint="default"/>
              </w:rPr>
              <w:t>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center"/>
              <w:rPr>
                <w:rFonts w:hint="default"/>
              </w:rPr>
            </w:pPr>
            <w:r>
              <w:rPr>
                <w:rFonts w:hint="default"/>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center"/>
              <w:rPr>
                <w:rFonts w:hint="default"/>
              </w:rPr>
            </w:pPr>
            <w:r>
              <w:rPr>
                <w:rFonts w:hint="default"/>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center"/>
              <w:rPr>
                <w:rFonts w:hint="default"/>
              </w:rPr>
            </w:pPr>
            <w:r>
              <w:rPr>
                <w:rFonts w:hint="default"/>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snapToGrid w:val="0"/>
              <w:spacing w:line="276" w:lineRule="auto"/>
              <w:jc w:val="center"/>
              <w:rPr>
                <w:rFonts w:hint="default"/>
              </w:rPr>
            </w:pPr>
            <w:r>
              <w:rPr>
                <w:rFonts w:hint="default"/>
              </w:rPr>
              <w:t>100%</w:t>
            </w:r>
          </w:p>
        </w:tc>
        <w:tc>
          <w:tcPr>
            <w:tcW w:w="355"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アウトカム</w:t>
            </w:r>
          </w:p>
        </w:tc>
      </w:tr>
      <w:tr>
        <w:trPr>
          <w:trHeight w:val="30" w:hRule="atLeast"/>
        </w:trPr>
        <w:tc>
          <w:tcPr>
            <w:tcW w:w="1727"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41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sz w:val="14"/>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5</w:t>
            </w:r>
            <w:r>
              <w:rPr>
                <w:rFonts w:hint="eastAsia"/>
                <w:b w:val="1"/>
              </w:rPr>
              <w:t>年度</w:t>
            </w:r>
          </w:p>
        </w:tc>
        <w:tc>
          <w:tcPr>
            <w:tcW w:w="3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sz w:val="14"/>
              </w:rPr>
            </w:pPr>
            <w:r>
              <w:rPr>
                <w:rFonts w:hint="eastAsia"/>
                <w:b w:val="1"/>
                <w:sz w:val="14"/>
              </w:rPr>
              <w:t>評価</w:t>
            </w:r>
          </w:p>
        </w:tc>
      </w:tr>
      <w:tr>
        <w:trPr>
          <w:trHeight w:val="20" w:hRule="atLeast"/>
        </w:trPr>
        <w:tc>
          <w:tcPr>
            <w:tcW w:w="1727" w:type="pct"/>
            <w:gridSpan w:val="2"/>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重複処方該当者数（対被保険者</w:t>
            </w:r>
            <w:r>
              <w:rPr>
                <w:rFonts w:hint="eastAsia"/>
              </w:rPr>
              <w:t>1</w:t>
            </w:r>
            <w:r>
              <w:rPr>
                <w:rFonts w:hint="eastAsia"/>
              </w:rPr>
              <w:t>万人）</w:t>
            </w:r>
          </w:p>
        </w:tc>
        <w:tc>
          <w:tcPr>
            <w:tcW w:w="41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68</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60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40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20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50</w:t>
            </w:r>
          </w:p>
        </w:tc>
        <w:tc>
          <w:tcPr>
            <w:tcW w:w="355"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D</w:t>
            </w:r>
          </w:p>
        </w:tc>
      </w:tr>
      <w:tr>
        <w:trPr>
          <w:trHeight w:val="20" w:hRule="atLeast"/>
        </w:trPr>
        <w:tc>
          <w:tcPr>
            <w:tcW w:w="1727" w:type="pct"/>
            <w:gridSpan w:val="2"/>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41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68</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44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51</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57</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c>
          <w:tcPr>
            <w:tcW w:w="355"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22" w:hRule="atLeast"/>
        </w:trPr>
        <w:tc>
          <w:tcPr>
            <w:tcW w:w="1727" w:type="pct"/>
            <w:gridSpan w:val="2"/>
            <w:vMerge w:val="restart"/>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多剤処方該当者数（対被保険者</w:t>
            </w:r>
            <w:r>
              <w:rPr>
                <w:rFonts w:hint="eastAsia"/>
              </w:rPr>
              <w:t>1</w:t>
            </w:r>
            <w:r>
              <w:rPr>
                <w:rFonts w:hint="eastAsia"/>
              </w:rPr>
              <w:t>万人）</w:t>
            </w:r>
          </w:p>
        </w:tc>
        <w:tc>
          <w:tcPr>
            <w:tcW w:w="419" w:type="pct"/>
            <w:vMerge w:val="restart"/>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84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70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30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10</w:t>
            </w:r>
          </w:p>
        </w:tc>
        <w:tc>
          <w:tcPr>
            <w:tcW w:w="355" w:type="pct"/>
            <w:vMerge w:val="restart"/>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　</w:t>
            </w:r>
            <w:r>
              <w:rPr>
                <w:rFonts w:hint="eastAsia"/>
              </w:rPr>
              <w:t xml:space="preserve"> D</w:t>
            </w:r>
          </w:p>
        </w:tc>
      </w:tr>
      <w:tr>
        <w:trPr>
          <w:trHeight w:val="294" w:hRule="atLeast"/>
        </w:trPr>
        <w:tc>
          <w:tcPr>
            <w:tcW w:w="1727" w:type="pct"/>
            <w:gridSpan w:val="2"/>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41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84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58</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67</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r>
              <w:rPr>
                <w:rFonts w:hint="eastAsia"/>
              </w:rPr>
              <w:t>17</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p>
        </w:tc>
        <w:tc>
          <w:tcPr>
            <w:tcW w:w="355" w:type="pct"/>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503"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20" w:hRule="atLeast"/>
        </w:trPr>
        <w:tc>
          <w:tcPr>
            <w:tcW w:w="2503"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必要性の高いものには、対面での保健指導を実施できているが、対象者全員へのアプローチが不十分である。</w:t>
            </w:r>
          </w:p>
        </w:tc>
        <w:tc>
          <w:tcPr>
            <w:tcW w:w="2497"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人員不足により十分に着手できず、対象者の把握にとどまっている。</w:t>
            </w:r>
          </w:p>
        </w:tc>
      </w:tr>
      <w:tr>
        <w:trPr>
          <w:trHeight w:val="20"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134" w:hRule="atLeast"/>
        </w:trPr>
        <w:tc>
          <w:tcPr>
            <w:tcW w:w="5000" w:type="pct"/>
            <w:gridSpan w:val="11"/>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rPr>
                <w:rFonts w:hint="default"/>
              </w:rPr>
            </w:pPr>
            <w:r>
              <w:rPr>
                <w:rFonts w:hint="eastAsia"/>
              </w:rPr>
              <w:t>第</w:t>
            </w:r>
            <w:r>
              <w:rPr>
                <w:rFonts w:hint="eastAsia"/>
              </w:rPr>
              <w:t>3</w:t>
            </w:r>
            <w:r>
              <w:rPr>
                <w:rFonts w:hint="eastAsia"/>
              </w:rPr>
              <w:t>期計画では、本事業を外部委託し、対象者抽出にもとづき、通知や対面により保健指導を行う。</w:t>
            </w:r>
          </w:p>
        </w:tc>
      </w:tr>
    </w:tbl>
    <w:p>
      <w:pPr>
        <w:pStyle w:val="0"/>
        <w:rPr>
          <w:rFonts w:hint="default"/>
        </w:rPr>
      </w:pPr>
    </w:p>
    <w:p>
      <w:pPr>
        <w:pStyle w:val="0"/>
        <w:rPr>
          <w:rFonts w:hint="default"/>
        </w:rPr>
      </w:pPr>
      <w:r>
        <w:rPr>
          <w:rFonts w:hint="default"/>
        </w:rPr>
        <w:br w:type="page"/>
      </w:r>
    </w:p>
    <w:tbl>
      <w:tblPr>
        <w:tblStyle w:val="172"/>
        <w:tblW w:w="5000" w:type="pct"/>
        <w:tblInd w:w="0" w:type="dxa"/>
        <w:tblLayout w:type="fixed"/>
        <w:tblLook w:firstRow="1" w:lastRow="0" w:firstColumn="1" w:lastColumn="0" w:noHBand="0" w:noVBand="1" w:val="04A0"/>
      </w:tblPr>
      <w:tblGrid>
        <w:gridCol w:w="2680"/>
        <w:gridCol w:w="1344"/>
        <w:gridCol w:w="669"/>
        <w:gridCol w:w="669"/>
        <w:gridCol w:w="669"/>
        <w:gridCol w:w="669"/>
        <w:gridCol w:w="669"/>
        <w:gridCol w:w="671"/>
        <w:gridCol w:w="669"/>
        <w:gridCol w:w="666"/>
      </w:tblGrid>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事業タイトル</w:t>
            </w:r>
          </w:p>
        </w:tc>
        <w:tc>
          <w:tcPr>
            <w:tcW w:w="107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事業目標</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事業概要</w:t>
            </w:r>
          </w:p>
        </w:tc>
        <w:tc>
          <w:tcPr>
            <w:tcW w:w="71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事業評価</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ジェネリック差額通知事業</w:t>
            </w:r>
          </w:p>
        </w:tc>
        <w:tc>
          <w:tcPr>
            <w:tcW w:w="107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ジェネリック医薬品への切替率を上げ、医療費の抑制を図る。</w:t>
            </w:r>
          </w:p>
        </w:tc>
        <w:tc>
          <w:tcPr>
            <w:tcW w:w="1785"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後発医薬品の利用促進について広く広報等で周知をし、該当者にジェネリック差額通知をし、ジェネリック医薬費への切替率を上げる。</w:t>
            </w:r>
          </w:p>
        </w:tc>
        <w:tc>
          <w:tcPr>
            <w:tcW w:w="713"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　　　</w:t>
            </w:r>
            <w:r>
              <w:rPr>
                <w:rFonts w:hint="eastAsia"/>
              </w:rPr>
              <w:t>B</w:t>
            </w: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ストラクチャー</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プロセス</w:t>
            </w: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事業運営のための担当職員の配置：</w:t>
            </w:r>
            <w:r>
              <w:rPr>
                <w:rFonts w:hint="eastAsia"/>
              </w:rPr>
              <w:t>100%</w:t>
            </w:r>
          </w:p>
          <w:p>
            <w:pPr>
              <w:pStyle w:val="0"/>
              <w:rPr>
                <w:rFonts w:hint="default"/>
              </w:rPr>
            </w:pPr>
            <w:r>
              <w:rPr>
                <w:rFonts w:hint="eastAsia"/>
              </w:rPr>
              <w:t>関係機関への事業周知･説明の実施：</w:t>
            </w:r>
            <w:r>
              <w:rPr>
                <w:rFonts w:hint="eastAsia"/>
              </w:rPr>
              <w:t>100%</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業務内容や実施方法の検討会の開催：年</w:t>
            </w:r>
            <w:r>
              <w:rPr>
                <w:rFonts w:hint="eastAsia"/>
              </w:rPr>
              <w:t>1</w:t>
            </w:r>
            <w:r>
              <w:rPr>
                <w:rFonts w:hint="eastAsia"/>
              </w:rPr>
              <w:t>回以上実施</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アウトプット</w:t>
            </w:r>
          </w:p>
        </w:tc>
      </w:tr>
      <w:tr>
        <w:trPr>
          <w:trHeight w:val="2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sz w:val="14"/>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5</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rPr>
            </w:pPr>
            <w:r>
              <w:rPr>
                <w:rFonts w:hint="eastAsia"/>
                <w:b w:val="1"/>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ジェネリック差額通知率</w:t>
            </w:r>
          </w:p>
        </w:tc>
        <w:tc>
          <w:tcPr>
            <w:tcW w:w="71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firstLine="160" w:firstLineChars="100"/>
              <w:rPr>
                <w:rFonts w:hint="default"/>
              </w:rPr>
            </w:pPr>
            <w:r>
              <w:rPr>
                <w:rFonts w:hint="eastAsia"/>
              </w:rPr>
              <w:t>100%</w:t>
            </w:r>
          </w:p>
        </w:tc>
        <w:tc>
          <w:tcPr>
            <w:tcW w:w="35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A</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71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100%</w:t>
            </w:r>
          </w:p>
        </w:tc>
        <w:tc>
          <w:tcPr>
            <w:tcW w:w="35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アウトカム</w:t>
            </w:r>
          </w:p>
        </w:tc>
      </w:tr>
      <w:tr>
        <w:trPr>
          <w:trHeight w:val="30" w:hRule="atLeast"/>
        </w:trPr>
        <w:tc>
          <w:tcPr>
            <w:tcW w:w="142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評価指標</w:t>
            </w:r>
          </w:p>
        </w:tc>
        <w:tc>
          <w:tcPr>
            <w:tcW w:w="71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開始時</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snapToGrid w:val="0"/>
              <w:spacing w:line="276" w:lineRule="auto"/>
              <w:jc w:val="center"/>
              <w:rPr>
                <w:rFonts w:hint="default"/>
                <w:b w:val="1"/>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平成</w:t>
            </w:r>
          </w:p>
          <w:p>
            <w:pPr>
              <w:pStyle w:val="0"/>
              <w:snapToGrid w:val="0"/>
              <w:spacing w:line="276" w:lineRule="auto"/>
              <w:jc w:val="center"/>
              <w:rPr>
                <w:rFonts w:hint="default"/>
                <w:b w:val="1"/>
                <w:sz w:val="14"/>
              </w:rPr>
            </w:pPr>
            <w:r>
              <w:rPr>
                <w:rFonts w:hint="default"/>
                <w:b w:val="1"/>
              </w:rPr>
              <w:t>30</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1</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2</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3</w:t>
            </w:r>
            <w:r>
              <w:rPr>
                <w:rFonts w:hint="eastAsia"/>
                <w:b w:val="1"/>
              </w:rPr>
              <w:t>年度</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4</w:t>
            </w:r>
            <w:r>
              <w:rPr>
                <w:rFonts w:hint="eastAsia"/>
                <w:b w:val="1"/>
              </w:rPr>
              <w:t>年度</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令和</w:t>
            </w:r>
          </w:p>
          <w:p>
            <w:pPr>
              <w:pStyle w:val="0"/>
              <w:snapToGrid w:val="0"/>
              <w:spacing w:line="276" w:lineRule="auto"/>
              <w:jc w:val="center"/>
              <w:rPr>
                <w:rFonts w:hint="default"/>
                <w:b w:val="1"/>
                <w:sz w:val="14"/>
              </w:rPr>
            </w:pPr>
            <w:r>
              <w:rPr>
                <w:rFonts w:hint="default"/>
                <w:b w:val="1"/>
              </w:rPr>
              <w:t>5</w:t>
            </w:r>
            <w:r>
              <w:rPr>
                <w:rFonts w:hint="eastAsia"/>
                <w:b w:val="1"/>
              </w:rPr>
              <w:t>年度</w:t>
            </w:r>
          </w:p>
        </w:tc>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指標</w:t>
            </w:r>
          </w:p>
          <w:p>
            <w:pPr>
              <w:pStyle w:val="0"/>
              <w:snapToGrid w:val="0"/>
              <w:spacing w:line="276" w:lineRule="auto"/>
              <w:jc w:val="center"/>
              <w:rPr>
                <w:rFonts w:hint="default"/>
                <w:b w:val="1"/>
                <w:sz w:val="14"/>
              </w:rPr>
            </w:pPr>
            <w:r>
              <w:rPr>
                <w:rFonts w:hint="eastAsia"/>
                <w:b w:val="1"/>
                <w:sz w:val="14"/>
              </w:rPr>
              <w:t>評価</w:t>
            </w:r>
          </w:p>
        </w:tc>
      </w:tr>
      <w:tr>
        <w:trPr>
          <w:trHeight w:val="20" w:hRule="atLeast"/>
        </w:trPr>
        <w:tc>
          <w:tcPr>
            <w:tcW w:w="1429"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ジェネリック医薬品への切替率</w:t>
            </w:r>
          </w:p>
        </w:tc>
        <w:tc>
          <w:tcPr>
            <w:tcW w:w="71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75.3%</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目標値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74.5%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77.5%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79.8%</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80.3%</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81.0%</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82.0%</w:t>
            </w:r>
          </w:p>
        </w:tc>
        <w:tc>
          <w:tcPr>
            <w:tcW w:w="356" w:type="pct"/>
            <w:vMerge w:val="restart"/>
            <w:tcBorders>
              <w:top w:val="single" w:color="auto" w:sz="4"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B</w:t>
            </w:r>
          </w:p>
        </w:tc>
      </w:tr>
      <w:tr>
        <w:trPr>
          <w:trHeight w:val="20" w:hRule="atLeast"/>
        </w:trPr>
        <w:tc>
          <w:tcPr>
            <w:tcW w:w="1429"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71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ind w:left="-100" w:right="-100"/>
              <w:jc w:val="center"/>
              <w:rPr>
                <w:rFonts w:hint="default"/>
                <w:b w:val="1"/>
              </w:rPr>
            </w:pPr>
            <w:r>
              <w:rPr>
                <w:rFonts w:hint="eastAsia"/>
                <w:b w:val="1"/>
              </w:rPr>
              <w:t>実績値</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75.7%</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78.7%</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80.4%</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80.7%</w:t>
            </w:r>
          </w:p>
        </w:tc>
        <w:tc>
          <w:tcPr>
            <w:tcW w:w="35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80.5%</w:t>
            </w:r>
          </w:p>
        </w:tc>
        <w:tc>
          <w:tcPr>
            <w:tcW w:w="35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center"/>
              <w:rPr>
                <w:rFonts w:hint="default"/>
              </w:rPr>
            </w:pPr>
            <w:r>
              <w:rPr>
                <w:rFonts w:hint="eastAsia"/>
              </w:rPr>
              <w:t>81.0%</w:t>
            </w:r>
            <w:r>
              <w:rPr>
                <w:rFonts w:hint="eastAsia"/>
              </w:rPr>
              <w:t>（見込値）</w:t>
            </w:r>
          </w:p>
        </w:tc>
        <w:tc>
          <w:tcPr>
            <w:tcW w:w="356" w:type="pct"/>
            <w:vMerge w:val="continue"/>
            <w:tcBorders>
              <w:top w:val="none" w:color="auto" w:sz="0"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成功・促進要因</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振り返り</w:t>
            </w:r>
            <w:r>
              <w:rPr>
                <w:rFonts w:hint="eastAsia"/>
                <w:b w:val="1"/>
              </w:rPr>
              <w:t xml:space="preserve"> </w:t>
            </w:r>
            <w:r>
              <w:rPr>
                <w:rFonts w:hint="eastAsia"/>
                <w:b w:val="1"/>
              </w:rPr>
              <w:t>課題・阻害要因</w:t>
            </w:r>
          </w:p>
        </w:tc>
      </w:tr>
      <w:tr>
        <w:trPr>
          <w:trHeight w:val="20" w:hRule="atLeast"/>
        </w:trPr>
        <w:tc>
          <w:tcPr>
            <w:tcW w:w="2502"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ジェネリック差額通知率</w:t>
            </w:r>
            <w:r>
              <w:rPr>
                <w:rFonts w:hint="eastAsia"/>
              </w:rPr>
              <w:t>100%</w:t>
            </w:r>
            <w:r>
              <w:rPr>
                <w:rFonts w:hint="eastAsia"/>
              </w:rPr>
              <w:t>で、被保険者への意識づけができ、切替促進効果がみられる。</w:t>
            </w:r>
          </w:p>
        </w:tc>
        <w:tc>
          <w:tcPr>
            <w:tcW w:w="2498" w:type="pct"/>
            <w:gridSpan w:val="7"/>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jc w:val="both"/>
              <w:rPr>
                <w:rFonts w:hint="default"/>
              </w:rPr>
            </w:pPr>
            <w:r>
              <w:rPr>
                <w:rFonts w:hint="eastAsia"/>
              </w:rPr>
              <w:t>ジェネリック医薬品でない先発品が身体に合っていて切替困難な状況もあり、強制できない部分でもある。</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napToGrid w:val="0"/>
              <w:spacing w:line="276" w:lineRule="auto"/>
              <w:jc w:val="center"/>
              <w:rPr>
                <w:rFonts w:hint="default"/>
                <w:b w:val="1"/>
              </w:rPr>
            </w:pPr>
            <w:r>
              <w:rPr>
                <w:rFonts w:hint="eastAsia"/>
                <w:b w:val="1"/>
              </w:rPr>
              <w:t>第</w:t>
            </w:r>
            <w:r>
              <w:rPr>
                <w:rFonts w:hint="eastAsia"/>
                <w:b w:val="1"/>
              </w:rPr>
              <w:t>3</w:t>
            </w:r>
            <w:r>
              <w:rPr>
                <w:rFonts w:hint="eastAsia"/>
                <w:b w:val="1"/>
              </w:rPr>
              <w:t>期計画への考察及び補足事項</w:t>
            </w:r>
          </w:p>
        </w:tc>
      </w:tr>
      <w:tr>
        <w:trPr>
          <w:trHeight w:val="20" w:hRule="atLeast"/>
        </w:trPr>
        <w:tc>
          <w:tcPr>
            <w:tcW w:w="5000" w:type="pct"/>
            <w:gridSpan w:val="10"/>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snapToGrid w:val="0"/>
              <w:spacing w:line="276" w:lineRule="auto"/>
              <w:rPr>
                <w:rFonts w:hint="default"/>
              </w:rPr>
            </w:pPr>
            <w:r>
              <w:rPr>
                <w:rFonts w:hint="eastAsia"/>
              </w:rPr>
              <w:t>第</w:t>
            </w:r>
            <w:r>
              <w:rPr>
                <w:rFonts w:hint="eastAsia"/>
              </w:rPr>
              <w:t>3</w:t>
            </w:r>
            <w:r>
              <w:rPr>
                <w:rFonts w:hint="eastAsia"/>
              </w:rPr>
              <w:t>期計画では、引き続きジェネリック医薬品希望のシールの配布や、レフィル処方のパンフレットの配布などを行い、医療費の抑制に努める。</w:t>
            </w:r>
          </w:p>
        </w:tc>
      </w:tr>
    </w:tbl>
    <w:p>
      <w:pPr>
        <w:pStyle w:val="0"/>
        <w:rPr>
          <w:rFonts w:hint="default"/>
        </w:rPr>
      </w:pPr>
    </w:p>
    <w:p>
      <w:pPr>
        <w:pStyle w:val="0"/>
        <w:rPr>
          <w:rFonts w:hint="default"/>
        </w:rPr>
      </w:pPr>
    </w:p>
    <w:p>
      <w:pPr>
        <w:pStyle w:val="0"/>
        <w:rPr>
          <w:rFonts w:hint="default"/>
        </w:rPr>
      </w:pPr>
    </w:p>
    <w:p>
      <w:pPr>
        <w:pStyle w:val="0"/>
        <w:rPr>
          <w:rFonts w:hint="default"/>
          <w:sz w:val="24"/>
        </w:rPr>
      </w:pPr>
      <w:r>
        <w:rPr>
          <w:rFonts w:hint="default"/>
        </w:rPr>
        <w:br w:type="page"/>
      </w:r>
    </w:p>
    <w:p>
      <w:pPr>
        <w:pStyle w:val="2"/>
        <w:rPr>
          <w:rFonts w:hint="default"/>
        </w:rPr>
      </w:pPr>
      <w:bookmarkStart w:id="194" w:name="_Toc162548716"/>
      <w:r>
        <w:rPr>
          <w:rFonts w:hint="default"/>
        </w:rPr>
        <w:t>保険者努力支援制度</w:t>
      </w:r>
      <w:r>
        <w:rPr>
          <w:rFonts w:hint="eastAsia"/>
        </w:rPr>
        <w:t>の活用</w:t>
      </w:r>
      <w:bookmarkEnd w:id="194"/>
    </w:p>
    <w:p>
      <w:pPr>
        <w:pStyle w:val="3"/>
        <w:rPr>
          <w:rFonts w:hint="default"/>
        </w:rPr>
      </w:pPr>
      <w:bookmarkStart w:id="195" w:name="_Toc162548717"/>
      <w:r>
        <w:rPr>
          <w:rFonts w:hint="default"/>
        </w:rPr>
        <w:t>保険者努力支援制度の得点状況</w:t>
      </w:r>
      <w:bookmarkEnd w:id="195"/>
    </w:p>
    <w:p>
      <w:pPr>
        <w:pStyle w:val="39"/>
        <w:ind w:firstLine="200"/>
        <w:rPr>
          <w:rFonts w:hint="default"/>
        </w:rPr>
      </w:pPr>
      <w:r>
        <w:rPr>
          <w:rFonts w:hint="default"/>
        </w:rPr>
        <w:t>国民健康保険の保険者努力支援制度は、保険者の取組状況に応じて交付金を交付する制度であり、計画に基づく保健事業の実施及び計画策定に係る費用の一部に対して助成がなされる。八街市においても、同制度を有効に活用しながら、より質の高い保健事業に取組めるように計画の策定をすすめる。</w:t>
      </w:r>
    </w:p>
    <w:p>
      <w:pPr>
        <w:pStyle w:val="39"/>
        <w:ind w:firstLine="200"/>
        <w:rPr>
          <w:rFonts w:hint="default"/>
        </w:rPr>
      </w:pPr>
      <w:r>
        <w:rPr>
          <w:rFonts w:hint="eastAsia"/>
        </w:rPr>
        <w:t>令和</w:t>
      </w:r>
      <w:r>
        <w:rPr>
          <w:rFonts w:hint="eastAsia"/>
        </w:rPr>
        <w:t>5</w:t>
      </w:r>
      <w:r>
        <w:rPr>
          <w:rFonts w:hint="eastAsia"/>
        </w:rPr>
        <w:t>年度の</w:t>
      </w:r>
      <w:r>
        <w:rPr>
          <w:rFonts w:hint="default"/>
        </w:rPr>
        <w:t>得点状況（</w:t>
      </w:r>
      <w:r>
        <w:rPr>
          <w:rFonts w:hint="eastAsia"/>
        </w:rPr>
        <w:fldChar w:fldCharType="begin"/>
      </w:r>
      <w:r>
        <w:rPr>
          <w:rFonts w:hint="eastAsia"/>
        </w:rPr>
        <w:instrText xml:space="preserve">REF _Ref122518615 \h </w:instrText>
      </w:r>
      <w:r>
        <w:rPr>
          <w:rFonts w:hint="eastAsia"/>
        </w:rPr>
        <w:fldChar w:fldCharType="separate"/>
      </w:r>
      <w:r>
        <w:rPr>
          <w:rFonts w:hint="default"/>
        </w:rPr>
        <w:t>図表</w:t>
      </w:r>
      <w:r>
        <w:rPr>
          <w:rFonts w:hint="default"/>
        </w:rPr>
        <w:t>3</w:t>
      </w:r>
      <w:r>
        <w:rPr>
          <w:rFonts w:hint="eastAsia"/>
        </w:rPr>
        <w:t>-</w:t>
      </w:r>
      <w:r>
        <w:rPr>
          <w:rFonts w:hint="default"/>
        </w:rPr>
        <w:t>6</w:t>
      </w:r>
      <w:r>
        <w:rPr>
          <w:rFonts w:hint="eastAsia"/>
        </w:rPr>
        <w:t>-</w:t>
      </w:r>
      <w:r>
        <w:rPr>
          <w:rFonts w:hint="default"/>
        </w:rPr>
        <w:t>1</w:t>
      </w:r>
      <w:r>
        <w:rPr>
          <w:rFonts w:hint="eastAsia"/>
        </w:rPr>
        <w:t>-</w:t>
      </w:r>
      <w:r>
        <w:rPr>
          <w:rFonts w:hint="default"/>
        </w:rPr>
        <w:t>1</w:t>
      </w:r>
      <w:r>
        <w:rPr>
          <w:rFonts w:hint="eastAsia"/>
        </w:rPr>
        <w:fldChar w:fldCharType="end"/>
      </w:r>
      <w:r>
        <w:rPr>
          <w:rFonts w:hint="default"/>
        </w:rPr>
        <w:t>）をみると、合計点数は</w:t>
      </w:r>
      <w:r>
        <w:rPr>
          <w:rFonts w:hint="default"/>
        </w:rPr>
        <w:t>511</w:t>
      </w:r>
      <w:r>
        <w:rPr>
          <w:rFonts w:hint="default"/>
        </w:rPr>
        <w:t>で、達成割合は</w:t>
      </w:r>
      <w:r>
        <w:rPr>
          <w:rFonts w:hint="default"/>
        </w:rPr>
        <w:t>54.4%</w:t>
      </w:r>
      <w:r>
        <w:rPr>
          <w:rFonts w:hint="default"/>
        </w:rPr>
        <w:t>となっており、全国順位は第</w:t>
      </w:r>
      <w:r>
        <w:rPr>
          <w:rFonts w:hint="default"/>
        </w:rPr>
        <w:t>1,161</w:t>
      </w:r>
      <w:r>
        <w:rPr>
          <w:rFonts w:hint="default"/>
        </w:rPr>
        <w:t>位となっている。</w:t>
      </w:r>
    </w:p>
    <w:p>
      <w:pPr>
        <w:pStyle w:val="39"/>
        <w:ind w:firstLine="200"/>
        <w:rPr>
          <w:rFonts w:hint="default"/>
        </w:rPr>
      </w:pPr>
      <w:r>
        <w:rPr>
          <w:rFonts w:hint="eastAsia"/>
        </w:rPr>
        <w:t>項目別にみると、</w:t>
      </w:r>
      <w:r>
        <w:rPr>
          <w:rFonts w:hint="default"/>
        </w:rPr>
        <w:t>いずれの項目もプラスとなっている一方</w:t>
      </w:r>
      <w:r>
        <w:rPr>
          <w:rFonts w:hint="eastAsia"/>
        </w:rPr>
        <w:t>、</w:t>
      </w:r>
      <w:r>
        <w:rPr>
          <w:rFonts w:hint="default"/>
        </w:rPr>
        <w:t>国平均と比較して「特定健診・特定保健指導・メタボ」「個人インセンティブ・情報提供」「後発医薬品促進の取組・使用割合」「収納率」「地域包括ケア・一体的実施」「第三者求償」の得点が低く、県</w:t>
      </w:r>
      <w:r>
        <w:rPr>
          <w:rFonts w:hint="eastAsia"/>
        </w:rPr>
        <w:t>平均</w:t>
      </w:r>
      <w:r>
        <w:rPr>
          <w:rFonts w:hint="default"/>
        </w:rPr>
        <w:t>と比較して「個人インセンティブ・情報提供」「後発医薬品促進の取組・使用割合」「収納率」「第三者求償」の得点が低い。</w:t>
      </w:r>
    </w:p>
    <w:p>
      <w:pPr>
        <w:pStyle w:val="0"/>
        <w:rPr>
          <w:rFonts w:hint="default"/>
        </w:rPr>
      </w:pPr>
    </w:p>
    <w:p>
      <w:pPr>
        <w:pStyle w:val="38"/>
        <w:rPr>
          <w:rFonts w:hint="default"/>
        </w:rPr>
      </w:pPr>
      <w:bookmarkStart w:id="196" w:name="_Ref122518615"/>
      <w:bookmarkStart w:id="197" w:name="_Toc124936815"/>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6</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196"/>
      <w:r>
        <w:rPr>
          <w:rFonts w:hint="default"/>
        </w:rPr>
        <w:t>：保険者努力支援制度の得点状況</w:t>
      </w:r>
      <w:bookmarkEnd w:id="197"/>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518"/>
        <w:gridCol w:w="2856"/>
        <w:gridCol w:w="857"/>
        <w:gridCol w:w="857"/>
        <w:gridCol w:w="857"/>
        <w:gridCol w:w="857"/>
        <w:gridCol w:w="857"/>
        <w:gridCol w:w="857"/>
        <w:gridCol w:w="859"/>
      </w:tblGrid>
      <w:tr>
        <w:trPr>
          <w:trHeight w:val="20" w:hRule="atLeast"/>
        </w:trPr>
        <w:tc>
          <w:tcPr>
            <w:tcW w:w="1799" w:type="pct"/>
            <w:gridSpan w:val="2"/>
            <w:vMerge w:val="restart"/>
            <w:shd w:val="clear" w:color="auto" w:fill="CCD6FF"/>
            <w:tcMar>
              <w:top w:w="28" w:type="dxa"/>
              <w:left w:w="28" w:type="dxa"/>
              <w:bottom w:w="28" w:type="dxa"/>
              <w:right w:w="28" w:type="dxa"/>
            </w:tcMar>
            <w:vAlign w:val="center"/>
          </w:tcPr>
          <w:p>
            <w:pPr>
              <w:pStyle w:val="0"/>
              <w:rPr>
                <w:rFonts w:hint="default"/>
              </w:rPr>
            </w:pPr>
          </w:p>
        </w:tc>
        <w:tc>
          <w:tcPr>
            <w:tcW w:w="457"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令和</w:t>
            </w:r>
          </w:p>
          <w:p>
            <w:pPr>
              <w:pStyle w:val="0"/>
              <w:jc w:val="center"/>
              <w:rPr>
                <w:rFonts w:hint="default"/>
                <w:b w:val="1"/>
              </w:rPr>
            </w:pPr>
            <w:r>
              <w:rPr>
                <w:rFonts w:hint="eastAsia"/>
                <w:b w:val="1"/>
              </w:rPr>
              <w:t>1</w:t>
            </w:r>
            <w:r>
              <w:rPr>
                <w:rFonts w:hint="eastAsia"/>
                <w:b w:val="1"/>
              </w:rPr>
              <w:t>年度</w:t>
            </w:r>
          </w:p>
        </w:tc>
        <w:tc>
          <w:tcPr>
            <w:tcW w:w="457"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p>
          <w:p>
            <w:pPr>
              <w:pStyle w:val="0"/>
              <w:jc w:val="center"/>
              <w:rPr>
                <w:rFonts w:hint="default"/>
                <w:b w:val="1"/>
              </w:rPr>
            </w:pPr>
            <w:r>
              <w:rPr>
                <w:rFonts w:hint="eastAsia"/>
                <w:b w:val="1"/>
              </w:rPr>
              <w:t>2</w:t>
            </w:r>
            <w:r>
              <w:rPr>
                <w:rFonts w:hint="default"/>
                <w:b w:val="1"/>
              </w:rPr>
              <w:t>年度</w:t>
            </w:r>
          </w:p>
        </w:tc>
        <w:tc>
          <w:tcPr>
            <w:tcW w:w="457"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p>
          <w:p>
            <w:pPr>
              <w:pStyle w:val="0"/>
              <w:jc w:val="center"/>
              <w:rPr>
                <w:rFonts w:hint="default"/>
                <w:b w:val="1"/>
              </w:rPr>
            </w:pPr>
            <w:r>
              <w:rPr>
                <w:rFonts w:hint="eastAsia"/>
                <w:b w:val="1"/>
              </w:rPr>
              <w:t>3</w:t>
            </w:r>
            <w:r>
              <w:rPr>
                <w:rFonts w:hint="default"/>
                <w:b w:val="1"/>
              </w:rPr>
              <w:t>年度</w:t>
            </w:r>
          </w:p>
        </w:tc>
        <w:tc>
          <w:tcPr>
            <w:tcW w:w="457"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p>
          <w:p>
            <w:pPr>
              <w:pStyle w:val="0"/>
              <w:jc w:val="center"/>
              <w:rPr>
                <w:rFonts w:hint="default"/>
                <w:b w:val="1"/>
              </w:rPr>
            </w:pPr>
            <w:r>
              <w:rPr>
                <w:rFonts w:hint="eastAsia"/>
                <w:b w:val="1"/>
              </w:rPr>
              <w:t>4</w:t>
            </w:r>
            <w:r>
              <w:rPr>
                <w:rFonts w:hint="default"/>
                <w:b w:val="1"/>
              </w:rPr>
              <w:t>年度</w:t>
            </w:r>
          </w:p>
        </w:tc>
        <w:tc>
          <w:tcPr>
            <w:tcW w:w="1372" w:type="pct"/>
            <w:gridSpan w:val="3"/>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eastAsia"/>
                <w:b w:val="1"/>
              </w:rPr>
              <w:t>5</w:t>
            </w:r>
            <w:r>
              <w:rPr>
                <w:rFonts w:hint="default"/>
                <w:b w:val="1"/>
              </w:rPr>
              <w:t>年度</w:t>
            </w:r>
          </w:p>
        </w:tc>
      </w:tr>
      <w:tr>
        <w:trPr>
          <w:trHeight w:val="20" w:hRule="atLeast"/>
        </w:trPr>
        <w:tc>
          <w:tcPr>
            <w:tcW w:w="1799" w:type="pct"/>
            <w:gridSpan w:val="2"/>
            <w:vMerge w:val="continue"/>
            <w:tcBorders>
              <w:top w:val="none" w:color="auto" w:sz="0" w:space="0"/>
              <w:left w:val="none" w:color="auto" w:sz="0"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p>
        </w:tc>
        <w:tc>
          <w:tcPr>
            <w:tcW w:w="457" w:type="pct"/>
            <w:vMerge w:val="continue"/>
            <w:tcBorders>
              <w:top w:val="none" w:color="auto" w:sz="0" w:space="0"/>
              <w:left w:val="none" w:color="auto" w:sz="0"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p>
        </w:tc>
        <w:tc>
          <w:tcPr>
            <w:tcW w:w="457" w:type="pct"/>
            <w:vMerge w:val="continue"/>
            <w:tcBorders>
              <w:top w:val="none" w:color="auto" w:sz="0" w:space="0"/>
              <w:left w:val="none" w:color="auto" w:sz="0"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p>
        </w:tc>
        <w:tc>
          <w:tcPr>
            <w:tcW w:w="457" w:type="pct"/>
            <w:vMerge w:val="continue"/>
            <w:tcBorders>
              <w:top w:val="none" w:color="auto" w:sz="0" w:space="0"/>
              <w:left w:val="none" w:color="auto" w:sz="0"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p>
        </w:tc>
        <w:tc>
          <w:tcPr>
            <w:tcW w:w="457" w:type="pct"/>
            <w:vMerge w:val="continue"/>
            <w:tcBorders>
              <w:top w:val="none" w:color="auto" w:sz="0" w:space="0"/>
              <w:left w:val="none" w:color="auto" w:sz="0"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rPr>
            </w:pP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八街市</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国</w:t>
            </w:r>
            <w:r>
              <w:rPr>
                <w:rFonts w:hint="default"/>
                <w:b w:val="1"/>
                <w:sz w:val="14"/>
              </w:rPr>
              <w:t>_</w:t>
            </w:r>
            <w:r>
              <w:rPr>
                <w:rFonts w:hint="default"/>
                <w:b w:val="1"/>
                <w:sz w:val="14"/>
              </w:rPr>
              <w:t>平均</w:t>
            </w:r>
          </w:p>
        </w:tc>
        <w:tc>
          <w:tcPr>
            <w:tcW w:w="458"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sz w:val="14"/>
              </w:rPr>
            </w:pPr>
            <w:r>
              <w:rPr>
                <w:rFonts w:hint="default"/>
                <w:b w:val="1"/>
                <w:sz w:val="14"/>
              </w:rPr>
              <w:t>県</w:t>
            </w:r>
            <w:r>
              <w:rPr>
                <w:rFonts w:hint="default"/>
                <w:b w:val="1"/>
                <w:sz w:val="14"/>
              </w:rPr>
              <w:t>_</w:t>
            </w:r>
            <w:r>
              <w:rPr>
                <w:rFonts w:hint="default"/>
                <w:b w:val="1"/>
                <w:sz w:val="14"/>
              </w:rPr>
              <w:t>平均</w:t>
            </w:r>
          </w:p>
        </w:tc>
      </w:tr>
      <w:tr>
        <w:trPr>
          <w:trHeight w:val="20" w:hRule="atLeast"/>
        </w:trPr>
        <w:tc>
          <w:tcPr>
            <w:tcW w:w="276" w:type="pct"/>
            <w:vMerge w:val="restart"/>
            <w:tcBorders>
              <w:top w:val="single" w:color="auto" w:sz="18" w:space="0"/>
              <w:left w:val="single" w:color="auto" w:sz="18" w:space="0"/>
              <w:bottom w:val="none" w:color="auto" w:sz="0"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jc w:val="center"/>
              <w:rPr>
                <w:rFonts w:hint="default"/>
                <w:b w:val="1"/>
              </w:rPr>
            </w:pPr>
            <w:r>
              <w:rPr>
                <w:rFonts w:hint="eastAsia"/>
                <w:b w:val="1"/>
              </w:rPr>
              <w:t>点数</w:t>
            </w:r>
          </w:p>
        </w:tc>
        <w:tc>
          <w:tcPr>
            <w:tcW w:w="1523"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総点数（満点）</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top"/>
          </w:tcPr>
          <w:p>
            <w:pPr>
              <w:pStyle w:val="0"/>
              <w:jc w:val="center"/>
              <w:rPr>
                <w:rFonts w:hint="default"/>
                <w:b w:val="1"/>
              </w:rPr>
            </w:pPr>
            <w:r>
              <w:rPr>
                <w:rFonts w:hint="default"/>
                <w:b w:val="1"/>
              </w:rPr>
              <w:t>880</w:t>
            </w:r>
            <w:r>
              <w:rPr>
                <w:rFonts w:hint="default"/>
                <w:b w:val="1"/>
              </w:rPr>
              <w:t>点</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center"/>
              <w:rPr>
                <w:rFonts w:hint="default"/>
              </w:rPr>
            </w:pPr>
            <w:r>
              <w:rPr>
                <w:rFonts w:hint="default"/>
                <w:b w:val="1"/>
              </w:rPr>
              <w:t>995</w:t>
            </w:r>
            <w:r>
              <w:rPr>
                <w:rFonts w:hint="default"/>
                <w:b w:val="1"/>
              </w:rPr>
              <w:t>点</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center"/>
              <w:rPr>
                <w:rFonts w:hint="default"/>
              </w:rPr>
            </w:pPr>
            <w:r>
              <w:rPr>
                <w:rFonts w:hint="default"/>
                <w:b w:val="1"/>
              </w:rPr>
              <w:t>1000</w:t>
            </w:r>
            <w:r>
              <w:rPr>
                <w:rFonts w:hint="default"/>
                <w:b w:val="1"/>
              </w:rPr>
              <w:t>点</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center"/>
              <w:rPr>
                <w:rFonts w:hint="default"/>
              </w:rPr>
            </w:pPr>
            <w:r>
              <w:rPr>
                <w:rFonts w:hint="default"/>
                <w:b w:val="1"/>
              </w:rPr>
              <w:t>960</w:t>
            </w:r>
            <w:r>
              <w:rPr>
                <w:rFonts w:hint="default"/>
                <w:b w:val="1"/>
              </w:rPr>
              <w:t>点</w:t>
            </w:r>
          </w:p>
        </w:tc>
        <w:tc>
          <w:tcPr>
            <w:tcW w:w="1372" w:type="pct"/>
            <w:gridSpan w:val="3"/>
            <w:tcBorders>
              <w:top w:val="single" w:color="auto" w:sz="18" w:space="0"/>
              <w:left w:val="none" w:color="auto" w:sz="0" w:space="0"/>
              <w:bottom w:val="none" w:color="auto" w:sz="0" w:space="0"/>
              <w:right w:val="single" w:color="auto" w:sz="18"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center"/>
              <w:rPr>
                <w:rFonts w:hint="default"/>
              </w:rPr>
            </w:pPr>
            <w:r>
              <w:rPr>
                <w:rFonts w:hint="default"/>
                <w:b w:val="1"/>
              </w:rPr>
              <w:t>940</w:t>
            </w:r>
            <w:r>
              <w:rPr>
                <w:rFonts w:hint="default"/>
                <w:b w:val="1"/>
              </w:rPr>
              <w:t>点</w:t>
            </w:r>
          </w:p>
        </w:tc>
      </w:tr>
      <w:tr>
        <w:trPr>
          <w:trHeight w:val="20" w:hRule="atLeast"/>
        </w:trPr>
        <w:tc>
          <w:tcPr>
            <w:tcW w:w="276" w:type="pct"/>
            <w:vMerge w:val="continue"/>
            <w:tcBorders>
              <w:top w:val="none" w:color="auto" w:sz="0" w:space="0"/>
              <w:left w:val="single" w:color="auto" w:sz="18"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合計点数</w:t>
            </w:r>
          </w:p>
        </w:tc>
        <w:tc>
          <w:tcPr>
            <w:tcW w:w="457" w:type="pct"/>
            <w:tcMar>
              <w:top w:w="28" w:type="dxa"/>
              <w:left w:w="28" w:type="dxa"/>
              <w:bottom w:w="28" w:type="dxa"/>
              <w:right w:w="28" w:type="dxa"/>
            </w:tcMar>
            <w:vAlign w:val="center"/>
          </w:tcPr>
          <w:p>
            <w:pPr>
              <w:pStyle w:val="0"/>
              <w:jc w:val="right"/>
              <w:rPr>
                <w:rFonts w:hint="default"/>
              </w:rPr>
            </w:pPr>
            <w:r>
              <w:rPr>
                <w:rFonts w:hint="default"/>
              </w:rPr>
              <w:t>275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323</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394</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522</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511</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556</w:t>
            </w:r>
          </w:p>
        </w:tc>
        <w:tc>
          <w:tcPr>
            <w:tcW w:w="458" w:type="pct"/>
            <w:tcBorders>
              <w:top w:val="none" w:color="auto" w:sz="0" w:space="0"/>
              <w:left w:val="none" w:color="auto" w:sz="0" w:space="0"/>
              <w:bottom w:val="none" w:color="auto" w:sz="0" w:space="0"/>
              <w:right w:val="single" w:color="auto" w:sz="18"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485</w:t>
            </w:r>
          </w:p>
        </w:tc>
      </w:tr>
      <w:tr>
        <w:trPr>
          <w:trHeight w:val="20" w:hRule="atLeast"/>
        </w:trPr>
        <w:tc>
          <w:tcPr>
            <w:tcW w:w="276" w:type="pct"/>
            <w:vMerge w:val="continue"/>
            <w:tcBorders>
              <w:top w:val="none" w:color="auto" w:sz="0" w:space="0"/>
              <w:left w:val="single" w:color="auto" w:sz="18"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達成割合</w:t>
            </w:r>
          </w:p>
        </w:tc>
        <w:tc>
          <w:tcPr>
            <w:tcW w:w="457" w:type="pct"/>
            <w:tcMar>
              <w:top w:w="28" w:type="dxa"/>
              <w:left w:w="28" w:type="dxa"/>
              <w:bottom w:w="28" w:type="dxa"/>
              <w:right w:w="28" w:type="dxa"/>
            </w:tcMar>
            <w:vAlign w:val="center"/>
          </w:tcPr>
          <w:p>
            <w:pPr>
              <w:pStyle w:val="0"/>
              <w:jc w:val="right"/>
              <w:rPr>
                <w:rFonts w:hint="default"/>
              </w:rPr>
            </w:pPr>
            <w:r>
              <w:rPr>
                <w:rFonts w:hint="default"/>
              </w:rPr>
              <w:t>31.3%</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39.4%</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54.4%</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54.4%</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59.1%</w:t>
            </w:r>
          </w:p>
        </w:tc>
        <w:tc>
          <w:tcPr>
            <w:tcW w:w="458" w:type="pct"/>
            <w:tcBorders>
              <w:top w:val="none" w:color="auto" w:sz="0" w:space="0"/>
              <w:left w:val="none" w:color="auto" w:sz="0" w:space="0"/>
              <w:bottom w:val="none" w:color="auto" w:sz="0" w:space="0"/>
              <w:right w:val="single" w:color="auto" w:sz="18"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51.6%</w:t>
            </w:r>
          </w:p>
        </w:tc>
      </w:tr>
      <w:tr>
        <w:trPr>
          <w:trHeight w:val="40" w:hRule="atLeast"/>
        </w:trPr>
        <w:tc>
          <w:tcPr>
            <w:tcW w:w="276" w:type="pct"/>
            <w:vMerge w:val="continue"/>
            <w:tcBorders>
              <w:top w:val="none" w:color="auto" w:sz="0" w:space="0"/>
              <w:left w:val="single" w:color="auto" w:sz="18"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center"/>
              <w:rPr>
                <w:rFonts w:hint="default"/>
                <w:b w:val="1"/>
              </w:rPr>
            </w:pPr>
          </w:p>
        </w:tc>
        <w:tc>
          <w:tcPr>
            <w:tcW w:w="1523"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全国順位</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1,688</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1,676</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1,585</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1,140</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1,161</w:t>
            </w:r>
          </w:p>
        </w:tc>
        <w:tc>
          <w:tcPr>
            <w:tcW w:w="457" w:type="pct"/>
            <w:tcBorders>
              <w:top w:val="none" w:color="auto" w:sz="0" w:space="0"/>
              <w:left w:val="none" w:color="auto" w:sz="0" w:space="0"/>
              <w:bottom w:val="single" w:color="auto" w:sz="18"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458" w:type="pct"/>
            <w:tcBorders>
              <w:top w:val="none" w:color="auto" w:sz="0" w:space="0"/>
              <w:left w:val="none" w:color="auto" w:sz="0" w:space="0"/>
              <w:bottom w:val="single" w:color="auto" w:sz="18" w:space="0"/>
              <w:right w:val="single" w:color="auto" w:sz="18"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20" w:hRule="atLeast"/>
        </w:trPr>
        <w:tc>
          <w:tcPr>
            <w:tcW w:w="276" w:type="pct"/>
            <w:vMerge w:val="restar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jc w:val="center"/>
              <w:rPr>
                <w:rFonts w:hint="default"/>
                <w:b w:val="1"/>
              </w:rPr>
            </w:pPr>
            <w:r>
              <w:rPr>
                <w:rFonts w:hint="default"/>
                <w:b w:val="1"/>
              </w:rPr>
              <w:t>共通</w:t>
            </w:r>
          </w:p>
        </w:tc>
        <w:tc>
          <w:tcPr>
            <w:tcW w:w="1523"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①</w:t>
            </w:r>
            <w:r>
              <w:rPr>
                <w:rFonts w:hint="default"/>
              </w:rPr>
              <w:t>特定健診・特定保健指導・メタボ</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jc w:val="right"/>
              <w:rPr>
                <w:rFonts w:hint="default"/>
              </w:rPr>
            </w:pPr>
            <w:r>
              <w:rPr>
                <w:rFonts w:hint="default"/>
              </w:rPr>
              <w:t>0</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7"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54</w:t>
            </w:r>
          </w:p>
        </w:tc>
        <w:tc>
          <w:tcPr>
            <w:tcW w:w="458" w:type="pct"/>
            <w:tcBorders>
              <w:top w:val="single" w:color="auto" w:sz="18"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r>
      <w:tr>
        <w:trPr>
          <w:trHeight w:val="20" w:hRule="atLeast"/>
        </w:trPr>
        <w:tc>
          <w:tcPr>
            <w:tcW w:w="276" w:type="pct"/>
            <w:vMerge w:val="continue"/>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eastAsia"/>
              </w:rPr>
              <w:t>②</w:t>
            </w:r>
            <w:r>
              <w:rPr>
                <w:rFonts w:hint="default"/>
              </w:rPr>
              <w:t>がん</w:t>
            </w:r>
            <w:r>
              <w:rPr>
                <w:rFonts w:hint="eastAsia"/>
              </w:rPr>
              <w:t>検診</w:t>
            </w:r>
            <w:r>
              <w:rPr>
                <w:rFonts w:hint="default"/>
              </w:rPr>
              <w:t>・</w:t>
            </w:r>
            <w:r>
              <w:rPr>
                <w:rFonts w:hint="eastAsia"/>
              </w:rPr>
              <w:t>歯科健診</w:t>
            </w:r>
          </w:p>
        </w:tc>
        <w:tc>
          <w:tcPr>
            <w:tcW w:w="457" w:type="pct"/>
            <w:tcMar>
              <w:top w:w="28" w:type="dxa"/>
              <w:left w:w="28" w:type="dxa"/>
              <w:bottom w:w="28" w:type="dxa"/>
              <w:right w:w="28" w:type="dxa"/>
            </w:tcMar>
            <w:vAlign w:val="center"/>
          </w:tcPr>
          <w:p>
            <w:pPr>
              <w:pStyle w:val="0"/>
              <w:jc w:val="right"/>
              <w:rPr>
                <w:rFonts w:hint="default"/>
              </w:rPr>
            </w:pPr>
            <w:r>
              <w:rPr>
                <w:rFonts w:hint="default"/>
              </w:rPr>
              <w:t>35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r>
      <w:tr>
        <w:trPr>
          <w:trHeight w:val="20" w:hRule="atLeast"/>
        </w:trPr>
        <w:tc>
          <w:tcPr>
            <w:tcW w:w="276" w:type="pct"/>
            <w:vMerge w:val="continue"/>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eastAsia"/>
              </w:rPr>
              <w:t>③生活習慣病の発症予防・</w:t>
            </w:r>
            <w:r>
              <w:rPr>
                <w:rFonts w:hint="default"/>
              </w:rPr>
              <w:t>重症化予防</w:t>
            </w:r>
          </w:p>
        </w:tc>
        <w:tc>
          <w:tcPr>
            <w:tcW w:w="457" w:type="pct"/>
            <w:tcMar>
              <w:top w:w="28" w:type="dxa"/>
              <w:left w:w="28" w:type="dxa"/>
              <w:bottom w:w="28" w:type="dxa"/>
              <w:right w:w="28" w:type="dxa"/>
            </w:tcMar>
            <w:vAlign w:val="center"/>
          </w:tcPr>
          <w:p>
            <w:pPr>
              <w:pStyle w:val="0"/>
              <w:jc w:val="right"/>
              <w:rPr>
                <w:rFonts w:hint="default"/>
              </w:rPr>
            </w:pPr>
            <w:r>
              <w:rPr>
                <w:rFonts w:hint="default"/>
              </w:rPr>
              <w:t>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90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110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100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84</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82</w:t>
            </w:r>
          </w:p>
        </w:tc>
      </w:tr>
      <w:tr>
        <w:trPr>
          <w:trHeight w:val="20" w:hRule="atLeast"/>
        </w:trPr>
        <w:tc>
          <w:tcPr>
            <w:tcW w:w="276" w:type="pct"/>
            <w:vMerge w:val="continue"/>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eastAsia"/>
              </w:rPr>
              <w:t>④</w:t>
            </w:r>
            <w:r>
              <w:rPr>
                <w:rFonts w:hint="default"/>
              </w:rPr>
              <w:t>個人インセンティブ・情報提供</w:t>
            </w:r>
          </w:p>
        </w:tc>
        <w:tc>
          <w:tcPr>
            <w:tcW w:w="457" w:type="pct"/>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49</w:t>
            </w:r>
          </w:p>
        </w:tc>
      </w:tr>
      <w:tr>
        <w:trPr>
          <w:trHeight w:val="20" w:hRule="atLeast"/>
        </w:trPr>
        <w:tc>
          <w:tcPr>
            <w:tcW w:w="276" w:type="pct"/>
            <w:vMerge w:val="continue"/>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eastAsia"/>
              </w:rPr>
              <w:t>⑤</w:t>
            </w:r>
            <w:r>
              <w:rPr>
                <w:rFonts w:hint="default"/>
              </w:rPr>
              <w:t>重複</w:t>
            </w:r>
            <w:r>
              <w:rPr>
                <w:rFonts w:hint="eastAsia"/>
              </w:rPr>
              <w:t>多剤</w:t>
            </w:r>
          </w:p>
        </w:tc>
        <w:tc>
          <w:tcPr>
            <w:tcW w:w="457" w:type="pct"/>
            <w:tcMar>
              <w:top w:w="28" w:type="dxa"/>
              <w:left w:w="28" w:type="dxa"/>
              <w:bottom w:w="28" w:type="dxa"/>
              <w:right w:w="28" w:type="dxa"/>
            </w:tcMar>
            <w:vAlign w:val="center"/>
          </w:tcPr>
          <w:p>
            <w:pPr>
              <w:pStyle w:val="0"/>
              <w:jc w:val="right"/>
              <w:rPr>
                <w:rFonts w:hint="default"/>
              </w:rPr>
            </w:pPr>
            <w:r>
              <w:rPr>
                <w:rFonts w:hint="default"/>
              </w:rPr>
              <w:t>50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42</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41</w:t>
            </w:r>
          </w:p>
        </w:tc>
      </w:tr>
      <w:tr>
        <w:trPr>
          <w:trHeight w:val="40" w:hRule="atLeast"/>
        </w:trPr>
        <w:tc>
          <w:tcPr>
            <w:tcW w:w="276" w:type="pct"/>
            <w:vMerge w:val="continue"/>
            <w:tcMar>
              <w:top w:w="28" w:type="dxa"/>
              <w:left w:w="28" w:type="dxa"/>
              <w:bottom w:w="28" w:type="dxa"/>
              <w:right w:w="28" w:type="dxa"/>
            </w:tcMar>
            <w:vAlign w:val="center"/>
          </w:tcPr>
          <w:p>
            <w:pPr>
              <w:pStyle w:val="0"/>
              <w:jc w:val="center"/>
              <w:rPr>
                <w:rFonts w:hint="default"/>
                <w:b w:val="1"/>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⑥</w:t>
            </w:r>
            <w:r>
              <w:rPr>
                <w:rFonts w:hint="default"/>
              </w:rPr>
              <w:t>後発医薬品促進の取組・使用割合</w:t>
            </w:r>
          </w:p>
        </w:tc>
        <w:tc>
          <w:tcPr>
            <w:tcW w:w="457" w:type="pct"/>
            <w:tcMar>
              <w:top w:w="28" w:type="dxa"/>
              <w:left w:w="28" w:type="dxa"/>
              <w:bottom w:w="28" w:type="dxa"/>
              <w:right w:w="28" w:type="dxa"/>
            </w:tcMar>
            <w:vAlign w:val="center"/>
          </w:tcPr>
          <w:p>
            <w:pPr>
              <w:pStyle w:val="0"/>
              <w:jc w:val="right"/>
              <w:rPr>
                <w:rFonts w:hint="default"/>
              </w:rPr>
            </w:pPr>
            <w:r>
              <w:rPr>
                <w:rFonts w:hint="default"/>
              </w:rPr>
              <w:t>65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110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62</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52</w:t>
            </w:r>
          </w:p>
        </w:tc>
      </w:tr>
      <w:tr>
        <w:trPr>
          <w:trHeight w:val="20" w:hRule="atLeast"/>
        </w:trPr>
        <w:tc>
          <w:tcPr>
            <w:tcW w:w="276" w:type="pct"/>
            <w:vMerge w:val="restart"/>
            <w:shd w:val="clear" w:color="auto" w:fill="EFEFEF"/>
            <w:tcMar>
              <w:top w:w="28" w:type="dxa"/>
              <w:left w:w="28" w:type="dxa"/>
              <w:bottom w:w="28" w:type="dxa"/>
              <w:right w:w="28" w:type="dxa"/>
            </w:tcMar>
            <w:vAlign w:val="center"/>
          </w:tcPr>
          <w:p>
            <w:pPr>
              <w:pStyle w:val="0"/>
              <w:jc w:val="center"/>
              <w:rPr>
                <w:rFonts w:hint="default"/>
                <w:b w:val="1"/>
              </w:rPr>
            </w:pPr>
            <w:r>
              <w:rPr>
                <w:rFonts w:hint="default"/>
                <w:b w:val="1"/>
              </w:rPr>
              <w:t>国保</w:t>
            </w: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①</w:t>
            </w:r>
            <w:r>
              <w:rPr>
                <w:rFonts w:hint="default"/>
              </w:rPr>
              <w:t>収納率</w:t>
            </w:r>
          </w:p>
        </w:tc>
        <w:tc>
          <w:tcPr>
            <w:tcW w:w="457" w:type="pct"/>
            <w:tcMar>
              <w:top w:w="28" w:type="dxa"/>
              <w:left w:w="28" w:type="dxa"/>
              <w:bottom w:w="28" w:type="dxa"/>
              <w:right w:w="28" w:type="dxa"/>
            </w:tcMar>
            <w:vAlign w:val="center"/>
          </w:tcPr>
          <w:p>
            <w:pPr>
              <w:pStyle w:val="0"/>
              <w:jc w:val="right"/>
              <w:rPr>
                <w:rFonts w:hint="default"/>
              </w:rPr>
            </w:pPr>
            <w:r>
              <w:rPr>
                <w:rFonts w:hint="default"/>
              </w:rPr>
              <w:t>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52</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r>
      <w:tr>
        <w:trPr>
          <w:trHeight w:val="20" w:hRule="atLeast"/>
        </w:trPr>
        <w:tc>
          <w:tcPr>
            <w:tcW w:w="276" w:type="pct"/>
            <w:vMerge w:val="continue"/>
            <w:tcMar>
              <w:top w:w="28" w:type="dxa"/>
              <w:left w:w="28" w:type="dxa"/>
              <w:bottom w:w="28" w:type="dxa"/>
              <w:right w:w="28" w:type="dxa"/>
            </w:tcMar>
            <w:vAlign w:val="center"/>
          </w:tcPr>
          <w:p>
            <w:pPr>
              <w:pStyle w:val="0"/>
              <w:rPr>
                <w:rFonts w:hint="default"/>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②</w:t>
            </w:r>
            <w:r>
              <w:rPr>
                <w:rFonts w:hint="default"/>
              </w:rPr>
              <w:t>データヘルス計画</w:t>
            </w:r>
          </w:p>
        </w:tc>
        <w:tc>
          <w:tcPr>
            <w:tcW w:w="457" w:type="pct"/>
            <w:tcMar>
              <w:top w:w="28" w:type="dxa"/>
              <w:left w:w="28" w:type="dxa"/>
              <w:bottom w:w="28" w:type="dxa"/>
              <w:right w:w="28" w:type="dxa"/>
            </w:tcMar>
            <w:vAlign w:val="center"/>
          </w:tcPr>
          <w:p>
            <w:pPr>
              <w:pStyle w:val="0"/>
              <w:jc w:val="right"/>
              <w:rPr>
                <w:rFonts w:hint="default"/>
              </w:rPr>
            </w:pPr>
            <w:r>
              <w:rPr>
                <w:rFonts w:hint="default"/>
              </w:rPr>
              <w:t>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12</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23</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r>
      <w:tr>
        <w:trPr>
          <w:trHeight w:val="20" w:hRule="atLeast"/>
        </w:trPr>
        <w:tc>
          <w:tcPr>
            <w:tcW w:w="276" w:type="pct"/>
            <w:vMerge w:val="continue"/>
            <w:tcMar>
              <w:top w:w="28" w:type="dxa"/>
              <w:left w:w="28" w:type="dxa"/>
              <w:bottom w:w="28" w:type="dxa"/>
              <w:right w:w="28" w:type="dxa"/>
            </w:tcMar>
            <w:vAlign w:val="center"/>
          </w:tcPr>
          <w:p>
            <w:pPr>
              <w:pStyle w:val="0"/>
              <w:rPr>
                <w:rFonts w:hint="default"/>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③</w:t>
            </w:r>
            <w:r>
              <w:rPr>
                <w:rFonts w:hint="default"/>
              </w:rPr>
              <w:t>医療費通知</w:t>
            </w:r>
          </w:p>
        </w:tc>
        <w:tc>
          <w:tcPr>
            <w:tcW w:w="457" w:type="pct"/>
            <w:tcMar>
              <w:top w:w="28" w:type="dxa"/>
              <w:left w:w="28" w:type="dxa"/>
              <w:bottom w:w="28" w:type="dxa"/>
              <w:right w:w="28" w:type="dxa"/>
            </w:tcMar>
            <w:vAlign w:val="center"/>
          </w:tcPr>
          <w:p>
            <w:pPr>
              <w:pStyle w:val="0"/>
              <w:jc w:val="right"/>
              <w:rPr>
                <w:rFonts w:hint="default"/>
              </w:rPr>
            </w:pPr>
            <w:r>
              <w:rPr>
                <w:rFonts w:hint="default"/>
              </w:rPr>
              <w:t>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r>
      <w:tr>
        <w:trPr>
          <w:trHeight w:val="57" w:hRule="atLeast"/>
        </w:trPr>
        <w:tc>
          <w:tcPr>
            <w:tcW w:w="276" w:type="pct"/>
            <w:vMerge w:val="continue"/>
            <w:tcMar>
              <w:top w:w="28" w:type="dxa"/>
              <w:left w:w="28" w:type="dxa"/>
              <w:bottom w:w="28" w:type="dxa"/>
              <w:right w:w="28" w:type="dxa"/>
            </w:tcMar>
            <w:vAlign w:val="center"/>
          </w:tcPr>
          <w:p>
            <w:pPr>
              <w:pStyle w:val="0"/>
              <w:rPr>
                <w:rFonts w:hint="default"/>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④</w:t>
            </w:r>
            <w:r>
              <w:rPr>
                <w:rFonts w:hint="default"/>
              </w:rPr>
              <w:t>地域包括ケア・一体的実施</w:t>
            </w:r>
          </w:p>
        </w:tc>
        <w:tc>
          <w:tcPr>
            <w:tcW w:w="457" w:type="pct"/>
            <w:tcMar>
              <w:top w:w="28" w:type="dxa"/>
              <w:left w:w="28" w:type="dxa"/>
              <w:bottom w:w="28" w:type="dxa"/>
              <w:right w:w="28" w:type="dxa"/>
            </w:tcMar>
            <w:vAlign w:val="center"/>
          </w:tcPr>
          <w:p>
            <w:pPr>
              <w:pStyle w:val="0"/>
              <w:jc w:val="right"/>
              <w:rPr>
                <w:rFonts w:hint="default"/>
              </w:rPr>
            </w:pPr>
            <w:r>
              <w:rPr>
                <w:rFonts w:hint="default"/>
              </w:rPr>
              <w:t>15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15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26</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20</w:t>
            </w:r>
          </w:p>
        </w:tc>
      </w:tr>
      <w:tr>
        <w:trPr>
          <w:trHeight w:val="20" w:hRule="atLeast"/>
        </w:trPr>
        <w:tc>
          <w:tcPr>
            <w:tcW w:w="276" w:type="pct"/>
            <w:vMerge w:val="continue"/>
            <w:tcMar>
              <w:top w:w="28" w:type="dxa"/>
              <w:left w:w="28" w:type="dxa"/>
              <w:bottom w:w="28" w:type="dxa"/>
              <w:right w:w="28" w:type="dxa"/>
            </w:tcMar>
            <w:vAlign w:val="center"/>
          </w:tcPr>
          <w:p>
            <w:pPr>
              <w:pStyle w:val="0"/>
              <w:rPr>
                <w:rFonts w:hint="default"/>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⑤</w:t>
            </w:r>
            <w:r>
              <w:rPr>
                <w:rFonts w:hint="default"/>
              </w:rPr>
              <w:t>第三者</w:t>
            </w:r>
            <w:r>
              <w:rPr>
                <w:rFonts w:hint="eastAsia"/>
              </w:rPr>
              <w:t>求償</w:t>
            </w:r>
          </w:p>
        </w:tc>
        <w:tc>
          <w:tcPr>
            <w:tcW w:w="457" w:type="pct"/>
            <w:tcMar>
              <w:top w:w="28" w:type="dxa"/>
              <w:left w:w="28" w:type="dxa"/>
              <w:bottom w:w="28" w:type="dxa"/>
              <w:right w:w="28" w:type="dxa"/>
            </w:tcMar>
            <w:vAlign w:val="center"/>
          </w:tcPr>
          <w:p>
            <w:pPr>
              <w:pStyle w:val="0"/>
              <w:jc w:val="right"/>
              <w:rPr>
                <w:rFonts w:hint="default"/>
              </w:rPr>
            </w:pPr>
            <w:r>
              <w:rPr>
                <w:rFonts w:hint="default"/>
              </w:rPr>
              <w:t>32</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36</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40</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38</w:t>
            </w:r>
          </w:p>
        </w:tc>
      </w:tr>
      <w:tr>
        <w:trPr>
          <w:trHeight w:val="20" w:hRule="atLeast"/>
        </w:trPr>
        <w:tc>
          <w:tcPr>
            <w:tcW w:w="276" w:type="pct"/>
            <w:vMerge w:val="continue"/>
            <w:tcMar>
              <w:top w:w="28" w:type="dxa"/>
              <w:left w:w="28" w:type="dxa"/>
              <w:bottom w:w="28" w:type="dxa"/>
              <w:right w:w="28" w:type="dxa"/>
            </w:tcMar>
            <w:vAlign w:val="center"/>
          </w:tcPr>
          <w:p>
            <w:pPr>
              <w:pStyle w:val="0"/>
              <w:rPr>
                <w:rFonts w:hint="default"/>
              </w:rPr>
            </w:pPr>
          </w:p>
        </w:tc>
        <w:tc>
          <w:tcPr>
            <w:tcW w:w="1523" w:type="pct"/>
            <w:shd w:val="clear" w:color="auto" w:fill="auto"/>
            <w:tcMar>
              <w:top w:w="28" w:type="dxa"/>
              <w:left w:w="28" w:type="dxa"/>
              <w:bottom w:w="28" w:type="dxa"/>
              <w:right w:w="28" w:type="dxa"/>
            </w:tcMar>
            <w:vAlign w:val="center"/>
          </w:tcPr>
          <w:p>
            <w:pPr>
              <w:pStyle w:val="0"/>
              <w:rPr>
                <w:rFonts w:hint="default"/>
              </w:rPr>
            </w:pPr>
            <w:r>
              <w:rPr>
                <w:rFonts w:hint="default"/>
              </w:rPr>
              <w:t>⑥</w:t>
            </w:r>
            <w:r>
              <w:rPr>
                <w:rFonts w:hint="default"/>
              </w:rPr>
              <w:t>適正化かつ健全な</w:t>
            </w:r>
            <w:r>
              <w:rPr>
                <w:rFonts w:hint="eastAsia"/>
              </w:rPr>
              <w:t>事業運営</w:t>
            </w:r>
          </w:p>
        </w:tc>
        <w:tc>
          <w:tcPr>
            <w:tcW w:w="457" w:type="pct"/>
            <w:tcMar>
              <w:top w:w="28" w:type="dxa"/>
              <w:left w:w="28" w:type="dxa"/>
              <w:bottom w:w="28" w:type="dxa"/>
              <w:right w:w="28" w:type="dxa"/>
            </w:tcMar>
            <w:vAlign w:val="center"/>
          </w:tcPr>
          <w:p>
            <w:pPr>
              <w:pStyle w:val="0"/>
              <w:jc w:val="right"/>
              <w:rPr>
                <w:rFonts w:hint="default"/>
              </w:rPr>
            </w:pPr>
            <w:r>
              <w:rPr>
                <w:rFonts w:hint="default"/>
              </w:rPr>
              <w:t>33</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78</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75</w:t>
            </w:r>
          </w:p>
        </w:tc>
        <w:tc>
          <w:tcPr>
            <w:tcW w:w="457" w:type="pct"/>
            <w:shd w:val="clear" w:color="auto" w:fill="auto"/>
            <w:tcMar>
              <w:top w:w="28" w:type="dxa"/>
              <w:left w:w="28" w:type="dxa"/>
              <w:bottom w:w="28" w:type="dxa"/>
              <w:right w:w="28" w:type="dxa"/>
            </w:tcMar>
            <w:vAlign w:val="center"/>
          </w:tcPr>
          <w:p>
            <w:pPr>
              <w:pStyle w:val="0"/>
              <w:jc w:val="right"/>
              <w:rPr>
                <w:rFonts w:hint="default"/>
              </w:rPr>
            </w:pPr>
            <w:r>
              <w:rPr>
                <w:rFonts w:hint="default"/>
              </w:rPr>
              <w:t>69</w:t>
            </w:r>
          </w:p>
        </w:tc>
        <w:tc>
          <w:tcPr>
            <w:tcW w:w="458" w:type="pct"/>
            <w:shd w:val="clear" w:color="auto" w:fill="auto"/>
            <w:tcMar>
              <w:top w:w="28" w:type="dxa"/>
              <w:left w:w="28" w:type="dxa"/>
              <w:bottom w:w="28" w:type="dxa"/>
              <w:right w:w="28" w:type="dxa"/>
            </w:tcMar>
            <w:vAlign w:val="center"/>
          </w:tcPr>
          <w:p>
            <w:pPr>
              <w:pStyle w:val="0"/>
              <w:jc w:val="right"/>
              <w:rPr>
                <w:rFonts w:hint="default"/>
              </w:rPr>
            </w:pPr>
            <w:r>
              <w:rPr>
                <w:rFonts w:hint="default"/>
              </w:rPr>
              <w:t>71</w:t>
            </w:r>
          </w:p>
        </w:tc>
      </w:tr>
    </w:tbl>
    <w:p>
      <w:pPr>
        <w:pStyle w:val="44"/>
        <w:rPr>
          <w:rFonts w:hint="default"/>
        </w:rPr>
      </w:pPr>
      <w:r>
        <w:rPr>
          <w:rFonts w:hint="default"/>
        </w:rPr>
        <w:t>【出典】厚生労働省</w:t>
      </w:r>
      <w:r>
        <w:rPr>
          <w:rFonts w:hint="default"/>
        </w:rPr>
        <w:t xml:space="preserve"> </w:t>
      </w:r>
      <w:r>
        <w:rPr>
          <w:rFonts w:hint="default"/>
        </w:rPr>
        <w:t>国民健康保険制度の保険者努力支援制度の集計結果について</w:t>
      </w:r>
    </w:p>
    <w:p>
      <w:pPr>
        <w:pStyle w:val="44"/>
        <w:ind w:right="640"/>
        <w:jc w:val="left"/>
        <w:rPr>
          <w:rFonts w:hint="default"/>
        </w:rPr>
      </w:pPr>
      <w:r>
        <w:rPr>
          <w:rFonts w:hint="default"/>
        </w:rPr>
        <w:br w:type="page"/>
      </w:r>
    </w:p>
    <w:p>
      <w:pPr>
        <w:pStyle w:val="2"/>
        <w:rPr>
          <w:rFonts w:hint="default"/>
        </w:rPr>
      </w:pPr>
      <w:bookmarkStart w:id="198" w:name="_Toc162548718"/>
      <w:r>
        <w:rPr>
          <w:rFonts w:hint="default"/>
        </w:rPr>
        <w:t>健康課題の整理</w:t>
      </w:r>
      <w:bookmarkEnd w:id="198"/>
    </w:p>
    <w:p>
      <w:pPr>
        <w:pStyle w:val="3"/>
        <w:rPr>
          <w:rFonts w:hint="default"/>
        </w:rPr>
      </w:pPr>
      <w:bookmarkStart w:id="199" w:name="_Toc162548719"/>
      <w:r>
        <w:rPr>
          <w:rFonts w:hint="default"/>
        </w:rPr>
        <w:t>健康課題の全体像の整理</w:t>
      </w:r>
      <w:bookmarkEnd w:id="199"/>
    </w:p>
    <w:tbl>
      <w:tblPr>
        <w:tblStyle w:val="11"/>
        <w:tblW w:w="5007"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668"/>
        <w:gridCol w:w="1106"/>
        <w:gridCol w:w="7614"/>
      </w:tblGrid>
      <w:tr>
        <w:trPr>
          <w:trHeight w:val="20" w:hRule="atLeast"/>
        </w:trPr>
        <w:tc>
          <w:tcPr>
            <w:tcW w:w="500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widowControl w:val="0"/>
              <w:jc w:val="center"/>
              <w:rPr>
                <w:rFonts w:hint="default"/>
                <w:b w:val="1"/>
                <w:sz w:val="18"/>
              </w:rPr>
            </w:pPr>
            <w:r>
              <w:rPr>
                <w:rFonts w:hint="default"/>
                <w:b w:val="1"/>
              </w:rPr>
              <w:t>地域特性・背景</w:t>
            </w:r>
          </w:p>
        </w:tc>
      </w:tr>
      <w:tr>
        <w:trPr>
          <w:trHeight w:val="20" w:hRule="atLeast"/>
        </w:trPr>
        <w:tc>
          <w:tcPr>
            <w:tcW w:w="94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default"/>
                <w:sz w:val="14"/>
              </w:rPr>
              <w:t>八街市</w:t>
            </w:r>
            <w:r>
              <w:rPr>
                <w:rFonts w:hint="eastAsia"/>
                <w:sz w:val="14"/>
              </w:rPr>
              <w:t>の特性</w:t>
            </w:r>
          </w:p>
        </w:tc>
        <w:tc>
          <w:tcPr>
            <w:tcW w:w="40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・高齢化率は</w:t>
            </w:r>
            <w:r>
              <w:rPr>
                <w:rFonts w:hint="eastAsia"/>
              </w:rPr>
              <w:t>32.5%</w:t>
            </w:r>
            <w:r>
              <w:rPr>
                <w:rFonts w:hint="eastAsia"/>
              </w:rPr>
              <w:t>で、国や</w:t>
            </w:r>
            <w:r>
              <w:rPr>
                <w:rFonts w:hint="default"/>
              </w:rPr>
              <w:t>県</w:t>
            </w:r>
            <w:r>
              <w:rPr>
                <w:rFonts w:hint="eastAsia"/>
              </w:rPr>
              <w:t>と比較すると、高い。（</w:t>
            </w:r>
            <w:r>
              <w:rPr>
                <w:rFonts w:hint="eastAsia"/>
              </w:rPr>
              <w:fldChar w:fldCharType="begin"/>
            </w:r>
            <w:r>
              <w:rPr>
                <w:rFonts w:hint="eastAsia"/>
              </w:rPr>
              <w:instrText xml:space="preserve">REF _Ref122564314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3</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・国保加入者数は</w:t>
            </w:r>
            <w:r>
              <w:rPr>
                <w:rFonts w:hint="eastAsia"/>
              </w:rPr>
              <w:t>18,705</w:t>
            </w:r>
            <w:r>
              <w:rPr>
                <w:rFonts w:hint="eastAsia"/>
              </w:rPr>
              <w:t>人で、</w:t>
            </w:r>
            <w:r>
              <w:rPr>
                <w:rFonts w:hint="eastAsia"/>
              </w:rPr>
              <w:t>65</w:t>
            </w:r>
            <w:r>
              <w:rPr>
                <w:rFonts w:hint="eastAsia"/>
              </w:rPr>
              <w:t>歳以上の被保険者の割合は</w:t>
            </w:r>
            <w:r>
              <w:rPr>
                <w:rFonts w:hint="eastAsia"/>
              </w:rPr>
              <w:t>41.6%</w:t>
            </w:r>
            <w:r>
              <w:rPr>
                <w:rFonts w:hint="eastAsia"/>
              </w:rPr>
              <w:t>となっている。（</w:t>
            </w:r>
            <w:r>
              <w:rPr>
                <w:rFonts w:hint="eastAsia"/>
              </w:rPr>
              <w:fldChar w:fldCharType="begin"/>
            </w:r>
            <w:r>
              <w:rPr>
                <w:rFonts w:hint="eastAsia"/>
              </w:rPr>
              <w:instrText xml:space="preserve">REF _Ref122518434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4</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・後期高齢者健診の質問票について、「毎日の生活に不満」「</w:t>
            </w:r>
            <w:r>
              <w:rPr>
                <w:rFonts w:hint="default"/>
              </w:rPr>
              <w:t>1</w:t>
            </w:r>
            <w:r>
              <w:rPr>
                <w:rFonts w:hint="default"/>
              </w:rPr>
              <w:t>日</w:t>
            </w:r>
            <w:r>
              <w:rPr>
                <w:rFonts w:hint="default"/>
              </w:rPr>
              <w:t>3</w:t>
            </w:r>
            <w:r>
              <w:rPr>
                <w:rFonts w:hint="default"/>
              </w:rPr>
              <w:t>食食べていない」「ウォーキング等の運動を週に</w:t>
            </w:r>
            <w:r>
              <w:rPr>
                <w:rFonts w:hint="default"/>
              </w:rPr>
              <w:t>1</w:t>
            </w:r>
            <w:r>
              <w:rPr>
                <w:rFonts w:hint="default"/>
              </w:rPr>
              <w:t>回以上していない」</w:t>
            </w:r>
            <w:r>
              <w:rPr>
                <w:rFonts w:hint="eastAsia"/>
              </w:rPr>
              <w:t>「たばこを吸っている」「週に</w:t>
            </w:r>
            <w:r>
              <w:rPr>
                <w:rFonts w:hint="default"/>
              </w:rPr>
              <w:t>1</w:t>
            </w:r>
            <w:r>
              <w:rPr>
                <w:rFonts w:hint="default"/>
              </w:rPr>
              <w:t>回以上外出していない」「ふだんから</w:t>
            </w:r>
            <w:r>
              <w:rPr>
                <w:rFonts w:hint="eastAsia"/>
              </w:rPr>
              <w:t>家族や友人との付き合いがない」「体調が悪いときに身近に相談できる人がいない」の回答割合が高い。（</w:t>
            </w:r>
            <w:r>
              <w:rPr>
                <w:rFonts w:hint="eastAsia"/>
              </w:rPr>
              <w:fldChar w:fldCharType="begin"/>
            </w:r>
            <w:r>
              <w:rPr>
                <w:rFonts w:hint="eastAsia"/>
              </w:rPr>
              <w:instrText xml:space="preserve">REF _Ref122542728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6</w:t>
            </w:r>
            <w:r>
              <w:rPr>
                <w:rFonts w:hint="eastAsia"/>
              </w:rPr>
              <w:t>-</w:t>
            </w:r>
            <w:r>
              <w:rPr>
                <w:rFonts w:hint="default"/>
              </w:rPr>
              <w:t>1</w:t>
            </w:r>
            <w:r>
              <w:rPr>
                <w:rFonts w:hint="eastAsia"/>
              </w:rPr>
              <w:fldChar w:fldCharType="end"/>
            </w:r>
            <w:r>
              <w:rPr>
                <w:rFonts w:hint="default"/>
              </w:rPr>
              <w:t>）</w:t>
            </w:r>
            <w:r>
              <w:rPr>
                <w:rFonts w:hint="eastAsia"/>
              </w:rPr>
              <w:t>、</w:t>
            </w:r>
          </w:p>
        </w:tc>
      </w:tr>
      <w:tr>
        <w:trPr>
          <w:trHeight w:val="20" w:hRule="atLeast"/>
        </w:trPr>
        <w:tc>
          <w:tcPr>
            <w:tcW w:w="94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その他</w:t>
            </w:r>
            <w:r>
              <w:rPr>
                <w:rFonts w:hint="eastAsia"/>
                <w:sz w:val="14"/>
              </w:rPr>
              <w:t>(</w:t>
            </w:r>
            <w:r>
              <w:rPr>
                <w:rFonts w:hint="eastAsia"/>
                <w:sz w:val="14"/>
              </w:rPr>
              <w:t>医療費適正化</w:t>
            </w:r>
            <w:r>
              <w:rPr>
                <w:rFonts w:hint="eastAsia"/>
                <w:sz w:val="14"/>
              </w:rPr>
              <w:t>)</w:t>
            </w:r>
          </w:p>
        </w:tc>
        <w:tc>
          <w:tcPr>
            <w:tcW w:w="40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・一人当たり医療費は増加している。（</w:t>
            </w:r>
            <w:r>
              <w:rPr>
                <w:rFonts w:hint="eastAsia"/>
              </w:rPr>
              <w:fldChar w:fldCharType="begin"/>
            </w:r>
            <w:r>
              <w:rPr>
                <w:rFonts w:hint="eastAsia"/>
              </w:rPr>
              <w:instrText xml:space="preserve">REF _Ref122525728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1</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・重複処</w:t>
            </w:r>
            <w:r>
              <w:rPr>
                <w:rFonts w:hint="default"/>
              </w:rPr>
              <w:t>方該当者数は</w:t>
            </w:r>
            <w:r>
              <w:rPr>
                <w:rFonts w:hint="default"/>
              </w:rPr>
              <w:t>130</w:t>
            </w:r>
            <w:r>
              <w:rPr>
                <w:rFonts w:hint="default"/>
              </w:rPr>
              <w:t>人</w:t>
            </w:r>
            <w:r>
              <w:rPr>
                <w:rFonts w:hint="eastAsia"/>
              </w:rPr>
              <w:t>であり、</w:t>
            </w:r>
            <w:r>
              <w:rPr>
                <w:rFonts w:hint="default"/>
              </w:rPr>
              <w:t>多剤処方該当者数は</w:t>
            </w:r>
            <w:r>
              <w:rPr>
                <w:rFonts w:hint="default"/>
              </w:rPr>
              <w:t>39</w:t>
            </w:r>
            <w:r>
              <w:rPr>
                <w:rFonts w:hint="default"/>
              </w:rPr>
              <w:t>人</w:t>
            </w:r>
            <w:r>
              <w:rPr>
                <w:rFonts w:hint="eastAsia"/>
              </w:rPr>
              <w:t>である。（</w:t>
            </w:r>
            <w:r>
              <w:rPr>
                <w:rFonts w:hint="eastAsia"/>
              </w:rPr>
              <w:fldChar w:fldCharType="begin"/>
            </w:r>
            <w:r>
              <w:rPr>
                <w:rFonts w:hint="eastAsia"/>
              </w:rPr>
              <w:instrText xml:space="preserve">REF _Ref122542784 \h </w:instrText>
            </w:r>
            <w:r>
              <w:rPr>
                <w:rFonts w:hint="eastAsia"/>
              </w:rPr>
              <w:fldChar w:fldCharType="separate"/>
            </w:r>
            <w:r>
              <w:rPr>
                <w:rFonts w:hint="default"/>
              </w:rPr>
              <w:t>図表</w:t>
            </w:r>
            <w:r>
              <w:rPr>
                <w:rFonts w:hint="default"/>
              </w:rPr>
              <w:t>3</w:t>
            </w:r>
            <w:r>
              <w:rPr>
                <w:rFonts w:hint="eastAsia"/>
              </w:rPr>
              <w:t>-</w:t>
            </w:r>
            <w:r>
              <w:rPr>
                <w:rFonts w:hint="default"/>
              </w:rPr>
              <w:t>4</w:t>
            </w:r>
            <w:r>
              <w:rPr>
                <w:rFonts w:hint="eastAsia"/>
              </w:rPr>
              <w:t>-</w:t>
            </w:r>
            <w:r>
              <w:rPr>
                <w:rFonts w:hint="default"/>
              </w:rPr>
              <w:t>1</w:t>
            </w:r>
            <w:r>
              <w:rPr>
                <w:rFonts w:hint="eastAsia"/>
              </w:rPr>
              <w:t>-</w:t>
            </w:r>
            <w:r>
              <w:rPr>
                <w:rFonts w:hint="default"/>
              </w:rPr>
              <w:t>1</w:t>
            </w:r>
            <w:r>
              <w:rPr>
                <w:rFonts w:hint="eastAsia"/>
              </w:rPr>
              <w:fldChar w:fldCharType="end"/>
            </w:r>
            <w:r>
              <w:rPr>
                <w:rFonts w:hint="eastAsia"/>
              </w:rPr>
              <w:t>・</w:t>
            </w:r>
            <w:r>
              <w:rPr>
                <w:rFonts w:hint="eastAsia"/>
              </w:rPr>
              <w:fldChar w:fldCharType="begin"/>
            </w:r>
            <w:r>
              <w:rPr>
                <w:rFonts w:hint="eastAsia"/>
              </w:rPr>
              <w:instrText xml:space="preserve">REF _Ref122542867 \h </w:instrText>
            </w:r>
            <w:r>
              <w:rPr>
                <w:rFonts w:hint="eastAsia"/>
              </w:rPr>
              <w:fldChar w:fldCharType="separate"/>
            </w:r>
            <w:r>
              <w:rPr>
                <w:rFonts w:hint="default"/>
              </w:rPr>
              <w:t>図表</w:t>
            </w:r>
            <w:r>
              <w:rPr>
                <w:rFonts w:hint="default"/>
              </w:rPr>
              <w:t>3</w:t>
            </w:r>
            <w:r>
              <w:rPr>
                <w:rFonts w:hint="eastAsia"/>
              </w:rPr>
              <w:t>-</w:t>
            </w:r>
            <w:r>
              <w:rPr>
                <w:rFonts w:hint="default"/>
              </w:rPr>
              <w:t>4</w:t>
            </w:r>
            <w:r>
              <w:rPr>
                <w:rFonts w:hint="eastAsia"/>
              </w:rPr>
              <w:t>-</w:t>
            </w:r>
            <w:r>
              <w:rPr>
                <w:rFonts w:hint="default"/>
              </w:rPr>
              <w:t>2</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・後発医薬品の使用割合は</w:t>
            </w:r>
            <w:r>
              <w:rPr>
                <w:rFonts w:hint="default"/>
              </w:rPr>
              <w:t>79.9%</w:t>
            </w:r>
            <w:r>
              <w:rPr>
                <w:rFonts w:hint="eastAsia"/>
              </w:rPr>
              <w:t>であり、</w:t>
            </w:r>
            <w:r>
              <w:rPr>
                <w:rFonts w:hint="default"/>
              </w:rPr>
              <w:t>県</w:t>
            </w:r>
            <w:r>
              <w:rPr>
                <w:rFonts w:hint="eastAsia"/>
              </w:rPr>
              <w:t>と比較して</w:t>
            </w:r>
            <w:r>
              <w:rPr>
                <w:rFonts w:hint="default"/>
              </w:rPr>
              <w:t>1.1</w:t>
            </w:r>
            <w:r>
              <w:rPr>
                <w:rFonts w:hint="default"/>
              </w:rPr>
              <w:t>ポイント低い</w:t>
            </w:r>
            <w:r>
              <w:rPr>
                <w:rFonts w:hint="eastAsia"/>
              </w:rPr>
              <w:t>。（</w:t>
            </w:r>
            <w:r>
              <w:rPr>
                <w:rFonts w:hint="eastAsia"/>
              </w:rPr>
              <w:fldChar w:fldCharType="begin"/>
            </w:r>
            <w:r>
              <w:rPr>
                <w:rFonts w:hint="eastAsia"/>
              </w:rPr>
              <w:instrText xml:space="preserve">REF _Ref122542912 \h </w:instrText>
            </w:r>
            <w:r>
              <w:rPr>
                <w:rFonts w:hint="eastAsia"/>
              </w:rPr>
              <w:fldChar w:fldCharType="separate"/>
            </w:r>
            <w:r>
              <w:rPr>
                <w:rFonts w:hint="default"/>
              </w:rPr>
              <w:t>図表</w:t>
            </w:r>
            <w:r>
              <w:rPr>
                <w:rFonts w:hint="default"/>
              </w:rPr>
              <w:t>3</w:t>
            </w:r>
            <w:r>
              <w:rPr>
                <w:rFonts w:hint="eastAsia"/>
              </w:rPr>
              <w:t>-</w:t>
            </w:r>
            <w:r>
              <w:rPr>
                <w:rFonts w:hint="default"/>
              </w:rPr>
              <w:t>4</w:t>
            </w:r>
            <w:r>
              <w:rPr>
                <w:rFonts w:hint="eastAsia"/>
              </w:rPr>
              <w:t>-</w:t>
            </w:r>
            <w:r>
              <w:rPr>
                <w:rFonts w:hint="default"/>
              </w:rPr>
              <w:t>3</w:t>
            </w:r>
            <w:r>
              <w:rPr>
                <w:rFonts w:hint="eastAsia"/>
              </w:rPr>
              <w:t>-</w:t>
            </w:r>
            <w:r>
              <w:rPr>
                <w:rFonts w:hint="default"/>
              </w:rPr>
              <w:t>1</w:t>
            </w:r>
            <w:r>
              <w:rPr>
                <w:rFonts w:hint="eastAsia"/>
              </w:rPr>
              <w:fldChar w:fldCharType="end"/>
            </w:r>
            <w:r>
              <w:rPr>
                <w:rFonts w:hint="eastAsia"/>
              </w:rPr>
              <w:t>）</w:t>
            </w:r>
          </w:p>
        </w:tc>
      </w:tr>
      <w:tr>
        <w:trPr>
          <w:trHeight w:val="20" w:hRule="atLeast"/>
        </w:trPr>
        <w:tc>
          <w:tcPr>
            <w:tcW w:w="94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その他（がん）</w:t>
            </w:r>
          </w:p>
        </w:tc>
        <w:tc>
          <w:tcPr>
            <w:tcW w:w="40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・悪性新生物（「大腸」「気管、気管支及び肺」「胃」）は死因の上位にある。（</w:t>
            </w:r>
            <w:r>
              <w:rPr>
                <w:rFonts w:hint="eastAsia"/>
              </w:rPr>
              <w:fldChar w:fldCharType="begin"/>
            </w:r>
            <w:r>
              <w:rPr>
                <w:rFonts w:hint="eastAsia"/>
              </w:rPr>
              <w:instrText xml:space="preserve">REF _Ref122519425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default"/>
              </w:rPr>
              <w:t>・</w:t>
            </w:r>
            <w:r>
              <w:rPr>
                <w:rFonts w:hint="default"/>
              </w:rPr>
              <w:t>5</w:t>
            </w:r>
            <w:r>
              <w:rPr>
                <w:rFonts w:hint="default"/>
              </w:rPr>
              <w:t>がんの検診平均受診率は国・県より低い。</w:t>
            </w:r>
            <w:r>
              <w:rPr>
                <w:rFonts w:hint="eastAsia"/>
              </w:rPr>
              <w:t>（</w:t>
            </w:r>
            <w:r>
              <w:rPr>
                <w:rFonts w:hint="eastAsia"/>
              </w:rPr>
              <w:fldChar w:fldCharType="begin"/>
            </w:r>
            <w:r>
              <w:rPr>
                <w:rFonts w:hint="eastAsia"/>
              </w:rPr>
              <w:instrText xml:space="preserve">REF _Ref122543064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7</w:t>
            </w:r>
            <w:r>
              <w:rPr>
                <w:rFonts w:hint="eastAsia"/>
              </w:rPr>
              <w:t>-</w:t>
            </w:r>
            <w:r>
              <w:rPr>
                <w:rFonts w:hint="default"/>
              </w:rPr>
              <w:t>6</w:t>
            </w:r>
            <w:r>
              <w:rPr>
                <w:rFonts w:hint="eastAsia"/>
              </w:rPr>
              <w:fldChar w:fldCharType="end"/>
            </w:r>
            <w:r>
              <w:rPr>
                <w:rFonts w:hint="eastAsia"/>
              </w:rPr>
              <w:t>）</w:t>
            </w:r>
          </w:p>
        </w:tc>
      </w:tr>
      <w:tr>
        <w:trPr>
          <w:trHeight w:val="20" w:hRule="atLeast"/>
        </w:trPr>
        <w:tc>
          <w:tcPr>
            <w:tcW w:w="5000" w:type="pct"/>
            <w:gridSpan w:val="3"/>
            <w:tcBorders>
              <w:top w:val="single" w:color="auto" w:sz="4" w:space="0"/>
              <w:left w:val="nil"/>
              <w:bottom w:val="single" w:color="auto" w:sz="4" w:space="0"/>
              <w:right w:val="nil"/>
              <w:tl2br w:val="none" w:color="auto" w:sz="0" w:space="0"/>
              <w:tr2bl w:val="none" w:color="auto" w:sz="0" w:space="0"/>
            </w:tcBorders>
            <w:tcMar>
              <w:top w:w="40" w:type="dxa"/>
              <w:left w:w="40" w:type="dxa"/>
              <w:bottom w:w="40" w:type="dxa"/>
              <w:right w:w="40" w:type="dxa"/>
            </w:tcMar>
            <w:vAlign w:val="top"/>
          </w:tcPr>
          <w:p>
            <w:pPr>
              <w:pStyle w:val="0"/>
              <w:widowControl w:val="0"/>
              <w:jc w:val="right"/>
              <w:rPr>
                <w:rFonts w:hint="default"/>
                <w:b w:val="1"/>
                <w:sz w:val="18"/>
                <w:shd w:val="clear" w:color="auto" w:fill="D9D9D9"/>
              </w:rPr>
            </w:pPr>
            <w:r>
              <w:rPr>
                <w:rFonts w:hint="eastAsia"/>
                <w:sz w:val="18"/>
              </w:rPr>
              <w:t>　　▼</w:t>
            </w:r>
            <w:r>
              <w:rPr>
                <w:rFonts w:hint="default"/>
                <w:sz w:val="18"/>
              </w:rPr>
              <w:t>　　　　　</w:t>
            </w:r>
            <w:r>
              <w:rPr>
                <w:rFonts w:hint="eastAsia"/>
                <w:sz w:val="18"/>
              </w:rPr>
              <w:t>　</w:t>
            </w:r>
            <w:r>
              <w:rPr>
                <w:rFonts w:hint="default"/>
                <w:sz w:val="18"/>
              </w:rPr>
              <w:t>　　　</w:t>
            </w:r>
            <w:r>
              <w:rPr>
                <w:rFonts w:hint="default"/>
                <w:sz w:val="18"/>
              </w:rPr>
              <w:t>◀</w:t>
            </w:r>
            <w:r>
              <w:rPr>
                <w:rFonts w:hint="default"/>
                <w:b w:val="1"/>
                <w:sz w:val="18"/>
              </w:rPr>
              <w:t>健康づくり</w:t>
            </w:r>
            <w:r>
              <w:rPr>
                <w:rFonts w:hint="eastAsia"/>
                <w:b w:val="1"/>
                <w:sz w:val="18"/>
              </w:rPr>
              <w:t xml:space="preserve"> </w:t>
            </w:r>
            <w:r>
              <w:rPr>
                <w:rFonts w:hint="eastAsia"/>
                <w:b w:val="1"/>
                <w:sz w:val="18"/>
              </w:rPr>
              <w:t>◀その他</w:t>
            </w:r>
            <w:r>
              <w:rPr>
                <w:rFonts w:hint="eastAsia"/>
                <w:b w:val="1"/>
                <w:sz w:val="18"/>
              </w:rPr>
              <w:t>(</w:t>
            </w:r>
            <w:r>
              <w:rPr>
                <w:rFonts w:hint="eastAsia"/>
                <w:b w:val="1"/>
                <w:sz w:val="18"/>
              </w:rPr>
              <w:t>医療費適正化</w:t>
            </w:r>
            <w:r>
              <w:rPr>
                <w:rFonts w:hint="eastAsia"/>
                <w:b w:val="1"/>
                <w:sz w:val="18"/>
              </w:rPr>
              <w:t>)</w:t>
            </w:r>
          </w:p>
        </w:tc>
      </w:tr>
      <w:tr>
        <w:trPr>
          <w:trHeight w:val="20" w:hRule="atLeast"/>
        </w:trPr>
        <w:tc>
          <w:tcPr>
            <w:tcW w:w="500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widowControl w:val="0"/>
              <w:ind w:left="144" w:leftChars="90"/>
              <w:jc w:val="center"/>
              <w:rPr>
                <w:rFonts w:hint="default"/>
                <w:b w:val="1"/>
                <w:color w:val="FF0000"/>
                <w:sz w:val="18"/>
              </w:rPr>
            </w:pPr>
            <w:r>
              <w:rPr>
                <w:rFonts w:hint="eastAsia"/>
                <w:b w:val="1"/>
              </w:rPr>
              <w:t>健康に関する意識と健康につながる生活習慣</w:t>
            </w:r>
          </w:p>
        </w:tc>
      </w:tr>
      <w:tr>
        <w:trPr>
          <w:trHeight w:val="20" w:hRule="atLeast"/>
        </w:trPr>
        <w:tc>
          <w:tcPr>
            <w:tcW w:w="945"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default"/>
                <w:sz w:val="14"/>
              </w:rPr>
              <w:t>健康に関する意識</w:t>
            </w:r>
          </w:p>
        </w:tc>
        <w:tc>
          <w:tcPr>
            <w:tcW w:w="40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w:t>
            </w:r>
            <w:r>
              <w:rPr>
                <w:rFonts w:hint="default"/>
              </w:rPr>
              <w:t>令和</w:t>
            </w:r>
            <w:r>
              <w:rPr>
                <w:rFonts w:hint="default"/>
              </w:rPr>
              <w:t>4</w:t>
            </w:r>
            <w:r>
              <w:rPr>
                <w:rFonts w:hint="default"/>
              </w:rPr>
              <w:t>年度</w:t>
            </w:r>
            <w:r>
              <w:rPr>
                <w:rFonts w:hint="eastAsia"/>
              </w:rPr>
              <w:t>の特定健診</w:t>
            </w:r>
            <w:r>
              <w:rPr>
                <w:rFonts w:hint="default"/>
              </w:rPr>
              <w:t>受診率は</w:t>
            </w:r>
            <w:r>
              <w:rPr>
                <w:rFonts w:hint="default"/>
              </w:rPr>
              <w:t>28.9%</w:t>
            </w:r>
            <w:r>
              <w:rPr>
                <w:rFonts w:hint="eastAsia"/>
              </w:rPr>
              <w:t>であり、県より低い。</w:t>
            </w:r>
            <w:r>
              <w:rPr>
                <w:rFonts w:hint="default"/>
              </w:rPr>
              <w:t>令和</w:t>
            </w:r>
            <w:r>
              <w:rPr>
                <w:rFonts w:hint="default"/>
              </w:rPr>
              <w:t>3</w:t>
            </w:r>
            <w:r>
              <w:rPr>
                <w:rFonts w:hint="default"/>
              </w:rPr>
              <w:t>年度までの受診率でみると国</w:t>
            </w:r>
            <w:r>
              <w:rPr>
                <w:rFonts w:hint="eastAsia"/>
              </w:rPr>
              <w:t>・</w:t>
            </w:r>
            <w:r>
              <w:rPr>
                <w:rFonts w:hint="default"/>
              </w:rPr>
              <w:t>県より</w:t>
            </w:r>
            <w:r>
              <w:rPr>
                <w:rFonts w:hint="eastAsia"/>
              </w:rPr>
              <w:t>低い</w:t>
            </w:r>
            <w:r>
              <w:rPr>
                <w:rFonts w:hint="default"/>
              </w:rPr>
              <w:t>。</w:t>
            </w:r>
            <w:r>
              <w:rPr>
                <w:rFonts w:hint="eastAsia"/>
              </w:rPr>
              <w:t>（</w:t>
            </w:r>
            <w:r>
              <w:rPr>
                <w:rFonts w:hint="eastAsia"/>
              </w:rPr>
              <w:fldChar w:fldCharType="begin"/>
            </w:r>
            <w:r>
              <w:rPr>
                <w:rFonts w:hint="eastAsia"/>
              </w:rPr>
              <w:instrText xml:space="preserve">REF _Ref122535537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1</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・令和</w:t>
            </w:r>
            <w:r>
              <w:rPr>
                <w:rFonts w:hint="eastAsia"/>
              </w:rPr>
              <w:t>4</w:t>
            </w:r>
            <w:r>
              <w:rPr>
                <w:rFonts w:hint="eastAsia"/>
              </w:rPr>
              <w:t>年度の特定健診未受診者のうち、生活習慣病のレセプトが出ていないものは</w:t>
            </w:r>
            <w:r>
              <w:rPr>
                <w:rFonts w:hint="default"/>
              </w:rPr>
              <w:t>3,186</w:t>
            </w:r>
            <w:r>
              <w:rPr>
                <w:rFonts w:hint="default"/>
              </w:rPr>
              <w:t>人</w:t>
            </w:r>
            <w:r>
              <w:rPr>
                <w:rFonts w:hint="eastAsia"/>
              </w:rPr>
              <w:t>で、特定健診対象者の</w:t>
            </w:r>
            <w:r>
              <w:rPr>
                <w:rFonts w:hint="default"/>
              </w:rPr>
              <w:t>25.5%</w:t>
            </w:r>
            <w:r>
              <w:rPr>
                <w:rFonts w:hint="eastAsia"/>
              </w:rPr>
              <w:t>となっている。（</w:t>
            </w:r>
            <w:r>
              <w:rPr>
                <w:rFonts w:hint="eastAsia"/>
              </w:rPr>
              <w:fldChar w:fldCharType="begin"/>
            </w:r>
            <w:r>
              <w:rPr>
                <w:rFonts w:hint="eastAsia"/>
              </w:rPr>
              <w:instrText xml:space="preserve">REF _Ref130893311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1</w:t>
            </w:r>
            <w:r>
              <w:rPr>
                <w:rFonts w:hint="eastAsia"/>
              </w:rPr>
              <w:t>-</w:t>
            </w:r>
            <w:r>
              <w:rPr>
                <w:rFonts w:hint="default"/>
              </w:rPr>
              <w:t>3</w:t>
            </w:r>
            <w:r>
              <w:rPr>
                <w:rFonts w:hint="eastAsia"/>
              </w:rPr>
              <w:fldChar w:fldCharType="end"/>
            </w:r>
            <w:r>
              <w:rPr>
                <w:rFonts w:hint="eastAsia"/>
              </w:rPr>
              <w:t>）</w:t>
            </w:r>
          </w:p>
          <w:p>
            <w:pPr>
              <w:pStyle w:val="55"/>
              <w:rPr>
                <w:rFonts w:hint="default"/>
              </w:rPr>
            </w:pPr>
            <w:r>
              <w:rPr>
                <w:rFonts w:hint="eastAsia"/>
              </w:rPr>
              <w:t>・特定健診の未受診者割合のうち、生活習慣病治療中が</w:t>
            </w:r>
            <w:r>
              <w:rPr>
                <w:rFonts w:hint="default"/>
              </w:rPr>
              <w:t>64.1%</w:t>
            </w:r>
            <w:r>
              <w:rPr>
                <w:rFonts w:hint="default"/>
              </w:rPr>
              <w:t>、生活習慣病の治療なしが</w:t>
            </w:r>
            <w:r>
              <w:rPr>
                <w:rFonts w:hint="default"/>
              </w:rPr>
              <w:t>35.9%</w:t>
            </w:r>
            <w:r>
              <w:rPr>
                <w:rFonts w:hint="eastAsia"/>
              </w:rPr>
              <w:t>となっている。（</w:t>
            </w:r>
            <w:r>
              <w:rPr>
                <w:rFonts w:hint="eastAsia"/>
              </w:rPr>
              <w:fldChar w:fldCharType="begin"/>
            </w:r>
            <w:r>
              <w:rPr>
                <w:rFonts w:hint="eastAsia"/>
              </w:rPr>
              <w:instrText xml:space="preserve">REF _Ref130893311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1</w:t>
            </w:r>
            <w:r>
              <w:rPr>
                <w:rFonts w:hint="eastAsia"/>
              </w:rPr>
              <w:t>-</w:t>
            </w:r>
            <w:r>
              <w:rPr>
                <w:rFonts w:hint="default"/>
              </w:rPr>
              <w:t>3</w:t>
            </w:r>
            <w:r>
              <w:rPr>
                <w:rFonts w:hint="eastAsia"/>
              </w:rPr>
              <w:fldChar w:fldCharType="end"/>
            </w:r>
            <w:r>
              <w:rPr>
                <w:rFonts w:hint="eastAsia"/>
              </w:rPr>
              <w:t>）</w:t>
            </w:r>
          </w:p>
        </w:tc>
      </w:tr>
      <w:tr>
        <w:trPr>
          <w:trHeight w:val="20" w:hRule="atLeast"/>
        </w:trPr>
        <w:tc>
          <w:tcPr>
            <w:tcW w:w="35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特定健診</w:t>
            </w:r>
          </w:p>
        </w:tc>
        <w:tc>
          <w:tcPr>
            <w:tcW w:w="58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・生活習慣</w:t>
            </w:r>
          </w:p>
        </w:tc>
        <w:tc>
          <w:tcPr>
            <w:tcW w:w="4055"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・特定健診受診者の質問票の回答割合について、国を</w:t>
            </w:r>
            <w:r>
              <w:rPr>
                <w:rFonts w:hint="default"/>
              </w:rPr>
              <w:t>100</w:t>
            </w:r>
            <w:r>
              <w:rPr>
                <w:rFonts w:hint="default"/>
              </w:rPr>
              <w:t>とした標準化比は、「週</w:t>
            </w:r>
            <w:r>
              <w:rPr>
                <w:rFonts w:hint="default"/>
              </w:rPr>
              <w:t>3</w:t>
            </w:r>
            <w:r>
              <w:rPr>
                <w:rFonts w:hint="default"/>
              </w:rPr>
              <w:t>回以上就寝前夕食」、｢喫煙｣が</w:t>
            </w:r>
            <w:r>
              <w:rPr>
                <w:rFonts w:hint="default"/>
              </w:rPr>
              <w:t>3%</w:t>
            </w:r>
            <w:r>
              <w:rPr>
                <w:rFonts w:hint="default"/>
              </w:rPr>
              <w:t>以上の差があり特に高い。男女別では、男性は「週</w:t>
            </w:r>
            <w:r>
              <w:rPr>
                <w:rFonts w:hint="default"/>
              </w:rPr>
              <w:t>3</w:t>
            </w:r>
            <w:r>
              <w:rPr>
                <w:rFonts w:hint="default"/>
              </w:rPr>
              <w:t>回以上就寝前夕食」「生活改善意欲なし」「</w:t>
            </w:r>
            <w:r>
              <w:rPr>
                <w:rFonts w:hint="default"/>
              </w:rPr>
              <w:t>3</w:t>
            </w:r>
            <w:r>
              <w:rPr>
                <w:rFonts w:hint="default"/>
              </w:rPr>
              <w:t>食以外間食</w:t>
            </w:r>
            <w:r>
              <w:rPr>
                <w:rFonts w:hint="default"/>
              </w:rPr>
              <w:t>_</w:t>
            </w:r>
            <w:r>
              <w:rPr>
                <w:rFonts w:hint="default"/>
              </w:rPr>
              <w:t>毎日」の標準化比がいずれの年代においても高く、女性は「週</w:t>
            </w:r>
            <w:r>
              <w:rPr>
                <w:rFonts w:hint="default"/>
              </w:rPr>
              <w:t>3</w:t>
            </w:r>
            <w:r>
              <w:rPr>
                <w:rFonts w:hint="default"/>
              </w:rPr>
              <w:t>回以上朝食を抜く」「週</w:t>
            </w:r>
            <w:r>
              <w:rPr>
                <w:rFonts w:hint="default"/>
              </w:rPr>
              <w:t>3</w:t>
            </w:r>
            <w:r>
              <w:rPr>
                <w:rFonts w:hint="default"/>
              </w:rPr>
              <w:t>回以上就寝前夕食」「喫煙」の標準化比がいずれの年代においても高い。</w:t>
            </w:r>
            <w:r>
              <w:rPr>
                <w:rFonts w:hint="eastAsia"/>
              </w:rPr>
              <w:t>（</w:t>
            </w:r>
            <w:r>
              <w:rPr>
                <w:rFonts w:hint="eastAsia"/>
              </w:rPr>
              <w:fldChar w:fldCharType="begin"/>
            </w:r>
            <w:r>
              <w:rPr>
                <w:rFonts w:hint="eastAsia"/>
              </w:rPr>
              <w:instrText xml:space="preserve">REF _Ref122541713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6</w:t>
            </w:r>
            <w:r>
              <w:rPr>
                <w:rFonts w:hint="eastAsia"/>
              </w:rPr>
              <w:t>-</w:t>
            </w:r>
            <w:r>
              <w:rPr>
                <w:rFonts w:hint="default"/>
              </w:rPr>
              <w:t>3</w:t>
            </w:r>
            <w:r>
              <w:rPr>
                <w:rFonts w:hint="eastAsia"/>
              </w:rPr>
              <w:fldChar w:fldCharType="end"/>
            </w:r>
            <w:r>
              <w:rPr>
                <w:rFonts w:hint="eastAsia"/>
              </w:rPr>
              <w:t>）</w:t>
            </w:r>
          </w:p>
        </w:tc>
      </w:tr>
    </w:tbl>
    <w:p>
      <w:pPr>
        <w:pStyle w:val="0"/>
        <w:widowControl w:val="0"/>
        <w:ind w:left="144" w:leftChars="90"/>
        <w:jc w:val="right"/>
        <w:rPr>
          <w:rFonts w:hint="default"/>
          <w:b w:val="1"/>
          <w:sz w:val="18"/>
        </w:rPr>
      </w:pPr>
      <w:r>
        <w:rPr>
          <w:rFonts w:hint="eastAsia"/>
          <w:sz w:val="18"/>
        </w:rPr>
        <w:t>▼</w:t>
      </w:r>
      <w:r>
        <w:rPr>
          <w:rFonts w:hint="default"/>
          <w:sz w:val="18"/>
        </w:rPr>
        <w:t>　　　　　　　　　　　　　　　　</w:t>
      </w:r>
      <w:r>
        <w:rPr>
          <w:rFonts w:hint="default"/>
          <w:sz w:val="18"/>
        </w:rPr>
        <w:t>◀</w:t>
      </w:r>
      <w:r>
        <w:rPr>
          <w:rFonts w:hint="default"/>
          <w:b w:val="1"/>
          <w:sz w:val="18"/>
        </w:rPr>
        <w:t>早期発見・特定健診</w:t>
      </w:r>
    </w:p>
    <w:tbl>
      <w:tblPr>
        <w:tblStyle w:val="11"/>
        <w:tblW w:w="5063" w:type="pct"/>
        <w:tblInd w:w="-10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104"/>
        <w:gridCol w:w="670"/>
        <w:gridCol w:w="1109"/>
        <w:gridCol w:w="7610"/>
      </w:tblGrid>
      <w:tr>
        <w:trPr>
          <w:gridBefore w:val="1"/>
          <w:wBefore w:w="55" w:type="pct"/>
          <w:trHeight w:val="20" w:hRule="atLeast"/>
        </w:trPr>
        <w:tc>
          <w:tcPr>
            <w:tcW w:w="4945"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widowControl w:val="0"/>
              <w:jc w:val="center"/>
              <w:rPr>
                <w:rFonts w:hint="default"/>
                <w:b w:val="1"/>
                <w:sz w:val="18"/>
              </w:rPr>
            </w:pPr>
            <w:r>
              <w:rPr>
                <w:rFonts w:hint="default"/>
                <w:b w:val="1"/>
              </w:rPr>
              <w:t>生活習慣病予備群</w:t>
            </w:r>
            <w:r>
              <w:rPr>
                <w:rFonts w:hint="eastAsia"/>
                <w:b w:val="1"/>
              </w:rPr>
              <w:t>・メタボリックシンドローム</w:t>
            </w:r>
          </w:p>
        </w:tc>
      </w:tr>
      <w:tr>
        <w:trPr>
          <w:gridBefore w:val="1"/>
          <w:wBefore w:w="55" w:type="pct"/>
          <w:trHeight w:val="20" w:hRule="atLeast"/>
        </w:trPr>
        <w:tc>
          <w:tcPr>
            <w:tcW w:w="3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特定</w:t>
            </w:r>
            <w:r>
              <w:rPr>
                <w:rFonts w:hint="default"/>
                <w:sz w:val="14"/>
              </w:rPr>
              <w:t>健診</w:t>
            </w:r>
          </w:p>
        </w:tc>
        <w:tc>
          <w:tcPr>
            <w:tcW w:w="5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0" w:type="dxa"/>
            </w:tcMar>
            <w:vAlign w:val="top"/>
          </w:tcPr>
          <w:p>
            <w:pPr>
              <w:pStyle w:val="0"/>
              <w:rPr>
                <w:rFonts w:hint="default"/>
                <w:sz w:val="14"/>
              </w:rPr>
            </w:pPr>
            <w:r>
              <w:rPr>
                <w:rFonts w:hint="eastAsia"/>
                <w:sz w:val="14"/>
              </w:rPr>
              <w:t>・メタボ該当者</w:t>
            </w:r>
          </w:p>
          <w:p>
            <w:pPr>
              <w:pStyle w:val="0"/>
              <w:rPr>
                <w:rFonts w:hint="default"/>
                <w:sz w:val="14"/>
              </w:rPr>
            </w:pPr>
            <w:r>
              <w:rPr>
                <w:rFonts w:hint="eastAsia"/>
                <w:sz w:val="14"/>
              </w:rPr>
              <w:t>・メタボ予備群</w:t>
            </w:r>
          </w:p>
          <w:p>
            <w:pPr>
              <w:pStyle w:val="0"/>
              <w:ind w:firstLine="140" w:firstLineChars="100"/>
              <w:rPr>
                <w:rFonts w:hint="default"/>
                <w:sz w:val="14"/>
              </w:rPr>
            </w:pPr>
            <w:r>
              <w:rPr>
                <w:rFonts w:hint="eastAsia"/>
                <w:sz w:val="14"/>
              </w:rPr>
              <w:t>該当者</w:t>
            </w:r>
          </w:p>
          <w:p>
            <w:pPr>
              <w:pStyle w:val="0"/>
              <w:rPr>
                <w:rFonts w:hint="default"/>
                <w:sz w:val="14"/>
              </w:rPr>
            </w:pPr>
            <w:r>
              <w:rPr>
                <w:rFonts w:hint="eastAsia"/>
                <w:sz w:val="14"/>
              </w:rPr>
              <w:t>・特定</w:t>
            </w:r>
            <w:r>
              <w:rPr>
                <w:rFonts w:hint="default"/>
                <w:sz w:val="14"/>
              </w:rPr>
              <w:t>健診</w:t>
            </w:r>
          </w:p>
          <w:p>
            <w:pPr>
              <w:pStyle w:val="0"/>
              <w:ind w:firstLine="140" w:firstLineChars="100"/>
              <w:rPr>
                <w:rFonts w:hint="default"/>
              </w:rPr>
            </w:pPr>
            <w:r>
              <w:rPr>
                <w:rFonts w:hint="default"/>
                <w:sz w:val="14"/>
              </w:rPr>
              <w:t>有所見者</w:t>
            </w:r>
          </w:p>
        </w:tc>
        <w:tc>
          <w:tcPr>
            <w:tcW w:w="400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w:t>
            </w:r>
            <w:r>
              <w:rPr>
                <w:rFonts w:hint="default"/>
              </w:rPr>
              <w:t>令和</w:t>
            </w:r>
            <w:r>
              <w:rPr>
                <w:rFonts w:hint="default"/>
              </w:rPr>
              <w:t>4</w:t>
            </w:r>
            <w:r>
              <w:rPr>
                <w:rFonts w:hint="default"/>
              </w:rPr>
              <w:t>年度</w:t>
            </w:r>
            <w:r>
              <w:rPr>
                <w:rFonts w:hint="eastAsia"/>
              </w:rPr>
              <w:t>のメタボ該当者は</w:t>
            </w:r>
            <w:r>
              <w:rPr>
                <w:rFonts w:hint="default"/>
              </w:rPr>
              <w:t>676</w:t>
            </w:r>
            <w:r>
              <w:rPr>
                <w:rFonts w:hint="default"/>
              </w:rPr>
              <w:t>人</w:t>
            </w:r>
            <w:r>
              <w:rPr>
                <w:rFonts w:hint="eastAsia"/>
              </w:rPr>
              <w:t>（</w:t>
            </w:r>
            <w:r>
              <w:rPr>
                <w:rFonts w:hint="default"/>
              </w:rPr>
              <w:t>18.7%</w:t>
            </w:r>
            <w:r>
              <w:rPr>
                <w:rFonts w:hint="eastAsia"/>
              </w:rPr>
              <w:t>）</w:t>
            </w:r>
            <w:r>
              <w:rPr>
                <w:rFonts w:hint="default"/>
              </w:rPr>
              <w:t>で増加しており、メタボ予備群該当者</w:t>
            </w:r>
            <w:r>
              <w:rPr>
                <w:rFonts w:hint="eastAsia"/>
              </w:rPr>
              <w:t>は</w:t>
            </w:r>
            <w:r>
              <w:rPr>
                <w:rFonts w:hint="default"/>
              </w:rPr>
              <w:t>452</w:t>
            </w:r>
            <w:r>
              <w:rPr>
                <w:rFonts w:hint="default"/>
              </w:rPr>
              <w:t>人</w:t>
            </w:r>
            <w:r>
              <w:rPr>
                <w:rFonts w:hint="eastAsia"/>
              </w:rPr>
              <w:t>（</w:t>
            </w:r>
            <w:r>
              <w:rPr>
                <w:rFonts w:hint="eastAsia"/>
              </w:rPr>
              <w:t>12.5%</w:t>
            </w:r>
            <w:r>
              <w:rPr>
                <w:rFonts w:hint="eastAsia"/>
              </w:rPr>
              <w:t>）</w:t>
            </w:r>
            <w:r>
              <w:rPr>
                <w:rFonts w:hint="default"/>
              </w:rPr>
              <w:t>で減少している。</w:t>
            </w:r>
            <w:r>
              <w:rPr>
                <w:rFonts w:hint="eastAsia"/>
              </w:rPr>
              <w:t>メタボ該当者・予備群該当者の割合は令和</w:t>
            </w:r>
            <w:r>
              <w:rPr>
                <w:rFonts w:hint="eastAsia"/>
              </w:rPr>
              <w:t>1</w:t>
            </w:r>
            <w:r>
              <w:rPr>
                <w:rFonts w:hint="eastAsia"/>
              </w:rPr>
              <w:t>年度から令和</w:t>
            </w:r>
            <w:r>
              <w:rPr>
                <w:rFonts w:hint="eastAsia"/>
              </w:rPr>
              <w:t>4</w:t>
            </w:r>
            <w:r>
              <w:rPr>
                <w:rFonts w:hint="eastAsia"/>
              </w:rPr>
              <w:t>年度までほぼ横ばいで推移している。（</w:t>
            </w:r>
            <w:r>
              <w:rPr>
                <w:rFonts w:hint="eastAsia"/>
              </w:rPr>
              <w:fldChar w:fldCharType="begin"/>
            </w:r>
            <w:r>
              <w:rPr>
                <w:rFonts w:hint="eastAsia"/>
              </w:rPr>
              <w:instrText xml:space="preserve">REF _Ref122539820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3</w:t>
            </w:r>
            <w:r>
              <w:rPr>
                <w:rFonts w:hint="eastAsia"/>
              </w:rPr>
              <w:t>-</w:t>
            </w:r>
            <w:r>
              <w:rPr>
                <w:rFonts w:hint="default"/>
              </w:rPr>
              <w:t>2</w:t>
            </w:r>
            <w:r>
              <w:rPr>
                <w:rFonts w:hint="eastAsia"/>
              </w:rPr>
              <w:fldChar w:fldCharType="end"/>
            </w:r>
            <w:r>
              <w:rPr>
                <w:rFonts w:hint="eastAsia"/>
              </w:rPr>
              <w:t>）</w:t>
            </w:r>
          </w:p>
          <w:p>
            <w:pPr>
              <w:pStyle w:val="55"/>
              <w:rPr>
                <w:rFonts w:hint="default"/>
              </w:rPr>
            </w:pPr>
            <w:r>
              <w:rPr>
                <w:rFonts w:hint="eastAsia"/>
              </w:rPr>
              <w:t>・</w:t>
            </w:r>
            <w:r>
              <w:rPr>
                <w:rFonts w:hint="default"/>
              </w:rPr>
              <w:t>令和</w:t>
            </w:r>
            <w:r>
              <w:rPr>
                <w:rFonts w:hint="default"/>
              </w:rPr>
              <w:t>4</w:t>
            </w:r>
            <w:r>
              <w:rPr>
                <w:rFonts w:hint="default"/>
              </w:rPr>
              <w:t>年度</w:t>
            </w:r>
            <w:r>
              <w:rPr>
                <w:rFonts w:hint="eastAsia"/>
              </w:rPr>
              <w:t>の特定保健指導実施率は</w:t>
            </w:r>
            <w:r>
              <w:rPr>
                <w:rFonts w:hint="default"/>
              </w:rPr>
              <w:t>27.0%</w:t>
            </w:r>
            <w:r>
              <w:rPr>
                <w:rFonts w:hint="eastAsia"/>
              </w:rPr>
              <w:t>であり、県より高い</w:t>
            </w:r>
            <w:r>
              <w:rPr>
                <w:rFonts w:hint="default"/>
              </w:rPr>
              <w:t>。令和</w:t>
            </w:r>
            <w:r>
              <w:rPr>
                <w:rFonts w:hint="default"/>
              </w:rPr>
              <w:t>3</w:t>
            </w:r>
            <w:r>
              <w:rPr>
                <w:rFonts w:hint="default"/>
              </w:rPr>
              <w:t>年度までの実施率でみると国・県より低い。</w:t>
            </w:r>
            <w:r>
              <w:rPr>
                <w:rFonts w:hint="eastAsia"/>
              </w:rPr>
              <w:t>（</w:t>
            </w:r>
            <w:r>
              <w:rPr>
                <w:rFonts w:hint="eastAsia"/>
              </w:rPr>
              <w:fldChar w:fldCharType="begin"/>
            </w:r>
            <w:r>
              <w:rPr>
                <w:rFonts w:hint="eastAsia"/>
              </w:rPr>
              <w:instrText xml:space="preserve">REF _Ref138936910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4</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・有所見該当者の割合について、国を</w:t>
            </w:r>
            <w:r>
              <w:rPr>
                <w:rFonts w:hint="eastAsia"/>
              </w:rPr>
              <w:t>100</w:t>
            </w:r>
            <w:r>
              <w:rPr>
                <w:rFonts w:hint="eastAsia"/>
              </w:rPr>
              <w:t>とした標準化比は、男性では</w:t>
            </w:r>
            <w:r>
              <w:rPr>
                <w:rFonts w:hint="default"/>
              </w:rPr>
              <w:t>「</w:t>
            </w:r>
            <w:r>
              <w:rPr>
                <w:rFonts w:hint="default"/>
              </w:rPr>
              <w:t>BMI</w:t>
            </w:r>
            <w:r>
              <w:rPr>
                <w:rFonts w:hint="default"/>
              </w:rPr>
              <w:t>」「中性脂肪」「</w:t>
            </w:r>
            <w:r>
              <w:rPr>
                <w:rFonts w:hint="default"/>
              </w:rPr>
              <w:t>LDL-C</w:t>
            </w:r>
            <w:r>
              <w:rPr>
                <w:rFonts w:hint="default"/>
              </w:rPr>
              <w:t>」の標準化比がいずれの年代においても</w:t>
            </w:r>
            <w:r>
              <w:rPr>
                <w:rFonts w:hint="default"/>
              </w:rPr>
              <w:t>100</w:t>
            </w:r>
            <w:r>
              <w:rPr>
                <w:rFonts w:hint="default"/>
              </w:rPr>
              <w:t>を超えている</w:t>
            </w:r>
            <w:r>
              <w:rPr>
                <w:rFonts w:hint="eastAsia"/>
              </w:rPr>
              <w:t>。女性では</w:t>
            </w:r>
            <w:r>
              <w:rPr>
                <w:rFonts w:hint="default"/>
              </w:rPr>
              <w:t>「</w:t>
            </w:r>
            <w:r>
              <w:rPr>
                <w:rFonts w:hint="default"/>
              </w:rPr>
              <w:t>BMI</w:t>
            </w:r>
            <w:r>
              <w:rPr>
                <w:rFonts w:hint="default"/>
              </w:rPr>
              <w:t>」「腹囲」「中性脂肪」「</w:t>
            </w:r>
            <w:r>
              <w:rPr>
                <w:rFonts w:hint="default"/>
              </w:rPr>
              <w:t>LDL-C</w:t>
            </w:r>
            <w:r>
              <w:rPr>
                <w:rFonts w:hint="default"/>
              </w:rPr>
              <w:t>」「</w:t>
            </w:r>
            <w:r>
              <w:rPr>
                <w:rFonts w:hint="default"/>
              </w:rPr>
              <w:t>ALT</w:t>
            </w:r>
            <w:r>
              <w:rPr>
                <w:rFonts w:hint="default"/>
              </w:rPr>
              <w:t>」の標準化比がいずれの年代においても</w:t>
            </w:r>
            <w:r>
              <w:rPr>
                <w:rFonts w:hint="default"/>
              </w:rPr>
              <w:t>100</w:t>
            </w:r>
            <w:r>
              <w:rPr>
                <w:rFonts w:hint="default"/>
              </w:rPr>
              <w:t>を超えている。</w:t>
            </w:r>
            <w:r>
              <w:rPr>
                <w:rFonts w:hint="eastAsia"/>
              </w:rPr>
              <w:t>（</w:t>
            </w:r>
            <w:r>
              <w:rPr>
                <w:rFonts w:hint="eastAsia"/>
              </w:rPr>
              <w:fldChar w:fldCharType="begin"/>
            </w:r>
            <w:r>
              <w:rPr>
                <w:rFonts w:hint="eastAsia"/>
              </w:rPr>
              <w:instrText xml:space="preserve">REF _Ref130213898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2</w:t>
            </w:r>
            <w:r>
              <w:rPr>
                <w:rFonts w:hint="eastAsia"/>
              </w:rPr>
              <w:t>-</w:t>
            </w:r>
            <w:r>
              <w:rPr>
                <w:rFonts w:hint="default"/>
              </w:rPr>
              <w:t>2</w:t>
            </w:r>
            <w:r>
              <w:rPr>
                <w:rFonts w:hint="eastAsia"/>
              </w:rPr>
              <w:fldChar w:fldCharType="end"/>
            </w:r>
            <w:r>
              <w:rPr>
                <w:rFonts w:hint="eastAsia"/>
              </w:rPr>
              <w:t>・</w:t>
            </w:r>
            <w:r>
              <w:rPr>
                <w:rFonts w:hint="eastAsia"/>
              </w:rPr>
              <w:fldChar w:fldCharType="begin"/>
            </w:r>
            <w:r>
              <w:rPr>
                <w:rFonts w:hint="eastAsia"/>
              </w:rPr>
              <w:instrText xml:space="preserve">REF _Ref130213904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2</w:t>
            </w:r>
            <w:r>
              <w:rPr>
                <w:rFonts w:hint="eastAsia"/>
              </w:rPr>
              <w:t>-</w:t>
            </w:r>
            <w:r>
              <w:rPr>
                <w:rFonts w:hint="default"/>
              </w:rPr>
              <w:t>3</w:t>
            </w:r>
            <w:r>
              <w:rPr>
                <w:rFonts w:hint="eastAsia"/>
              </w:rPr>
              <w:fldChar w:fldCharType="end"/>
            </w:r>
            <w:r>
              <w:rPr>
                <w:rFonts w:hint="eastAsia"/>
              </w:rPr>
              <w:t>）</w:t>
            </w:r>
          </w:p>
        </w:tc>
      </w:tr>
      <w:tr>
        <w:trPr>
          <w:gridBefore w:val="1"/>
          <w:wBefore w:w="55" w:type="pct"/>
          <w:trHeight w:val="20" w:hRule="atLeast"/>
        </w:trPr>
        <w:tc>
          <w:tcPr>
            <w:tcW w:w="4945" w:type="pct"/>
            <w:gridSpan w:val="3"/>
            <w:tcBorders>
              <w:top w:val="single" w:color="auto" w:sz="4" w:space="0"/>
              <w:left w:val="nil"/>
              <w:bottom w:val="single" w:color="auto" w:sz="4" w:space="0"/>
              <w:right w:val="nil"/>
              <w:tl2br w:val="none" w:color="auto" w:sz="0" w:space="0"/>
              <w:tr2bl w:val="none" w:color="auto" w:sz="0" w:space="0"/>
            </w:tcBorders>
            <w:tcMar>
              <w:top w:w="40" w:type="dxa"/>
              <w:left w:w="40" w:type="dxa"/>
              <w:bottom w:w="40" w:type="dxa"/>
              <w:right w:w="40" w:type="dxa"/>
            </w:tcMar>
            <w:vAlign w:val="top"/>
          </w:tcPr>
          <w:p>
            <w:pPr>
              <w:pStyle w:val="0"/>
              <w:widowControl w:val="0"/>
              <w:ind w:left="144" w:leftChars="90"/>
              <w:jc w:val="right"/>
              <w:rPr>
                <w:rFonts w:hint="default"/>
                <w:b w:val="1"/>
                <w:sz w:val="18"/>
                <w:shd w:val="clear" w:color="auto" w:fill="D9D9D9"/>
              </w:rPr>
            </w:pPr>
            <w:r>
              <w:rPr>
                <w:rFonts w:hint="eastAsia"/>
                <w:b w:val="1"/>
                <w:sz w:val="18"/>
              </w:rPr>
              <w:t>▼</w:t>
            </w:r>
            <w:r>
              <w:rPr>
                <w:rFonts w:hint="default"/>
                <w:b w:val="1"/>
                <w:sz w:val="18"/>
              </w:rPr>
              <w:t>　　　　　　　　　　　</w:t>
            </w:r>
            <w:r>
              <w:rPr>
                <w:rFonts w:hint="default"/>
                <w:b w:val="1"/>
                <w:sz w:val="18"/>
              </w:rPr>
              <w:t>◀</w:t>
            </w:r>
            <w:r>
              <w:rPr>
                <w:rFonts w:hint="default"/>
                <w:b w:val="1"/>
                <w:sz w:val="18"/>
              </w:rPr>
              <w:t>生活習慣病発症予防・保健指導</w:t>
            </w:r>
          </w:p>
        </w:tc>
      </w:tr>
      <w:tr>
        <w:trPr>
          <w:trHeight w:val="20" w:hRule="atLeast"/>
        </w:trPr>
        <w:tc>
          <w:tcPr>
            <w:tcW w:w="5000"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55"/>
              <w:ind w:left="135" w:hanging="135"/>
              <w:jc w:val="center"/>
              <w:rPr>
                <w:rFonts w:hint="default"/>
              </w:rPr>
            </w:pPr>
            <w:r>
              <w:rPr>
                <w:rFonts w:hint="default"/>
                <w:b w:val="1"/>
                <w:sz w:val="18"/>
              </w:rPr>
              <w:t>生活習慣病</w:t>
            </w:r>
          </w:p>
        </w:tc>
      </w:tr>
      <w:tr>
        <w:trPr>
          <w:trHeight w:val="20" w:hRule="atLeast"/>
        </w:trPr>
        <w:tc>
          <w:tcPr>
            <w:tcW w:w="408"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default"/>
                <w:sz w:val="14"/>
              </w:rPr>
              <w:t>医療費</w:t>
            </w:r>
          </w:p>
        </w:tc>
        <w:tc>
          <w:tcPr>
            <w:tcW w:w="5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w:t>
            </w:r>
            <w:r>
              <w:rPr>
                <w:rFonts w:hint="default"/>
                <w:sz w:val="14"/>
              </w:rPr>
              <w:t>外来</w:t>
            </w:r>
          </w:p>
        </w:tc>
        <w:tc>
          <w:tcPr>
            <w:tcW w:w="400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・基礎疾患及び「慢性腎臓病（透析なし）」の外来受診率は、「慢性腎臓病（透析なし）」が国より高い。（</w:t>
            </w:r>
            <w:r>
              <w:rPr>
                <w:rFonts w:hint="eastAsia"/>
              </w:rPr>
              <w:fldChar w:fldCharType="begin"/>
            </w:r>
            <w:r>
              <w:rPr>
                <w:rFonts w:hint="eastAsia"/>
              </w:rPr>
              <w:instrText xml:space="preserve">REF _Ref122534353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4</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・令和</w:t>
            </w:r>
            <w:r>
              <w:rPr>
                <w:rFonts w:hint="eastAsia"/>
              </w:rPr>
              <w:t>4</w:t>
            </w:r>
            <w:r>
              <w:rPr>
                <w:rFonts w:hint="eastAsia"/>
              </w:rPr>
              <w:t>年度</w:t>
            </w:r>
            <w:r>
              <w:rPr>
                <w:rFonts w:hint="eastAsia"/>
              </w:rPr>
              <w:t>3</w:t>
            </w:r>
            <w:r>
              <w:rPr>
                <w:rFonts w:hint="eastAsia"/>
              </w:rPr>
              <w:t>月時点の被保険者における基礎疾患の有病者数及びその割合</w:t>
            </w:r>
            <w:r>
              <w:rPr>
                <w:rFonts w:hint="default"/>
              </w:rPr>
              <w:t>は、</w:t>
            </w:r>
            <w:r>
              <w:rPr>
                <w:rFonts w:hint="eastAsia"/>
              </w:rPr>
              <w:t>「</w:t>
            </w:r>
            <w:r>
              <w:rPr>
                <w:rFonts w:hint="default"/>
              </w:rPr>
              <w:t>高血圧症</w:t>
            </w:r>
            <w:r>
              <w:rPr>
                <w:rFonts w:hint="eastAsia"/>
              </w:rPr>
              <w:t>」</w:t>
            </w:r>
            <w:r>
              <w:rPr>
                <w:rFonts w:hint="default"/>
              </w:rPr>
              <w:t>が</w:t>
            </w:r>
            <w:r>
              <w:rPr>
                <w:rFonts w:hint="default"/>
              </w:rPr>
              <w:t>3,608</w:t>
            </w:r>
            <w:r>
              <w:rPr>
                <w:rFonts w:hint="default"/>
              </w:rPr>
              <w:t>人（</w:t>
            </w:r>
            <w:r>
              <w:rPr>
                <w:rFonts w:hint="default"/>
              </w:rPr>
              <w:t>19.3%</w:t>
            </w:r>
            <w:r>
              <w:rPr>
                <w:rFonts w:hint="default"/>
              </w:rPr>
              <w:t>）、</w:t>
            </w:r>
            <w:r>
              <w:rPr>
                <w:rFonts w:hint="eastAsia"/>
              </w:rPr>
              <w:t>「</w:t>
            </w:r>
            <w:r>
              <w:rPr>
                <w:rFonts w:hint="default"/>
              </w:rPr>
              <w:t>脂質異常症</w:t>
            </w:r>
            <w:r>
              <w:rPr>
                <w:rFonts w:hint="eastAsia"/>
              </w:rPr>
              <w:t>」</w:t>
            </w:r>
            <w:r>
              <w:rPr>
                <w:rFonts w:hint="default"/>
              </w:rPr>
              <w:t>が</w:t>
            </w:r>
            <w:r>
              <w:rPr>
                <w:rFonts w:hint="default"/>
              </w:rPr>
              <w:t>3,144</w:t>
            </w:r>
            <w:r>
              <w:rPr>
                <w:rFonts w:hint="default"/>
              </w:rPr>
              <w:t>人（</w:t>
            </w:r>
            <w:r>
              <w:rPr>
                <w:rFonts w:hint="default"/>
              </w:rPr>
              <w:t>16.8%</w:t>
            </w:r>
            <w:r>
              <w:rPr>
                <w:rFonts w:hint="default"/>
              </w:rPr>
              <w:t>）</w:t>
            </w:r>
            <w:r>
              <w:rPr>
                <w:rFonts w:hint="eastAsia"/>
              </w:rPr>
              <w:t>、「</w:t>
            </w:r>
            <w:r>
              <w:rPr>
                <w:rFonts w:hint="default"/>
              </w:rPr>
              <w:t>糖尿病</w:t>
            </w:r>
            <w:r>
              <w:rPr>
                <w:rFonts w:hint="eastAsia"/>
              </w:rPr>
              <w:t>」</w:t>
            </w:r>
            <w:r>
              <w:rPr>
                <w:rFonts w:hint="default"/>
              </w:rPr>
              <w:t>が</w:t>
            </w:r>
            <w:r>
              <w:rPr>
                <w:rFonts w:hint="default"/>
              </w:rPr>
              <w:t>2,586</w:t>
            </w:r>
            <w:r>
              <w:rPr>
                <w:rFonts w:hint="default"/>
              </w:rPr>
              <w:t>人（</w:t>
            </w:r>
            <w:r>
              <w:rPr>
                <w:rFonts w:hint="default"/>
              </w:rPr>
              <w:t>13.8%</w:t>
            </w:r>
            <w:r>
              <w:rPr>
                <w:rFonts w:hint="default"/>
              </w:rPr>
              <w:t>）である。（</w:t>
            </w:r>
            <w:r>
              <w:rPr>
                <w:rFonts w:hint="eastAsia"/>
              </w:rPr>
              <w:fldChar w:fldCharType="begin"/>
            </w:r>
            <w:r>
              <w:rPr>
                <w:rFonts w:hint="eastAsia"/>
              </w:rPr>
              <w:instrText xml:space="preserve">REF _Ref122534521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5</w:t>
            </w:r>
            <w:r>
              <w:rPr>
                <w:rFonts w:hint="eastAsia"/>
              </w:rPr>
              <w:t>-</w:t>
            </w:r>
            <w:r>
              <w:rPr>
                <w:rFonts w:hint="default"/>
              </w:rPr>
              <w:t>2</w:t>
            </w:r>
            <w:r>
              <w:rPr>
                <w:rFonts w:hint="eastAsia"/>
              </w:rPr>
              <w:fldChar w:fldCharType="end"/>
            </w:r>
            <w:r>
              <w:rPr>
                <w:rFonts w:hint="default"/>
              </w:rPr>
              <w:t>）</w:t>
            </w:r>
          </w:p>
        </w:tc>
      </w:tr>
      <w:tr>
        <w:trPr>
          <w:trHeight w:val="20" w:hRule="atLeast"/>
        </w:trPr>
        <w:tc>
          <w:tcPr>
            <w:tcW w:w="408" w:type="pct"/>
            <w:gridSpan w:val="2"/>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特定</w:t>
            </w:r>
            <w:r>
              <w:rPr>
                <w:rFonts w:hint="default"/>
                <w:sz w:val="14"/>
              </w:rPr>
              <w:t>健診</w:t>
            </w:r>
          </w:p>
        </w:tc>
        <w:tc>
          <w:tcPr>
            <w:tcW w:w="58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w:t>
            </w:r>
            <w:r>
              <w:rPr>
                <w:rFonts w:hint="default"/>
                <w:sz w:val="14"/>
              </w:rPr>
              <w:t>受診勧奨</w:t>
            </w:r>
          </w:p>
          <w:p>
            <w:pPr>
              <w:pStyle w:val="0"/>
              <w:widowControl w:val="0"/>
              <w:ind w:firstLine="140" w:firstLineChars="100"/>
              <w:rPr>
                <w:rFonts w:hint="default"/>
                <w:sz w:val="14"/>
              </w:rPr>
            </w:pPr>
            <w:r>
              <w:rPr>
                <w:rFonts w:hint="eastAsia"/>
                <w:sz w:val="14"/>
              </w:rPr>
              <w:t>対象者</w:t>
            </w:r>
          </w:p>
        </w:tc>
        <w:tc>
          <w:tcPr>
            <w:tcW w:w="4009"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・受</w:t>
            </w:r>
            <w:r>
              <w:rPr>
                <w:rFonts w:hint="default"/>
              </w:rPr>
              <w:t>診勧奨</w:t>
            </w:r>
            <w:r>
              <w:rPr>
                <w:rFonts w:hint="eastAsia"/>
              </w:rPr>
              <w:t>対象</w:t>
            </w:r>
            <w:r>
              <w:rPr>
                <w:rFonts w:hint="default"/>
              </w:rPr>
              <w:t>者</w:t>
            </w:r>
            <w:r>
              <w:rPr>
                <w:rFonts w:hint="eastAsia"/>
              </w:rPr>
              <w:t>数は</w:t>
            </w:r>
            <w:r>
              <w:rPr>
                <w:rFonts w:hint="default"/>
              </w:rPr>
              <w:t>1,823</w:t>
            </w:r>
            <w:r>
              <w:rPr>
                <w:rFonts w:hint="default"/>
              </w:rPr>
              <w:t>人</w:t>
            </w:r>
            <w:r>
              <w:rPr>
                <w:rFonts w:hint="eastAsia"/>
              </w:rPr>
              <w:t>で、特定健診受診者の</w:t>
            </w:r>
            <w:r>
              <w:rPr>
                <w:rFonts w:hint="default"/>
              </w:rPr>
              <w:t>50.5%</w:t>
            </w:r>
            <w:r>
              <w:rPr>
                <w:rFonts w:hint="eastAsia"/>
              </w:rPr>
              <w:t>となっており、</w:t>
            </w:r>
            <w:r>
              <w:rPr>
                <w:rFonts w:hint="eastAsia"/>
              </w:rPr>
              <w:t>2.0</w:t>
            </w:r>
            <w:r>
              <w:rPr>
                <w:rFonts w:hint="eastAsia"/>
              </w:rPr>
              <w:t>ポイント減少している。受</w:t>
            </w:r>
            <w:r>
              <w:rPr>
                <w:rFonts w:hint="default"/>
              </w:rPr>
              <w:t>診勧奨</w:t>
            </w:r>
            <w:r>
              <w:rPr>
                <w:rFonts w:hint="eastAsia"/>
              </w:rPr>
              <w:t>対象</w:t>
            </w:r>
            <w:r>
              <w:rPr>
                <w:rFonts w:hint="default"/>
              </w:rPr>
              <w:t>者</w:t>
            </w:r>
            <w:r>
              <w:rPr>
                <w:rFonts w:hint="eastAsia"/>
              </w:rPr>
              <w:t>の割合は令和</w:t>
            </w:r>
            <w:r>
              <w:rPr>
                <w:rFonts w:hint="eastAsia"/>
              </w:rPr>
              <w:t>1</w:t>
            </w:r>
            <w:r>
              <w:rPr>
                <w:rFonts w:hint="eastAsia"/>
              </w:rPr>
              <w:t>年度から令和</w:t>
            </w:r>
            <w:r>
              <w:rPr>
                <w:rFonts w:hint="eastAsia"/>
              </w:rPr>
              <w:t>4</w:t>
            </w:r>
            <w:r>
              <w:rPr>
                <w:rFonts w:hint="eastAsia"/>
              </w:rPr>
              <w:t>年度までほぼ横ばいで推移している。（</w:t>
            </w:r>
            <w:r>
              <w:rPr>
                <w:rFonts w:hint="eastAsia"/>
              </w:rPr>
              <w:fldChar w:fldCharType="begin"/>
            </w:r>
            <w:r>
              <w:rPr>
                <w:rFonts w:hint="eastAsia"/>
              </w:rPr>
              <w:instrText xml:space="preserve">REF _Ref130213262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・受診勧奨対象者のうち服薬が確認されていないものの割合は、血糖では</w:t>
            </w:r>
            <w:r>
              <w:rPr>
                <w:rFonts w:hint="default"/>
              </w:rPr>
              <w:t>HbA1c</w:t>
            </w:r>
            <w:r>
              <w:rPr>
                <w:rFonts w:hint="default"/>
              </w:rPr>
              <w:t>が</w:t>
            </w:r>
            <w:r>
              <w:rPr>
                <w:rFonts w:hint="eastAsia"/>
              </w:rPr>
              <w:t>6.5</w:t>
            </w:r>
            <w:r>
              <w:rPr>
                <w:rFonts w:hint="default"/>
              </w:rPr>
              <w:t>%</w:t>
            </w:r>
            <w:r>
              <w:rPr>
                <w:rFonts w:hint="default"/>
              </w:rPr>
              <w:t>以上であった</w:t>
            </w:r>
            <w:r>
              <w:rPr>
                <w:rFonts w:hint="default"/>
              </w:rPr>
              <w:t>312</w:t>
            </w:r>
            <w:r>
              <w:rPr>
                <w:rFonts w:hint="default"/>
              </w:rPr>
              <w:t>人</w:t>
            </w:r>
            <w:r>
              <w:rPr>
                <w:rFonts w:hint="eastAsia"/>
              </w:rPr>
              <w:t>の</w:t>
            </w:r>
            <w:r>
              <w:rPr>
                <w:rFonts w:hint="default"/>
              </w:rPr>
              <w:t>28.8%</w:t>
            </w:r>
            <w:r>
              <w:rPr>
                <w:rFonts w:hint="default"/>
              </w:rPr>
              <w:t>、血圧</w:t>
            </w:r>
            <w:r>
              <w:rPr>
                <w:rFonts w:hint="eastAsia"/>
              </w:rPr>
              <w:t>で</w:t>
            </w:r>
            <w:r>
              <w:rPr>
                <w:rFonts w:hint="default"/>
              </w:rPr>
              <w:t>は</w:t>
            </w:r>
            <w:r>
              <w:rPr>
                <w:rFonts w:hint="eastAsia"/>
              </w:rPr>
              <w:t>Ⅰ</w:t>
            </w:r>
            <w:r>
              <w:rPr>
                <w:rFonts w:hint="default"/>
              </w:rPr>
              <w:t>度高血圧</w:t>
            </w:r>
            <w:r>
              <w:rPr>
                <w:rFonts w:hint="eastAsia"/>
              </w:rPr>
              <w:t>以上</w:t>
            </w:r>
            <w:r>
              <w:rPr>
                <w:rFonts w:hint="default"/>
              </w:rPr>
              <w:t>であった</w:t>
            </w:r>
            <w:r>
              <w:rPr>
                <w:rFonts w:hint="default"/>
              </w:rPr>
              <w:t>510</w:t>
            </w:r>
            <w:r>
              <w:rPr>
                <w:rFonts w:hint="default"/>
              </w:rPr>
              <w:t>人</w:t>
            </w:r>
            <w:r>
              <w:rPr>
                <w:rFonts w:hint="eastAsia"/>
              </w:rPr>
              <w:t>の</w:t>
            </w:r>
            <w:r>
              <w:rPr>
                <w:rFonts w:hint="default"/>
              </w:rPr>
              <w:t>59.2%</w:t>
            </w:r>
            <w:r>
              <w:rPr>
                <w:rFonts w:hint="default"/>
              </w:rPr>
              <w:t>、脂質</w:t>
            </w:r>
            <w:r>
              <w:rPr>
                <w:rFonts w:hint="eastAsia"/>
              </w:rPr>
              <w:t>で</w:t>
            </w:r>
            <w:r>
              <w:rPr>
                <w:rFonts w:hint="default"/>
              </w:rPr>
              <w:t>は</w:t>
            </w:r>
            <w:r>
              <w:rPr>
                <w:rFonts w:hint="default"/>
              </w:rPr>
              <w:t>LDL-C</w:t>
            </w:r>
            <w:r>
              <w:rPr>
                <w:rFonts w:hint="eastAsia"/>
              </w:rPr>
              <w:t>が</w:t>
            </w:r>
            <w:r>
              <w:rPr>
                <w:rFonts w:hint="default"/>
              </w:rPr>
              <w:t>1</w:t>
            </w:r>
            <w:r>
              <w:rPr>
                <w:rFonts w:hint="eastAsia"/>
              </w:rPr>
              <w:t>4</w:t>
            </w:r>
            <w:r>
              <w:rPr>
                <w:rFonts w:hint="default"/>
              </w:rPr>
              <w:t>0mg/d</w:t>
            </w:r>
            <w:r>
              <w:rPr>
                <w:rFonts w:hint="eastAsia"/>
              </w:rPr>
              <w:t>L</w:t>
            </w:r>
            <w:r>
              <w:rPr>
                <w:rFonts w:hint="default"/>
              </w:rPr>
              <w:t>以上であった</w:t>
            </w:r>
            <w:r>
              <w:rPr>
                <w:rFonts w:hint="default"/>
              </w:rPr>
              <w:t>1,016</w:t>
            </w:r>
            <w:r>
              <w:rPr>
                <w:rFonts w:hint="default"/>
              </w:rPr>
              <w:t>人</w:t>
            </w:r>
            <w:r>
              <w:rPr>
                <w:rFonts w:hint="eastAsia"/>
              </w:rPr>
              <w:t>の</w:t>
            </w:r>
            <w:r>
              <w:rPr>
                <w:rFonts w:hint="default"/>
              </w:rPr>
              <w:t>86.2%</w:t>
            </w:r>
            <w:r>
              <w:rPr>
                <w:rFonts w:hint="eastAsia"/>
              </w:rPr>
              <w:t>、腎機能では</w:t>
            </w:r>
            <w:r>
              <w:rPr>
                <w:rFonts w:hint="default"/>
              </w:rPr>
              <w:t>eGFR</w:t>
            </w:r>
            <w:r>
              <w:rPr>
                <w:rFonts w:hint="eastAsia"/>
              </w:rPr>
              <w:t>が</w:t>
            </w:r>
            <w:r>
              <w:rPr>
                <w:rFonts w:hint="default"/>
              </w:rPr>
              <w:t>45ml/</w:t>
            </w:r>
            <w:r>
              <w:rPr>
                <w:rFonts w:hint="default"/>
              </w:rPr>
              <w:t>分</w:t>
            </w:r>
            <w:r>
              <w:rPr>
                <w:rFonts w:hint="default"/>
              </w:rPr>
              <w:t>/1.73m</w:t>
            </w:r>
            <w:r>
              <w:rPr>
                <w:rFonts w:hint="default"/>
                <w:vertAlign w:val="superscript"/>
              </w:rPr>
              <w:t>2</w:t>
            </w:r>
            <w:r>
              <w:rPr>
                <w:rFonts w:hint="default"/>
              </w:rPr>
              <w:t>未満であった</w:t>
            </w:r>
            <w:r>
              <w:rPr>
                <w:rFonts w:hint="eastAsia"/>
              </w:rPr>
              <w:t>32</w:t>
            </w:r>
            <w:r>
              <w:rPr>
                <w:rFonts w:hint="eastAsia"/>
              </w:rPr>
              <w:t>人の</w:t>
            </w:r>
            <w:r>
              <w:rPr>
                <w:rFonts w:hint="eastAsia"/>
              </w:rPr>
              <w:t>6.3%</w:t>
            </w:r>
            <w:r>
              <w:rPr>
                <w:rFonts w:hint="eastAsia"/>
              </w:rPr>
              <w:t>である。（</w:t>
            </w:r>
            <w:r>
              <w:rPr>
                <w:rFonts w:hint="eastAsia"/>
              </w:rPr>
              <w:fldChar w:fldCharType="begin"/>
            </w:r>
            <w:r>
              <w:rPr>
                <w:rFonts w:hint="eastAsia"/>
              </w:rPr>
              <w:instrText xml:space="preserve">REF _Ref130214337 \h </w:instrText>
            </w:r>
            <w:r>
              <w:rPr>
                <w:rFonts w:hint="eastAsia"/>
              </w:rPr>
              <w:fldChar w:fldCharType="separate"/>
            </w:r>
            <w:r>
              <w:rPr>
                <w:rFonts w:hint="default"/>
              </w:rPr>
              <w:t>図表</w:t>
            </w:r>
            <w:r>
              <w:rPr>
                <w:rFonts w:hint="default"/>
              </w:rPr>
              <w:t>3</w:t>
            </w:r>
            <w:r>
              <w:rPr>
                <w:rFonts w:hint="eastAsia"/>
              </w:rPr>
              <w:t>-</w:t>
            </w:r>
            <w:r>
              <w:rPr>
                <w:rFonts w:hint="default"/>
              </w:rPr>
              <w:t>1</w:t>
            </w:r>
            <w:r>
              <w:rPr>
                <w:rFonts w:hint="eastAsia"/>
              </w:rPr>
              <w:t>-</w:t>
            </w:r>
            <w:r>
              <w:rPr>
                <w:rFonts w:hint="default"/>
              </w:rPr>
              <w:t>5</w:t>
            </w:r>
            <w:r>
              <w:rPr>
                <w:rFonts w:hint="eastAsia"/>
              </w:rPr>
              <w:t>-</w:t>
            </w:r>
            <w:r>
              <w:rPr>
                <w:rFonts w:hint="default"/>
              </w:rPr>
              <w:t>5</w:t>
            </w:r>
            <w:r>
              <w:rPr>
                <w:rFonts w:hint="eastAsia"/>
              </w:rPr>
              <w:fldChar w:fldCharType="end"/>
            </w:r>
            <w:r>
              <w:rPr>
                <w:rFonts w:hint="eastAsia"/>
              </w:rPr>
              <w:t>）</w:t>
            </w:r>
          </w:p>
        </w:tc>
      </w:tr>
    </w:tbl>
    <w:p>
      <w:pPr>
        <w:pStyle w:val="0"/>
        <w:rPr>
          <w:rFonts w:hint="default"/>
        </w:rPr>
      </w:pPr>
      <w:r>
        <w:rPr>
          <w:rFonts w:hint="default"/>
        </w:rPr>
        <w:br w:type="page"/>
      </w:r>
    </w:p>
    <w:tbl>
      <w:tblPr>
        <w:tblStyle w:val="11"/>
        <w:tblW w:w="5062" w:type="pct"/>
        <w:tblInd w:w="-10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7"/>
        <w:gridCol w:w="105"/>
        <w:gridCol w:w="669"/>
        <w:gridCol w:w="1108"/>
        <w:gridCol w:w="7612"/>
      </w:tblGrid>
      <w:tr>
        <w:trPr>
          <w:gridBefore w:val="2"/>
          <w:wBefore w:w="59" w:type="pct"/>
          <w:trHeight w:val="20" w:hRule="atLeast"/>
        </w:trPr>
        <w:tc>
          <w:tcPr>
            <w:tcW w:w="4941" w:type="pct"/>
            <w:gridSpan w:val="3"/>
            <w:tcBorders>
              <w:top w:val="single" w:color="auto" w:sz="4" w:space="0"/>
              <w:left w:val="nil"/>
              <w:bottom w:val="single" w:color="auto" w:sz="4" w:space="0"/>
              <w:right w:val="nil"/>
              <w:tl2br w:val="none" w:color="auto" w:sz="0" w:space="0"/>
              <w:tr2bl w:val="none" w:color="auto" w:sz="0" w:space="0"/>
            </w:tcBorders>
            <w:tcMar>
              <w:top w:w="40" w:type="dxa"/>
              <w:left w:w="40" w:type="dxa"/>
              <w:bottom w:w="40" w:type="dxa"/>
              <w:right w:w="40" w:type="dxa"/>
            </w:tcMar>
            <w:vAlign w:val="top"/>
          </w:tcPr>
          <w:p>
            <w:pPr>
              <w:pStyle w:val="0"/>
              <w:widowControl w:val="0"/>
              <w:spacing w:line="240" w:lineRule="auto"/>
              <w:ind w:left="144" w:leftChars="90"/>
              <w:jc w:val="right"/>
              <w:rPr>
                <w:rFonts w:hint="default"/>
                <w:b w:val="1"/>
                <w:sz w:val="18"/>
                <w:shd w:val="clear" w:color="auto" w:fill="D9D9D9"/>
              </w:rPr>
            </w:pPr>
            <w:r>
              <w:rPr>
                <w:rFonts w:hint="eastAsia"/>
                <w:b w:val="1"/>
                <w:sz w:val="18"/>
              </w:rPr>
              <w:t>▼</w:t>
            </w:r>
            <w:r>
              <w:rPr>
                <w:rFonts w:hint="default"/>
                <w:b w:val="1"/>
                <w:sz w:val="18"/>
              </w:rPr>
              <w:t>　　　　　　　　　　　　　　　　　　　　</w:t>
            </w:r>
            <w:r>
              <w:rPr>
                <w:rFonts w:hint="default"/>
                <w:b w:val="1"/>
                <w:sz w:val="18"/>
              </w:rPr>
              <w:t>◀</w:t>
            </w:r>
            <w:r>
              <w:rPr>
                <w:rFonts w:hint="default"/>
                <w:b w:val="1"/>
                <w:sz w:val="18"/>
              </w:rPr>
              <w:t>重症化予防</w:t>
            </w:r>
          </w:p>
        </w:tc>
      </w:tr>
      <w:tr>
        <w:trPr>
          <w:gridBefore w:val="1"/>
          <w:wBefore w:w="4" w:type="pct"/>
          <w:trHeight w:val="20" w:hRule="atLeast"/>
        </w:trPr>
        <w:tc>
          <w:tcPr>
            <w:tcW w:w="4996" w:type="pct"/>
            <w:gridSpan w:val="4"/>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55"/>
              <w:ind w:left="135" w:hanging="135"/>
              <w:jc w:val="center"/>
              <w:rPr>
                <w:rFonts w:hint="default"/>
              </w:rPr>
            </w:pPr>
            <w:r>
              <w:rPr>
                <w:rFonts w:hint="default"/>
                <w:b w:val="1"/>
                <w:sz w:val="18"/>
              </w:rPr>
              <w:t>生活習慣病重症化</w:t>
            </w:r>
          </w:p>
        </w:tc>
      </w:tr>
      <w:tr>
        <w:trPr>
          <w:gridBefore w:val="1"/>
          <w:wBefore w:w="4" w:type="pct"/>
          <w:trHeight w:val="20" w:hRule="atLeast"/>
        </w:trPr>
        <w:tc>
          <w:tcPr>
            <w:tcW w:w="407" w:type="pct"/>
            <w:gridSpan w:val="2"/>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default"/>
                <w:sz w:val="14"/>
              </w:rPr>
              <w:t>医療費</w:t>
            </w:r>
          </w:p>
        </w:tc>
        <w:tc>
          <w:tcPr>
            <w:tcW w:w="58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w:t>
            </w:r>
            <w:r>
              <w:rPr>
                <w:rFonts w:hint="default"/>
                <w:sz w:val="14"/>
              </w:rPr>
              <w:t>入院</w:t>
            </w:r>
          </w:p>
        </w:tc>
        <w:tc>
          <w:tcPr>
            <w:tcW w:w="40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5"/>
              <w:rPr>
                <w:rFonts w:hint="default"/>
              </w:rPr>
            </w:pPr>
            <w:r>
              <w:rPr>
                <w:rFonts w:hint="eastAsia"/>
              </w:rPr>
              <w:t>・保健事業により予防可能な疾患について入院医療費の上位をみると、「脳梗塞」が</w:t>
            </w:r>
            <w:r>
              <w:rPr>
                <w:rFonts w:hint="eastAsia"/>
              </w:rPr>
              <w:t>8</w:t>
            </w:r>
            <w:r>
              <w:rPr>
                <w:rFonts w:hint="eastAsia"/>
              </w:rPr>
              <w:t>位（</w:t>
            </w:r>
            <w:r>
              <w:rPr>
                <w:rFonts w:hint="eastAsia"/>
              </w:rPr>
              <w:t>3.4%</w:t>
            </w:r>
            <w:r>
              <w:rPr>
                <w:rFonts w:hint="eastAsia"/>
              </w:rPr>
              <w:t>）となっている。これらの疾患の受診率をみると、「脳梗塞」が国の</w:t>
            </w:r>
            <w:r>
              <w:rPr>
                <w:rFonts w:hint="eastAsia"/>
              </w:rPr>
              <w:t>1.0</w:t>
            </w:r>
            <w:r>
              <w:rPr>
                <w:rFonts w:hint="eastAsia"/>
              </w:rPr>
              <w:t>倍となっている。（</w:t>
            </w:r>
            <w:r>
              <w:rPr>
                <w:rFonts w:hint="eastAsia"/>
              </w:rPr>
              <w:fldChar w:fldCharType="begin"/>
            </w:r>
            <w:r>
              <w:rPr>
                <w:rFonts w:hint="eastAsia"/>
              </w:rPr>
              <w:instrText xml:space="preserve">REF _Ref122533871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2</w:t>
            </w:r>
            <w:r>
              <w:rPr>
                <w:rFonts w:hint="eastAsia"/>
              </w:rPr>
              <w:fldChar w:fldCharType="end"/>
            </w:r>
            <w:r>
              <w:rPr>
                <w:rFonts w:hint="eastAsia"/>
              </w:rPr>
              <w:t>・</w:t>
            </w:r>
            <w:r>
              <w:rPr>
                <w:rFonts w:hint="eastAsia"/>
              </w:rPr>
              <w:fldChar w:fldCharType="begin"/>
            </w:r>
            <w:r>
              <w:rPr>
                <w:rFonts w:hint="eastAsia"/>
              </w:rPr>
              <w:instrText xml:space="preserve">REF _Ref122533946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2</w:t>
            </w:r>
            <w:r>
              <w:rPr>
                <w:rFonts w:hint="eastAsia"/>
              </w:rPr>
              <w:t>-</w:t>
            </w:r>
            <w:r>
              <w:rPr>
                <w:rFonts w:hint="default"/>
              </w:rPr>
              <w:t>3</w:t>
            </w:r>
            <w:r>
              <w:rPr>
                <w:rFonts w:hint="eastAsia"/>
              </w:rPr>
              <w:fldChar w:fldCharType="end"/>
            </w:r>
            <w:r>
              <w:rPr>
                <w:rFonts w:hint="eastAsia"/>
              </w:rPr>
              <w:t>）</w:t>
            </w:r>
          </w:p>
          <w:p>
            <w:pPr>
              <w:pStyle w:val="39"/>
              <w:ind w:left="0" w:firstLine="0" w:firstLineChars="0"/>
              <w:rPr>
                <w:rFonts w:hint="default"/>
                <w:sz w:val="16"/>
              </w:rPr>
            </w:pPr>
            <w:r>
              <w:rPr>
                <w:rFonts w:hint="eastAsia"/>
                <w:sz w:val="16"/>
              </w:rPr>
              <w:t>・「前述した循環器系疾患について国との受診率の比をみると</w:t>
            </w:r>
            <w:r>
              <w:rPr>
                <w:rFonts w:hint="default"/>
                <w:sz w:val="16"/>
              </w:rPr>
              <w:t>、「脳梗塞」が</w:t>
            </w:r>
            <w:r>
              <w:rPr>
                <w:rFonts w:hint="default"/>
                <w:sz w:val="16"/>
              </w:rPr>
              <w:t>1.0</w:t>
            </w:r>
            <w:r>
              <w:rPr>
                <w:rFonts w:hint="default"/>
                <w:sz w:val="16"/>
              </w:rPr>
              <w:t>、「虚血性心疾患」</w:t>
            </w:r>
            <w:r>
              <w:rPr>
                <w:rFonts w:hint="eastAsia"/>
                <w:sz w:val="16"/>
              </w:rPr>
              <w:t>が</w:t>
            </w:r>
            <w:r>
              <w:rPr>
                <w:rFonts w:hint="default"/>
                <w:sz w:val="16"/>
              </w:rPr>
              <w:t>0.9</w:t>
            </w:r>
            <w:r>
              <w:rPr>
                <w:rFonts w:hint="default"/>
                <w:sz w:val="16"/>
              </w:rPr>
              <w:t>となっている。</w:t>
            </w:r>
          </w:p>
          <w:p>
            <w:pPr>
              <w:pStyle w:val="55"/>
              <w:rPr>
                <w:rFonts w:hint="default"/>
              </w:rPr>
            </w:pPr>
            <w:r>
              <w:rPr>
                <w:rFonts w:hint="eastAsia"/>
              </w:rPr>
              <w:t>虚血性心疾患」の国との入院受診率の比をみると、</w:t>
            </w:r>
            <w:r>
              <w:rPr>
                <w:rFonts w:hint="eastAsia"/>
              </w:rPr>
              <w:t>0</w:t>
            </w:r>
            <w:r>
              <w:rPr>
                <w:rFonts w:hint="default"/>
              </w:rPr>
              <w:t>.93</w:t>
            </w:r>
            <w:r>
              <w:rPr>
                <w:rFonts w:hint="eastAsia"/>
              </w:rPr>
              <w:t>倍であり、「脳血管疾患」の入院受診率は国の</w:t>
            </w:r>
            <w:r>
              <w:rPr>
                <w:rFonts w:hint="eastAsia"/>
              </w:rPr>
              <w:t>0</w:t>
            </w:r>
            <w:r>
              <w:rPr>
                <w:rFonts w:hint="default"/>
              </w:rPr>
              <w:t>.93</w:t>
            </w:r>
            <w:r>
              <w:rPr>
                <w:rFonts w:hint="eastAsia"/>
              </w:rPr>
              <w:t>倍である。（</w:t>
            </w:r>
            <w:r>
              <w:rPr>
                <w:rFonts w:hint="eastAsia"/>
              </w:rPr>
              <w:fldChar w:fldCharType="begin"/>
            </w:r>
            <w:r>
              <w:rPr>
                <w:rFonts w:hint="eastAsia"/>
              </w:rPr>
              <w:instrText xml:space="preserve">REF _Ref122534353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4</w:t>
            </w:r>
            <w:r>
              <w:rPr>
                <w:rFonts w:hint="eastAsia"/>
              </w:rPr>
              <w:t>-</w:t>
            </w:r>
            <w:r>
              <w:rPr>
                <w:rFonts w:hint="default"/>
              </w:rPr>
              <w:t>1</w:t>
            </w:r>
            <w:r>
              <w:rPr>
                <w:rFonts w:hint="eastAsia"/>
              </w:rPr>
              <w:fldChar w:fldCharType="end"/>
            </w:r>
            <w:r>
              <w:rPr>
                <w:rFonts w:hint="default"/>
              </w:rPr>
              <w:t>）</w:t>
            </w:r>
          </w:p>
          <w:p>
            <w:pPr>
              <w:pStyle w:val="55"/>
              <w:rPr>
                <w:rFonts w:hint="default"/>
              </w:rPr>
            </w:pPr>
            <w:r>
              <w:rPr>
                <w:rFonts w:hint="eastAsia"/>
              </w:rPr>
              <w:t>・重篤な疾患の患者は、基礎疾患（「糖尿病」「高血圧症」「脂質異常症」）を有しているものが多い。（</w:t>
            </w:r>
            <w:r>
              <w:rPr>
                <w:rFonts w:hint="eastAsia"/>
              </w:rPr>
              <w:fldChar w:fldCharType="begin"/>
            </w:r>
            <w:r>
              <w:rPr>
                <w:rFonts w:hint="eastAsia"/>
              </w:rPr>
              <w:instrText xml:space="preserve">REF _Ref122534437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5</w:t>
            </w:r>
            <w:r>
              <w:rPr>
                <w:rFonts w:hint="eastAsia"/>
              </w:rPr>
              <w:t>-</w:t>
            </w:r>
            <w:r>
              <w:rPr>
                <w:rFonts w:hint="default"/>
              </w:rPr>
              <w:t>1</w:t>
            </w:r>
            <w:r>
              <w:rPr>
                <w:rFonts w:hint="eastAsia"/>
              </w:rPr>
              <w:fldChar w:fldCharType="end"/>
            </w:r>
            <w:r>
              <w:rPr>
                <w:rFonts w:hint="eastAsia"/>
              </w:rPr>
              <w:t>）</w:t>
            </w:r>
          </w:p>
        </w:tc>
      </w:tr>
      <w:tr>
        <w:trPr>
          <w:gridBefore w:val="1"/>
          <w:wBefore w:w="4" w:type="pct"/>
          <w:trHeight w:val="208" w:hRule="atLeast"/>
        </w:trPr>
        <w:tc>
          <w:tcPr>
            <w:tcW w:w="407" w:type="pct"/>
            <w:gridSpan w:val="2"/>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p>
        </w:tc>
        <w:tc>
          <w:tcPr>
            <w:tcW w:w="58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・外来（透析）</w:t>
            </w:r>
          </w:p>
        </w:tc>
        <w:tc>
          <w:tcPr>
            <w:tcW w:w="40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・「腎不全」の外来医療費は、外来医療費全体の</w:t>
            </w:r>
            <w:r>
              <w:rPr>
                <w:rFonts w:hint="eastAsia"/>
              </w:rPr>
              <w:t>12.9%</w:t>
            </w:r>
            <w:r>
              <w:rPr>
                <w:rFonts w:hint="eastAsia"/>
              </w:rPr>
              <w:t>を占めている。（</w:t>
            </w:r>
            <w:r>
              <w:rPr>
                <w:rFonts w:hint="eastAsia"/>
              </w:rPr>
              <w:fldChar w:fldCharType="begin"/>
            </w:r>
            <w:r>
              <w:rPr>
                <w:rFonts w:hint="eastAsia"/>
              </w:rPr>
              <w:instrText xml:space="preserve">REF _Ref122534120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3</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・生活習慣病における重篤な疾患のうち「慢性腎臓病（透析あり）」の受診率は、国より高い。（</w:t>
            </w:r>
            <w:r>
              <w:rPr>
                <w:rFonts w:hint="eastAsia"/>
              </w:rPr>
              <w:fldChar w:fldCharType="begin"/>
            </w:r>
            <w:r>
              <w:rPr>
                <w:rFonts w:hint="eastAsia"/>
              </w:rPr>
              <w:instrText xml:space="preserve">REF _Ref122534353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4</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・「慢性腎臓病（透析あり）」患者のうち、「高血圧症</w:t>
            </w:r>
            <w:r>
              <w:rPr>
                <w:rFonts w:hint="default"/>
              </w:rPr>
              <w:t>」</w:t>
            </w:r>
            <w:r>
              <w:rPr>
                <w:rFonts w:hint="eastAsia"/>
              </w:rPr>
              <w:t>を有しているものは</w:t>
            </w:r>
            <w:r>
              <w:rPr>
                <w:rFonts w:hint="eastAsia"/>
              </w:rPr>
              <w:t>90.1%</w:t>
            </w:r>
            <w:r>
              <w:rPr>
                <w:rFonts w:hint="eastAsia"/>
              </w:rPr>
              <w:t>、</w:t>
            </w:r>
            <w:r>
              <w:rPr>
                <w:rFonts w:hint="default"/>
              </w:rPr>
              <w:t>「</w:t>
            </w:r>
            <w:r>
              <w:rPr>
                <w:rFonts w:hint="eastAsia"/>
              </w:rPr>
              <w:t>糖尿病」は</w:t>
            </w:r>
            <w:r>
              <w:rPr>
                <w:rFonts w:hint="eastAsia"/>
              </w:rPr>
              <w:t>66</w:t>
            </w:r>
            <w:r>
              <w:rPr>
                <w:rFonts w:hint="default"/>
              </w:rPr>
              <w:t>.</w:t>
            </w:r>
            <w:r>
              <w:rPr>
                <w:rFonts w:hint="eastAsia"/>
              </w:rPr>
              <w:t>3</w:t>
            </w:r>
            <w:r>
              <w:rPr>
                <w:rFonts w:hint="default"/>
              </w:rPr>
              <w:t>%</w:t>
            </w:r>
            <w:r>
              <w:rPr>
                <w:rFonts w:hint="eastAsia"/>
              </w:rPr>
              <w:t>、</w:t>
            </w:r>
            <w:r>
              <w:rPr>
                <w:rFonts w:hint="default"/>
              </w:rPr>
              <w:t>「脂質異常症</w:t>
            </w:r>
            <w:r>
              <w:rPr>
                <w:rFonts w:hint="eastAsia"/>
              </w:rPr>
              <w:t>」は</w:t>
            </w:r>
            <w:r>
              <w:rPr>
                <w:rFonts w:hint="default"/>
              </w:rPr>
              <w:t>44.6%</w:t>
            </w:r>
            <w:r>
              <w:rPr>
                <w:rFonts w:hint="eastAsia"/>
              </w:rPr>
              <w:t>となって</w:t>
            </w:r>
            <w:r>
              <w:rPr>
                <w:rFonts w:hint="default"/>
              </w:rPr>
              <w:t>いる。</w:t>
            </w:r>
            <w:r>
              <w:rPr>
                <w:rFonts w:hint="eastAsia"/>
              </w:rPr>
              <w:t>（</w:t>
            </w:r>
            <w:r>
              <w:rPr>
                <w:rFonts w:hint="eastAsia"/>
              </w:rPr>
              <w:fldChar w:fldCharType="begin"/>
            </w:r>
            <w:r>
              <w:rPr>
                <w:rFonts w:hint="eastAsia"/>
              </w:rPr>
              <w:instrText xml:space="preserve">REF _Ref122534437 \h </w:instrText>
            </w:r>
            <w:r>
              <w:rPr>
                <w:rFonts w:hint="eastAsia"/>
              </w:rPr>
              <w:fldChar w:fldCharType="separate"/>
            </w:r>
            <w:r>
              <w:rPr>
                <w:rFonts w:hint="default"/>
              </w:rPr>
              <w:t>図表</w:t>
            </w:r>
            <w:r>
              <w:rPr>
                <w:rFonts w:hint="default"/>
              </w:rPr>
              <w:t>3</w:t>
            </w:r>
            <w:r>
              <w:rPr>
                <w:rFonts w:hint="eastAsia"/>
              </w:rPr>
              <w:t>-</w:t>
            </w:r>
            <w:r>
              <w:rPr>
                <w:rFonts w:hint="default"/>
              </w:rPr>
              <w:t>2</w:t>
            </w:r>
            <w:r>
              <w:rPr>
                <w:rFonts w:hint="eastAsia"/>
              </w:rPr>
              <w:t>-</w:t>
            </w:r>
            <w:r>
              <w:rPr>
                <w:rFonts w:hint="default"/>
              </w:rPr>
              <w:t>5</w:t>
            </w:r>
            <w:r>
              <w:rPr>
                <w:rFonts w:hint="eastAsia"/>
              </w:rPr>
              <w:t>-</w:t>
            </w:r>
            <w:r>
              <w:rPr>
                <w:rFonts w:hint="default"/>
              </w:rPr>
              <w:t>1</w:t>
            </w:r>
            <w:r>
              <w:rPr>
                <w:rFonts w:hint="eastAsia"/>
              </w:rPr>
              <w:fldChar w:fldCharType="end"/>
            </w:r>
            <w:r>
              <w:rPr>
                <w:rFonts w:hint="eastAsia"/>
              </w:rPr>
              <w:t>）</w:t>
            </w:r>
          </w:p>
        </w:tc>
      </w:tr>
      <w:tr>
        <w:trPr>
          <w:gridBefore w:val="1"/>
          <w:wBefore w:w="4" w:type="pct"/>
          <w:trHeight w:val="208" w:hRule="atLeast"/>
        </w:trPr>
        <w:tc>
          <w:tcPr>
            <w:tcW w:w="407" w:type="pct"/>
            <w:gridSpan w:val="2"/>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p>
        </w:tc>
        <w:tc>
          <w:tcPr>
            <w:tcW w:w="583"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・入院・外来</w:t>
            </w:r>
          </w:p>
        </w:tc>
        <w:tc>
          <w:tcPr>
            <w:tcW w:w="40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・重篤な生活習慣病の医療費に絞って疾病別構成割合をみると、</w:t>
            </w:r>
            <w:r>
              <w:rPr>
                <w:rFonts w:hint="default"/>
              </w:rPr>
              <w:t>「脳出血」「脳梗塞」「狭心症」「心筋梗塞」の後期の総医療費に占める割合は、同疾患の国保の総医療費に占める割合と比べて大きい。</w:t>
            </w:r>
            <w:r>
              <w:rPr>
                <w:rFonts w:hint="eastAsia"/>
              </w:rPr>
              <w:t>（</w:t>
            </w:r>
            <w:r>
              <w:rPr>
                <w:rFonts w:hint="eastAsia"/>
              </w:rPr>
              <w:fldChar w:fldCharType="begin"/>
            </w:r>
            <w:r>
              <w:rPr>
                <w:rFonts w:hint="eastAsia"/>
              </w:rPr>
              <w:instrText xml:space="preserve">REF _Ref122542632 \h </w:instrText>
            </w:r>
            <w:r>
              <w:rPr>
                <w:rFonts w:hint="eastAsia"/>
              </w:rPr>
              <w:fldChar w:fldCharType="separate"/>
            </w:r>
            <w:r>
              <w:rPr>
                <w:rFonts w:hint="default"/>
              </w:rPr>
              <w:t>図表</w:t>
            </w:r>
            <w:r>
              <w:rPr>
                <w:rFonts w:hint="default"/>
              </w:rPr>
              <w:t>3</w:t>
            </w:r>
            <w:r>
              <w:rPr>
                <w:rFonts w:hint="eastAsia"/>
              </w:rPr>
              <w:t>-</w:t>
            </w:r>
            <w:r>
              <w:rPr>
                <w:rFonts w:hint="default"/>
              </w:rPr>
              <w:t>3</w:t>
            </w:r>
            <w:r>
              <w:rPr>
                <w:rFonts w:hint="eastAsia"/>
              </w:rPr>
              <w:t>-</w:t>
            </w:r>
            <w:r>
              <w:rPr>
                <w:rFonts w:hint="default"/>
              </w:rPr>
              <w:t>3</w:t>
            </w:r>
            <w:r>
              <w:rPr>
                <w:rFonts w:hint="eastAsia"/>
              </w:rPr>
              <w:t>-</w:t>
            </w:r>
            <w:r>
              <w:rPr>
                <w:rFonts w:hint="default"/>
              </w:rPr>
              <w:t>2</w:t>
            </w:r>
            <w:r>
              <w:rPr>
                <w:rFonts w:hint="eastAsia"/>
              </w:rPr>
              <w:fldChar w:fldCharType="end"/>
            </w:r>
            <w:r>
              <w:rPr>
                <w:rFonts w:hint="eastAsia"/>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trPr>
        <w:tc>
          <w:tcPr>
            <w:tcW w:w="5000" w:type="pct"/>
            <w:gridSpan w:val="5"/>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widowControl w:val="0"/>
              <w:jc w:val="center"/>
              <w:rPr>
                <w:rFonts w:hint="default"/>
                <w:b w:val="1"/>
                <w:sz w:val="18"/>
              </w:rPr>
            </w:pPr>
            <w:r>
              <w:rPr>
                <w:rFonts w:hint="default"/>
                <w:b w:val="1"/>
              </w:rPr>
              <w:t>死亡・要介護状態</w:t>
            </w:r>
          </w:p>
        </w:tc>
      </w:tr>
      <w:tr>
        <w:trPr>
          <w:gridBefore w:val="1"/>
          <w:wBefore w:w="4" w:type="pct"/>
          <w:trHeight w:val="20" w:hRule="atLeast"/>
        </w:trPr>
        <w:tc>
          <w:tcPr>
            <w:tcW w:w="99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eastAsia"/>
                <w:sz w:val="14"/>
              </w:rPr>
              <w:t>平均余命</w:t>
            </w:r>
          </w:p>
          <w:p>
            <w:pPr>
              <w:pStyle w:val="0"/>
              <w:widowControl w:val="0"/>
              <w:rPr>
                <w:rFonts w:hint="default"/>
                <w:sz w:val="14"/>
              </w:rPr>
            </w:pPr>
            <w:r>
              <w:rPr>
                <w:rFonts w:hint="eastAsia"/>
                <w:sz w:val="14"/>
              </w:rPr>
              <w:t>平均自立期間</w:t>
            </w:r>
          </w:p>
        </w:tc>
        <w:tc>
          <w:tcPr>
            <w:tcW w:w="40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default"/>
              </w:rPr>
              <w:t>・</w:t>
            </w:r>
            <w:r>
              <w:rPr>
                <w:rFonts w:hint="eastAsia"/>
              </w:rPr>
              <w:t>男性の平均余命は</w:t>
            </w:r>
            <w:r>
              <w:rPr>
                <w:rFonts w:hint="eastAsia"/>
              </w:rPr>
              <w:t>80.0</w:t>
            </w:r>
            <w:r>
              <w:rPr>
                <w:rFonts w:hint="eastAsia"/>
              </w:rPr>
              <w:t>年で、国・県より短い。国と比較すると、</w:t>
            </w:r>
            <w:r>
              <w:rPr>
                <w:rFonts w:hint="default"/>
              </w:rPr>
              <w:t>-1.7</w:t>
            </w:r>
            <w:r>
              <w:rPr>
                <w:rFonts w:hint="default"/>
              </w:rPr>
              <w:t>年である。</w:t>
            </w:r>
            <w:r>
              <w:rPr>
                <w:rFonts w:hint="eastAsia"/>
              </w:rPr>
              <w:t>女性の平均余命は</w:t>
            </w:r>
            <w:r>
              <w:rPr>
                <w:rFonts w:hint="eastAsia"/>
              </w:rPr>
              <w:t>85.6</w:t>
            </w:r>
            <w:r>
              <w:rPr>
                <w:rFonts w:hint="eastAsia"/>
              </w:rPr>
              <w:t>年で、国・県より短い。国と比較すると、</w:t>
            </w:r>
            <w:r>
              <w:rPr>
                <w:rFonts w:hint="default"/>
              </w:rPr>
              <w:t>-2.2</w:t>
            </w:r>
            <w:r>
              <w:rPr>
                <w:rFonts w:hint="default"/>
              </w:rPr>
              <w:t>年である。</w:t>
            </w:r>
            <w:r>
              <w:rPr>
                <w:rFonts w:hint="eastAsia"/>
              </w:rPr>
              <w:t>（</w:t>
            </w:r>
            <w:r>
              <w:rPr>
                <w:rFonts w:hint="eastAsia"/>
              </w:rPr>
              <w:fldChar w:fldCharType="begin"/>
            </w:r>
            <w:r>
              <w:rPr>
                <w:rFonts w:hint="eastAsia"/>
              </w:rPr>
              <w:instrText xml:space="preserve">REF _Ref122510677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default"/>
              </w:rPr>
              <w:t>・</w:t>
            </w:r>
            <w:r>
              <w:rPr>
                <w:rFonts w:hint="eastAsia"/>
              </w:rPr>
              <w:t>男性の平均自立期間は</w:t>
            </w:r>
            <w:r>
              <w:rPr>
                <w:rFonts w:hint="eastAsia"/>
              </w:rPr>
              <w:t>78.7</w:t>
            </w:r>
            <w:r>
              <w:rPr>
                <w:rFonts w:hint="eastAsia"/>
              </w:rPr>
              <w:t>年で、国・県より短い。国と比較すると、</w:t>
            </w:r>
            <w:r>
              <w:rPr>
                <w:rFonts w:hint="default"/>
              </w:rPr>
              <w:t>-1.4</w:t>
            </w:r>
            <w:r>
              <w:rPr>
                <w:rFonts w:hint="default"/>
              </w:rPr>
              <w:t>年である。</w:t>
            </w:r>
            <w:r>
              <w:rPr>
                <w:rFonts w:hint="eastAsia"/>
              </w:rPr>
              <w:t>女性の平均自立期間は</w:t>
            </w:r>
            <w:r>
              <w:rPr>
                <w:rFonts w:hint="eastAsia"/>
              </w:rPr>
              <w:t>83.0</w:t>
            </w:r>
            <w:r>
              <w:rPr>
                <w:rFonts w:hint="eastAsia"/>
              </w:rPr>
              <w:t>年で、国・県より短い。国と比較すると、</w:t>
            </w:r>
            <w:r>
              <w:rPr>
                <w:rFonts w:hint="default"/>
              </w:rPr>
              <w:t>-1.4</w:t>
            </w:r>
            <w:r>
              <w:rPr>
                <w:rFonts w:hint="default"/>
              </w:rPr>
              <w:t>年である。</w:t>
            </w:r>
            <w:r>
              <w:rPr>
                <w:rFonts w:hint="eastAsia"/>
              </w:rPr>
              <w:t>（</w:t>
            </w:r>
            <w:r>
              <w:rPr>
                <w:rFonts w:hint="eastAsia"/>
              </w:rPr>
              <w:fldChar w:fldCharType="begin"/>
            </w:r>
            <w:r>
              <w:rPr>
                <w:rFonts w:hint="eastAsia"/>
              </w:rPr>
              <w:instrText xml:space="preserve">REF _Ref122510677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eastAsia"/>
              </w:rPr>
              <w:t>）</w:t>
            </w:r>
          </w:p>
        </w:tc>
      </w:tr>
      <w:tr>
        <w:trPr>
          <w:gridBefore w:val="1"/>
          <w:wBefore w:w="4" w:type="pct"/>
          <w:trHeight w:val="20" w:hRule="atLeast"/>
        </w:trPr>
        <w:tc>
          <w:tcPr>
            <w:tcW w:w="99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default"/>
                <w:sz w:val="14"/>
              </w:rPr>
              <w:t>死亡</w:t>
            </w:r>
          </w:p>
        </w:tc>
        <w:tc>
          <w:tcPr>
            <w:tcW w:w="40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・保健事業により予防可能な重篤な疾患について、令和</w:t>
            </w:r>
            <w:r>
              <w:rPr>
                <w:rFonts w:hint="eastAsia"/>
              </w:rPr>
              <w:t>3</w:t>
            </w:r>
            <w:r>
              <w:rPr>
                <w:rFonts w:hint="eastAsia"/>
              </w:rPr>
              <w:t>年の死因別の順位と割合をみると、</w:t>
            </w:r>
            <w:r>
              <w:rPr>
                <w:rFonts w:hint="default"/>
              </w:rPr>
              <w:t>「</w:t>
            </w:r>
            <w:r>
              <w:rPr>
                <w:rFonts w:hint="eastAsia"/>
              </w:rPr>
              <w:t>脳血管</w:t>
            </w:r>
            <w:r>
              <w:rPr>
                <w:rFonts w:hint="default"/>
              </w:rPr>
              <w:t>疾患」は</w:t>
            </w:r>
            <w:r>
              <w:rPr>
                <w:rFonts w:hint="eastAsia"/>
              </w:rPr>
              <w:t>第</w:t>
            </w:r>
            <w:r>
              <w:rPr>
                <w:rFonts w:hint="eastAsia"/>
              </w:rPr>
              <w:t>3</w:t>
            </w:r>
            <w:r>
              <w:rPr>
                <w:rFonts w:hint="eastAsia"/>
              </w:rPr>
              <w:t>位（</w:t>
            </w:r>
            <w:r>
              <w:rPr>
                <w:rFonts w:hint="eastAsia"/>
              </w:rPr>
              <w:t>7.1%</w:t>
            </w:r>
            <w:r>
              <w:rPr>
                <w:rFonts w:hint="eastAsia"/>
              </w:rPr>
              <w:t>）</w:t>
            </w:r>
            <w:r>
              <w:rPr>
                <w:rFonts w:hint="default"/>
              </w:rPr>
              <w:t>、</w:t>
            </w:r>
            <w:r>
              <w:rPr>
                <w:rFonts w:hint="eastAsia"/>
              </w:rPr>
              <w:t>「虚血性心疾患」は第</w:t>
            </w:r>
            <w:r>
              <w:rPr>
                <w:rFonts w:hint="eastAsia"/>
              </w:rPr>
              <w:t>9</w:t>
            </w:r>
            <w:r>
              <w:rPr>
                <w:rFonts w:hint="eastAsia"/>
              </w:rPr>
              <w:t>位（</w:t>
            </w:r>
            <w:r>
              <w:rPr>
                <w:rFonts w:hint="eastAsia"/>
              </w:rPr>
              <w:t>2.8%</w:t>
            </w:r>
            <w:r>
              <w:rPr>
                <w:rFonts w:hint="eastAsia"/>
              </w:rPr>
              <w:t>）</w:t>
            </w:r>
            <w:r>
              <w:rPr>
                <w:rFonts w:hint="default"/>
              </w:rPr>
              <w:t>、「腎不全」は</w:t>
            </w:r>
            <w:r>
              <w:rPr>
                <w:rFonts w:hint="eastAsia"/>
              </w:rPr>
              <w:t>第</w:t>
            </w:r>
            <w:r>
              <w:rPr>
                <w:rFonts w:hint="eastAsia"/>
              </w:rPr>
              <w:t>13</w:t>
            </w:r>
            <w:r>
              <w:rPr>
                <w:rFonts w:hint="eastAsia"/>
              </w:rPr>
              <w:t>位（</w:t>
            </w:r>
            <w:r>
              <w:rPr>
                <w:rFonts w:hint="eastAsia"/>
              </w:rPr>
              <w:t>1.8%</w:t>
            </w:r>
            <w:r>
              <w:rPr>
                <w:rFonts w:hint="eastAsia"/>
              </w:rPr>
              <w:t>）</w:t>
            </w:r>
            <w:r>
              <w:rPr>
                <w:rFonts w:hint="default"/>
              </w:rPr>
              <w:t>と、いずれも死因の上位に位置している。（</w:t>
            </w:r>
            <w:r>
              <w:rPr>
                <w:rFonts w:hint="eastAsia"/>
              </w:rPr>
              <w:fldChar w:fldCharType="begin"/>
            </w:r>
            <w:r>
              <w:rPr>
                <w:rFonts w:hint="eastAsia"/>
              </w:rPr>
              <w:instrText xml:space="preserve">REF _Ref122519425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1</w:t>
            </w:r>
            <w:r>
              <w:rPr>
                <w:rFonts w:hint="eastAsia"/>
              </w:rPr>
              <w:fldChar w:fldCharType="end"/>
            </w:r>
            <w:r>
              <w:rPr>
                <w:rFonts w:hint="default"/>
              </w:rPr>
              <w:t>）</w:t>
            </w:r>
          </w:p>
          <w:p>
            <w:pPr>
              <w:pStyle w:val="55"/>
              <w:rPr>
                <w:rFonts w:hint="default"/>
              </w:rPr>
            </w:pPr>
            <w:r>
              <w:rPr>
                <w:rFonts w:hint="eastAsia"/>
              </w:rPr>
              <w:t>・平成</w:t>
            </w:r>
            <w:r>
              <w:rPr>
                <w:rFonts w:hint="eastAsia"/>
              </w:rPr>
              <w:t>25</w:t>
            </w:r>
            <w:r>
              <w:rPr>
                <w:rFonts w:hint="eastAsia"/>
              </w:rPr>
              <w:t>年から平成</w:t>
            </w:r>
            <w:r>
              <w:rPr>
                <w:rFonts w:hint="eastAsia"/>
              </w:rPr>
              <w:t>29</w:t>
            </w:r>
            <w:r>
              <w:rPr>
                <w:rFonts w:hint="eastAsia"/>
              </w:rPr>
              <w:t>年までの重篤な疾患の標準化死亡比は、</w:t>
            </w:r>
            <w:r>
              <w:rPr>
                <w:rFonts w:hint="default"/>
              </w:rPr>
              <w:t>脳血管疾患</w:t>
            </w:r>
            <w:r>
              <w:rPr>
                <w:rFonts w:hint="default"/>
              </w:rPr>
              <w:t>137.0</w:t>
            </w:r>
            <w:r>
              <w:rPr>
                <w:rFonts w:hint="eastAsia"/>
              </w:rPr>
              <w:t>（男性）</w:t>
            </w:r>
            <w:r>
              <w:rPr>
                <w:rFonts w:hint="eastAsia"/>
              </w:rPr>
              <w:t>142.1</w:t>
            </w:r>
            <w:r>
              <w:rPr>
                <w:rFonts w:hint="eastAsia"/>
              </w:rPr>
              <w:t>（女性）</w:t>
            </w:r>
            <w:r>
              <w:rPr>
                <w:rFonts w:hint="default"/>
              </w:rPr>
              <w:t>、腎不全</w:t>
            </w:r>
            <w:r>
              <w:rPr>
                <w:rFonts w:hint="default"/>
              </w:rPr>
              <w:t>99.2</w:t>
            </w:r>
            <w:r>
              <w:rPr>
                <w:rFonts w:hint="eastAsia"/>
              </w:rPr>
              <w:t>（男性）</w:t>
            </w:r>
            <w:r>
              <w:rPr>
                <w:rFonts w:hint="eastAsia"/>
              </w:rPr>
              <w:t>101.9</w:t>
            </w:r>
            <w:r>
              <w:rPr>
                <w:rFonts w:hint="eastAsia"/>
              </w:rPr>
              <w:t>（女性）、急性心筋梗塞</w:t>
            </w:r>
            <w:r>
              <w:rPr>
                <w:rFonts w:hint="default"/>
              </w:rPr>
              <w:t>90.9</w:t>
            </w:r>
            <w:r>
              <w:rPr>
                <w:rFonts w:hint="eastAsia"/>
              </w:rPr>
              <w:t>（男性）</w:t>
            </w:r>
            <w:r>
              <w:rPr>
                <w:rFonts w:hint="eastAsia"/>
              </w:rPr>
              <w:t>84.3</w:t>
            </w:r>
            <w:r>
              <w:rPr>
                <w:rFonts w:hint="eastAsia"/>
              </w:rPr>
              <w:t>（女性）となっている。（</w:t>
            </w:r>
            <w:r>
              <w:rPr>
                <w:rFonts w:hint="eastAsia"/>
              </w:rPr>
              <w:fldChar w:fldCharType="begin"/>
            </w:r>
            <w:r>
              <w:rPr>
                <w:rFonts w:hint="eastAsia"/>
              </w:rPr>
              <w:instrText xml:space="preserve">REF _Ref122519641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3</w:t>
            </w:r>
            <w:r>
              <w:rPr>
                <w:rFonts w:hint="eastAsia"/>
              </w:rPr>
              <w:fldChar w:fldCharType="end"/>
            </w:r>
            <w:r>
              <w:rPr>
                <w:rFonts w:hint="eastAsia"/>
              </w:rPr>
              <w:t>・</w:t>
            </w:r>
            <w:r>
              <w:rPr>
                <w:rFonts w:hint="eastAsia"/>
              </w:rPr>
              <w:fldChar w:fldCharType="begin"/>
            </w:r>
            <w:r>
              <w:rPr>
                <w:rFonts w:hint="eastAsia"/>
              </w:rPr>
              <w:instrText xml:space="preserve">REF _Ref131395679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7</w:t>
            </w:r>
            <w:r>
              <w:rPr>
                <w:rFonts w:hint="eastAsia"/>
              </w:rPr>
              <w:t>-</w:t>
            </w:r>
            <w:r>
              <w:rPr>
                <w:rFonts w:hint="default"/>
              </w:rPr>
              <w:t>4</w:t>
            </w:r>
            <w:r>
              <w:rPr>
                <w:rFonts w:hint="eastAsia"/>
              </w:rPr>
              <w:fldChar w:fldCharType="end"/>
            </w:r>
            <w:r>
              <w:rPr>
                <w:rFonts w:hint="eastAsia"/>
              </w:rPr>
              <w:t>）</w:t>
            </w:r>
          </w:p>
          <w:p>
            <w:pPr>
              <w:pStyle w:val="55"/>
              <w:rPr>
                <w:rFonts w:hint="default"/>
              </w:rPr>
            </w:pPr>
            <w:r>
              <w:rPr>
                <w:rFonts w:hint="eastAsia"/>
              </w:rPr>
              <w:t>・死因別割合を県と比較すると、「心不全」「肺炎」「肝疾患」「大腸の悪性生物」「胃の悪性生物」「膵の悪性生物・自殺」「閉塞性肺疾患」｢腎不全｣の順で八街市の方が高い。</w:t>
            </w:r>
            <w:r>
              <w:rPr>
                <w:rFonts w:hint="default"/>
              </w:rPr>
              <w:t>(</w:t>
            </w:r>
            <w:r>
              <w:rPr>
                <w:rFonts w:hint="default"/>
              </w:rPr>
              <w:t>図表</w:t>
            </w:r>
            <w:r>
              <w:rPr>
                <w:rFonts w:hint="default"/>
              </w:rPr>
              <w:t>2-1-7-2)</w:t>
            </w:r>
          </w:p>
        </w:tc>
      </w:tr>
      <w:tr>
        <w:trPr>
          <w:gridBefore w:val="1"/>
          <w:wBefore w:w="4" w:type="pct"/>
          <w:trHeight w:val="20" w:hRule="atLeast"/>
        </w:trPr>
        <w:tc>
          <w:tcPr>
            <w:tcW w:w="990" w:type="pct"/>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0"/>
              <w:widowControl w:val="0"/>
              <w:rPr>
                <w:rFonts w:hint="default"/>
                <w:sz w:val="14"/>
              </w:rPr>
            </w:pPr>
            <w:r>
              <w:rPr>
                <w:rFonts w:hint="default"/>
                <w:sz w:val="14"/>
              </w:rPr>
              <w:t>介護</w:t>
            </w:r>
          </w:p>
        </w:tc>
        <w:tc>
          <w:tcPr>
            <w:tcW w:w="400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top"/>
          </w:tcPr>
          <w:p>
            <w:pPr>
              <w:pStyle w:val="55"/>
              <w:rPr>
                <w:rFonts w:hint="default"/>
              </w:rPr>
            </w:pPr>
            <w:r>
              <w:rPr>
                <w:rFonts w:hint="eastAsia"/>
              </w:rPr>
              <w:t>・平均余命と平均自立期間の差は、男性は</w:t>
            </w:r>
            <w:r>
              <w:rPr>
                <w:rFonts w:hint="default"/>
              </w:rPr>
              <w:t>1.3</w:t>
            </w:r>
            <w:r>
              <w:rPr>
                <w:rFonts w:hint="default"/>
              </w:rPr>
              <w:t>年、女性は</w:t>
            </w:r>
            <w:r>
              <w:rPr>
                <w:rFonts w:hint="default"/>
              </w:rPr>
              <w:t>2.6</w:t>
            </w:r>
            <w:r>
              <w:rPr>
                <w:rFonts w:hint="default"/>
              </w:rPr>
              <w:t>年</w:t>
            </w:r>
            <w:r>
              <w:rPr>
                <w:rFonts w:hint="eastAsia"/>
              </w:rPr>
              <w:t>となっている</w:t>
            </w:r>
            <w:r>
              <w:rPr>
                <w:rFonts w:hint="default"/>
              </w:rPr>
              <w:t>。</w:t>
            </w:r>
            <w:r>
              <w:rPr>
                <w:rFonts w:hint="eastAsia"/>
              </w:rPr>
              <w:t>（</w:t>
            </w:r>
            <w:r>
              <w:rPr>
                <w:rFonts w:hint="eastAsia"/>
              </w:rPr>
              <w:fldChar w:fldCharType="begin"/>
            </w:r>
            <w:r>
              <w:rPr>
                <w:rFonts w:hint="eastAsia"/>
              </w:rPr>
              <w:instrText xml:space="preserve">REF _Ref122510677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5</w:t>
            </w:r>
            <w:r>
              <w:rPr>
                <w:rFonts w:hint="eastAsia"/>
              </w:rPr>
              <w:t>-</w:t>
            </w:r>
            <w:r>
              <w:rPr>
                <w:rFonts w:hint="default"/>
              </w:rPr>
              <w:t>1</w:t>
            </w:r>
            <w:r>
              <w:rPr>
                <w:rFonts w:hint="eastAsia"/>
              </w:rPr>
              <w:fldChar w:fldCharType="end"/>
            </w:r>
            <w:r>
              <w:rPr>
                <w:rFonts w:hint="eastAsia"/>
              </w:rPr>
              <w:t>）</w:t>
            </w:r>
          </w:p>
          <w:p>
            <w:pPr>
              <w:pStyle w:val="55"/>
              <w:rPr>
                <w:rFonts w:hint="default"/>
              </w:rPr>
            </w:pPr>
            <w:r>
              <w:rPr>
                <w:rFonts w:hint="eastAsia"/>
              </w:rPr>
              <w:t>・介護認定者における有病割合をみると「心臓病」は</w:t>
            </w:r>
            <w:r>
              <w:rPr>
                <w:rFonts w:hint="eastAsia"/>
              </w:rPr>
              <w:t>52.9%</w:t>
            </w:r>
            <w:r>
              <w:rPr>
                <w:rFonts w:hint="default"/>
              </w:rPr>
              <w:t>、「脳血管疾患」は</w:t>
            </w:r>
            <w:r>
              <w:rPr>
                <w:rFonts w:hint="eastAsia"/>
              </w:rPr>
              <w:t>17.9%</w:t>
            </w:r>
            <w:r>
              <w:rPr>
                <w:rFonts w:hint="eastAsia"/>
              </w:rPr>
              <w:t>であり、これらの重篤な疾患に進行する可能性のある基礎疾患の有病割合は「高血圧症」（</w:t>
            </w:r>
            <w:r>
              <w:rPr>
                <w:rFonts w:hint="eastAsia"/>
              </w:rPr>
              <w:t>46.9%</w:t>
            </w:r>
            <w:r>
              <w:rPr>
                <w:rFonts w:hint="eastAsia"/>
              </w:rPr>
              <w:t>）、「糖尿病」（</w:t>
            </w:r>
            <w:r>
              <w:rPr>
                <w:rFonts w:hint="eastAsia"/>
              </w:rPr>
              <w:t>29.7%</w:t>
            </w:r>
            <w:r>
              <w:rPr>
                <w:rFonts w:hint="eastAsia"/>
              </w:rPr>
              <w:t>）、「脂質異常症」（</w:t>
            </w:r>
            <w:r>
              <w:rPr>
                <w:rFonts w:hint="eastAsia"/>
              </w:rPr>
              <w:t>26.6%</w:t>
            </w:r>
            <w:r>
              <w:rPr>
                <w:rFonts w:hint="eastAsia"/>
              </w:rPr>
              <w:t>）である。（</w:t>
            </w:r>
            <w:r>
              <w:rPr>
                <w:rFonts w:hint="eastAsia"/>
              </w:rPr>
              <w:fldChar w:fldCharType="begin"/>
            </w:r>
            <w:r>
              <w:rPr>
                <w:rFonts w:hint="eastAsia"/>
              </w:rPr>
              <w:instrText xml:space="preserve">REF _Ref130215540 \h </w:instrText>
            </w:r>
            <w:r>
              <w:rPr>
                <w:rFonts w:hint="eastAsia"/>
              </w:rPr>
              <w:fldChar w:fldCharType="separate"/>
            </w:r>
            <w:r>
              <w:rPr>
                <w:rFonts w:hint="default"/>
              </w:rPr>
              <w:t>図表</w:t>
            </w:r>
            <w:r>
              <w:rPr>
                <w:rFonts w:hint="default"/>
              </w:rPr>
              <w:t>2</w:t>
            </w:r>
            <w:r>
              <w:rPr>
                <w:rFonts w:hint="eastAsia"/>
              </w:rPr>
              <w:t>-</w:t>
            </w:r>
            <w:r>
              <w:rPr>
                <w:rFonts w:hint="default"/>
              </w:rPr>
              <w:t>1</w:t>
            </w:r>
            <w:r>
              <w:rPr>
                <w:rFonts w:hint="eastAsia"/>
              </w:rPr>
              <w:t>-</w:t>
            </w:r>
            <w:r>
              <w:rPr>
                <w:rFonts w:hint="default"/>
              </w:rPr>
              <w:t>6</w:t>
            </w:r>
            <w:r>
              <w:rPr>
                <w:rFonts w:hint="eastAsia"/>
              </w:rPr>
              <w:t>-</w:t>
            </w:r>
            <w:r>
              <w:rPr>
                <w:rFonts w:hint="default"/>
              </w:rPr>
              <w:t>3</w:t>
            </w:r>
            <w:r>
              <w:rPr>
                <w:rFonts w:hint="eastAsia"/>
              </w:rPr>
              <w:fldChar w:fldCharType="end"/>
            </w:r>
            <w:r>
              <w:rPr>
                <w:rFonts w:hint="eastAsia"/>
              </w:rPr>
              <w:t>）</w:t>
            </w:r>
          </w:p>
        </w:tc>
      </w:tr>
    </w:tbl>
    <w:p>
      <w:pPr>
        <w:pStyle w:val="0"/>
        <w:rPr>
          <w:rFonts w:hint="default"/>
        </w:rPr>
      </w:pPr>
    </w:p>
    <w:p>
      <w:pPr>
        <w:pStyle w:val="0"/>
        <w:rPr>
          <w:rFonts w:hint="default"/>
        </w:rPr>
      </w:pPr>
      <w:r>
        <w:rPr>
          <w:rFonts w:hint="default"/>
        </w:rPr>
        <w:br w:type="page"/>
      </w:r>
    </w:p>
    <w:p>
      <w:pPr>
        <w:pStyle w:val="3"/>
        <w:rPr>
          <w:rFonts w:hint="default"/>
        </w:rPr>
      </w:pPr>
      <w:bookmarkStart w:id="200" w:name="_Toc162548720"/>
      <w:r>
        <w:rPr>
          <w:rFonts w:hint="default"/>
        </w:rPr>
        <w:t>わがまちの生活習慣病に関する健康課題</w:t>
      </w:r>
      <w:bookmarkEnd w:id="200"/>
    </w:p>
    <w:tbl>
      <w:tblPr>
        <w:tblStyle w:val="11"/>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4682"/>
        <w:gridCol w:w="203"/>
        <w:gridCol w:w="2244"/>
        <w:gridCol w:w="2246"/>
      </w:tblGrid>
      <w:tr>
        <w:trPr>
          <w:trHeight w:val="20" w:hRule="atLeast"/>
        </w:trPr>
        <w:tc>
          <w:tcPr>
            <w:tcW w:w="24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widowControl w:val="0"/>
              <w:jc w:val="center"/>
              <w:rPr>
                <w:rFonts w:hint="default"/>
                <w:b w:val="1"/>
                <w:color w:val="000000"/>
                <w:sz w:val="14"/>
              </w:rPr>
            </w:pPr>
            <w:r>
              <w:rPr>
                <w:rFonts w:hint="default"/>
                <w:b w:val="1"/>
                <w:color w:val="000000"/>
                <w:sz w:val="14"/>
              </w:rPr>
              <w:t>考察</w:t>
            </w:r>
          </w:p>
        </w:tc>
        <w:tc>
          <w:tcPr>
            <w:tcW w:w="108" w:type="pct"/>
            <w:tcBorders>
              <w:top w:val="single" w:color="FFFFFF" w:themeColor="background2" w:sz="4" w:space="0"/>
              <w:left w:val="single" w:color="auto" w:sz="4" w:space="0"/>
              <w:bottom w:val="single" w:color="FFFFFF" w:themeColor="background2"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jc w:val="center"/>
              <w:rPr>
                <w:rFonts w:hint="default"/>
                <w:b w:val="1"/>
                <w:color w:val="000000"/>
                <w:sz w:val="14"/>
              </w:rPr>
            </w:pP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widowControl w:val="0"/>
              <w:jc w:val="center"/>
              <w:rPr>
                <w:rFonts w:hint="default"/>
                <w:b w:val="1"/>
                <w:color w:val="000000"/>
                <w:sz w:val="14"/>
              </w:rPr>
            </w:pPr>
            <w:r>
              <w:rPr>
                <w:rFonts w:hint="default"/>
                <w:b w:val="1"/>
                <w:color w:val="000000"/>
                <w:sz w:val="14"/>
              </w:rPr>
              <w:t>健康課題</w:t>
            </w:r>
          </w:p>
        </w:tc>
        <w:tc>
          <w:tcPr>
            <w:tcW w:w="119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widowControl w:val="0"/>
              <w:jc w:val="center"/>
              <w:rPr>
                <w:rFonts w:hint="default"/>
                <w:b w:val="1"/>
                <w:color w:val="000000"/>
                <w:sz w:val="14"/>
              </w:rPr>
            </w:pPr>
            <w:r>
              <w:rPr>
                <w:rFonts w:hint="default"/>
                <w:b w:val="1"/>
                <w:color w:val="000000"/>
                <w:sz w:val="14"/>
              </w:rPr>
              <w:t>評価指標</w:t>
            </w:r>
          </w:p>
        </w:tc>
      </w:tr>
      <w:tr>
        <w:trPr>
          <w:trHeight w:val="1471" w:hRule="atLeast"/>
        </w:trPr>
        <w:tc>
          <w:tcPr>
            <w:tcW w:w="24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color w:val="000000"/>
                <w:sz w:val="14"/>
              </w:rPr>
            </w:pPr>
            <w:r>
              <w:rPr>
                <w:rFonts w:hint="default"/>
                <w:color w:val="000000"/>
                <w:sz w:val="14"/>
              </w:rPr>
              <w:t>◀</w:t>
            </w:r>
            <w:r>
              <w:rPr>
                <w:rFonts w:hint="default"/>
                <w:b w:val="1"/>
                <w:color w:val="000000"/>
                <w:sz w:val="14"/>
              </w:rPr>
              <w:t>早期発見・特定健</w:t>
            </w:r>
            <w:r>
              <w:rPr>
                <w:rFonts w:hint="eastAsia"/>
                <w:b w:val="1"/>
                <w:color w:val="000000"/>
                <w:sz w:val="14"/>
              </w:rPr>
              <w:t>診</w:t>
            </w:r>
          </w:p>
          <w:p>
            <w:pPr>
              <w:pStyle w:val="0"/>
              <w:widowControl w:val="0"/>
              <w:ind w:firstLine="140" w:firstLineChars="100"/>
              <w:rPr>
                <w:rFonts w:hint="default"/>
                <w:b w:val="1"/>
                <w:color w:val="000000"/>
                <w:sz w:val="14"/>
              </w:rPr>
            </w:pPr>
            <w:r>
              <w:rPr>
                <w:rFonts w:hint="eastAsia"/>
                <w:color w:val="000000"/>
                <w:sz w:val="14"/>
              </w:rPr>
              <w:t>特定健診受診率は国と比べて低く、特定健診の未受診者割合をみると、「生活習慣病治療中」が</w:t>
            </w:r>
            <w:r>
              <w:rPr>
                <w:rFonts w:hint="default"/>
                <w:color w:val="000000"/>
                <w:sz w:val="14"/>
              </w:rPr>
              <w:t>64.1%</w:t>
            </w:r>
            <w:r>
              <w:rPr>
                <w:rFonts w:hint="default"/>
                <w:color w:val="000000"/>
                <w:sz w:val="14"/>
              </w:rPr>
              <w:t>、</w:t>
            </w:r>
            <w:r>
              <w:rPr>
                <w:rFonts w:hint="eastAsia"/>
                <w:color w:val="000000"/>
                <w:sz w:val="14"/>
              </w:rPr>
              <w:t>「</w:t>
            </w:r>
            <w:r>
              <w:rPr>
                <w:rFonts w:hint="default"/>
                <w:color w:val="000000"/>
                <w:sz w:val="14"/>
              </w:rPr>
              <w:t>生活習慣病の治療なし</w:t>
            </w:r>
            <w:r>
              <w:rPr>
                <w:rFonts w:hint="eastAsia"/>
                <w:color w:val="000000"/>
                <w:sz w:val="14"/>
              </w:rPr>
              <w:t>」</w:t>
            </w:r>
            <w:r>
              <w:rPr>
                <w:rFonts w:hint="default"/>
                <w:color w:val="000000"/>
                <w:sz w:val="14"/>
              </w:rPr>
              <w:t>が</w:t>
            </w:r>
            <w:r>
              <w:rPr>
                <w:rFonts w:hint="default"/>
                <w:color w:val="000000"/>
                <w:sz w:val="14"/>
              </w:rPr>
              <w:t>35.9%</w:t>
            </w:r>
            <w:r>
              <w:rPr>
                <w:rFonts w:hint="default"/>
                <w:color w:val="000000"/>
                <w:sz w:val="14"/>
              </w:rPr>
              <w:t>占めており、生活習慣病の治療を受けていない健康状態不明</w:t>
            </w:r>
            <w:r>
              <w:rPr>
                <w:rFonts w:hint="eastAsia"/>
                <w:color w:val="000000"/>
                <w:sz w:val="14"/>
              </w:rPr>
              <w:t>者が</w:t>
            </w:r>
            <w:r>
              <w:rPr>
                <w:rFonts w:hint="eastAsia"/>
                <w:color w:val="000000"/>
                <w:sz w:val="14"/>
              </w:rPr>
              <w:t>4</w:t>
            </w:r>
            <w:r>
              <w:rPr>
                <w:rFonts w:hint="eastAsia"/>
                <w:color w:val="000000"/>
                <w:sz w:val="14"/>
              </w:rPr>
              <w:t>割程度いる</w:t>
            </w:r>
            <w:r>
              <w:rPr>
                <w:rFonts w:hint="default"/>
                <w:color w:val="000000"/>
                <w:sz w:val="14"/>
              </w:rPr>
              <w:t>ことから、本来医療機関受診勧奨や特定保健指導による介入が必要なものが特定健診で捉えられていない可能性がある。また、生活習慣病治療中のものに対し、みなし健診の受診勧奨に積極的に取り組む必要がある。</w:t>
            </w:r>
          </w:p>
        </w:tc>
        <w:tc>
          <w:tcPr>
            <w:tcW w:w="108" w:type="pct"/>
            <w:tcBorders>
              <w:top w:val="single" w:color="FFFFFF" w:themeColor="background2" w:sz="4" w:space="0"/>
              <w:left w:val="single" w:color="auto" w:sz="4" w:space="0"/>
              <w:bottom w:val="single" w:color="FFFFFF" w:themeColor="background2"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rPr>
                <w:rFonts w:hint="default"/>
                <w:color w:val="000000"/>
                <w:sz w:val="14"/>
              </w:rPr>
            </w:pPr>
            <w:r>
              <w:rPr>
                <w:rFonts w:hint="default"/>
                <w:color w:val="000000"/>
                <w:sz w:val="14"/>
              </w:rPr>
              <w:t>▶</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color w:val="000000"/>
              </w:rPr>
            </w:pPr>
            <w:r>
              <w:rPr>
                <w:rFonts w:hint="eastAsia"/>
                <w:color w:val="000000"/>
              </w:rPr>
              <w:t>#</w:t>
            </w:r>
            <w:r>
              <w:rPr>
                <w:rFonts w:hint="default"/>
                <w:color w:val="000000"/>
              </w:rPr>
              <w:t>1</w:t>
            </w:r>
          </w:p>
          <w:p>
            <w:pPr>
              <w:pStyle w:val="59"/>
              <w:snapToGrid w:val="0"/>
              <w:rPr>
                <w:rFonts w:hint="default"/>
                <w:color w:val="000000"/>
              </w:rPr>
            </w:pPr>
            <w:r>
              <w:rPr>
                <w:rFonts w:hint="eastAsia"/>
                <w:color w:val="000000"/>
              </w:rPr>
              <w:t>適切に特定保健指導や重症化予防事業につなぐことを目的に、特定健診受診率の向上が必要。</w:t>
            </w:r>
          </w:p>
        </w:tc>
        <w:tc>
          <w:tcPr>
            <w:tcW w:w="119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rPr>
            </w:pPr>
            <w:r>
              <w:rPr>
                <w:rFonts w:hint="eastAsia"/>
              </w:rPr>
              <w:t>【短期指標】</w:t>
            </w:r>
          </w:p>
          <w:p>
            <w:pPr>
              <w:pStyle w:val="59"/>
              <w:snapToGrid w:val="0"/>
              <w:rPr>
                <w:rFonts w:hint="default"/>
              </w:rPr>
            </w:pPr>
            <w:r>
              <w:rPr>
                <w:rFonts w:hint="eastAsia"/>
              </w:rPr>
              <w:t>特定健診受診率</w:t>
            </w:r>
          </w:p>
          <w:p>
            <w:pPr>
              <w:pStyle w:val="59"/>
              <w:snapToGrid w:val="0"/>
              <w:rPr>
                <w:rFonts w:hint="default"/>
              </w:rPr>
            </w:pPr>
            <w:r>
              <w:rPr>
                <w:rFonts w:hint="eastAsia"/>
              </w:rPr>
              <w:t>短期人間ドック助成申請者数</w:t>
            </w:r>
          </w:p>
          <w:p>
            <w:pPr>
              <w:pStyle w:val="59"/>
              <w:snapToGrid w:val="0"/>
              <w:rPr>
                <w:rFonts w:hint="eastAsia"/>
              </w:rPr>
            </w:pPr>
            <w:r>
              <w:rPr>
                <w:rFonts w:hint="eastAsia"/>
              </w:rPr>
              <w:t>未受診者への受診勧奨率とその結果健診受診をした者の割合</w:t>
            </w:r>
          </w:p>
        </w:tc>
      </w:tr>
      <w:tr>
        <w:trPr>
          <w:trHeight w:val="20" w:hRule="atLeast"/>
        </w:trPr>
        <w:tc>
          <w:tcPr>
            <w:tcW w:w="24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color w:val="000000"/>
                <w:sz w:val="14"/>
              </w:rPr>
            </w:pPr>
            <w:r>
              <w:rPr>
                <w:rFonts w:hint="default"/>
                <w:b w:val="1"/>
                <w:color w:val="000000"/>
                <w:sz w:val="14"/>
              </w:rPr>
              <w:t>◀</w:t>
            </w:r>
            <w:r>
              <w:rPr>
                <w:rFonts w:hint="default"/>
                <w:b w:val="1"/>
                <w:color w:val="000000"/>
                <w:sz w:val="14"/>
              </w:rPr>
              <w:t>生活習慣病発症予防・保健指導</w:t>
            </w:r>
          </w:p>
          <w:p>
            <w:pPr>
              <w:pStyle w:val="59"/>
              <w:ind w:firstLine="140" w:firstLineChars="100"/>
              <w:rPr>
                <w:rFonts w:hint="default"/>
                <w:color w:val="000000"/>
              </w:rPr>
            </w:pPr>
            <w:r>
              <w:rPr>
                <w:rFonts w:hint="eastAsia"/>
                <w:color w:val="000000"/>
              </w:rPr>
              <w:t>特定健診受診者の内、受診勧奨判定値を超えたものの割合・メタボ該当者の割合・予備群該当者の割合は多少の増減はあるもののほぼ横ばいで推移している。</w:t>
            </w:r>
          </w:p>
          <w:p>
            <w:pPr>
              <w:pStyle w:val="59"/>
              <w:ind w:firstLine="140" w:firstLineChars="100"/>
              <w:rPr>
                <w:rFonts w:hint="default"/>
                <w:color w:val="000000"/>
              </w:rPr>
            </w:pPr>
            <w:r>
              <w:rPr>
                <w:rFonts w:hint="eastAsia"/>
                <w:color w:val="000000"/>
              </w:rPr>
              <w:t>特定保健指導実施率は国と比較して低いことから、メタボ該当者・予備群該当者に対して十分な保健指導が実施できていない可能性が考えられる。</w:t>
            </w:r>
          </w:p>
          <w:p>
            <w:pPr>
              <w:pStyle w:val="59"/>
              <w:ind w:firstLine="140" w:firstLineChars="100"/>
              <w:rPr>
                <w:rFonts w:hint="default"/>
                <w:color w:val="000000"/>
              </w:rPr>
            </w:pPr>
            <w:r>
              <w:rPr>
                <w:rFonts w:hint="eastAsia"/>
                <w:color w:val="000000"/>
              </w:rPr>
              <w:t>これらの事実・考察から、特定保健指導実施率の向上に力を入れることにより、多くのメタボ該当者・予備群該当者に保健指導を実施することができれば、メタボ該当者・予備群該当者を減少させ、糖尿病・高血圧・脂質異常症等の生活習慣病の発祥予防につなげられると考えられる。</w:t>
            </w:r>
          </w:p>
        </w:tc>
        <w:tc>
          <w:tcPr>
            <w:tcW w:w="108" w:type="pct"/>
            <w:tcBorders>
              <w:top w:val="single" w:color="FFFFFF" w:themeColor="background2" w:sz="4" w:space="0"/>
              <w:left w:val="single" w:color="auto" w:sz="4" w:space="0"/>
              <w:bottom w:val="single" w:color="FFFFFF" w:themeColor="background2"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rPr>
                <w:rFonts w:hint="default"/>
                <w:color w:val="000000"/>
                <w:sz w:val="14"/>
              </w:rPr>
            </w:pPr>
            <w:r>
              <w:rPr>
                <w:rFonts w:hint="default"/>
                <w:color w:val="000000"/>
                <w:sz w:val="14"/>
              </w:rPr>
              <w:t>▶</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color w:val="000000"/>
              </w:rPr>
            </w:pPr>
            <w:r>
              <w:rPr>
                <w:rFonts w:hint="eastAsia"/>
                <w:color w:val="000000"/>
              </w:rPr>
              <w:t>#2</w:t>
            </w:r>
          </w:p>
          <w:p>
            <w:pPr>
              <w:pStyle w:val="59"/>
              <w:rPr>
                <w:rFonts w:hint="default"/>
                <w:color w:val="000000"/>
              </w:rPr>
            </w:pPr>
            <w:r>
              <w:rPr>
                <w:rFonts w:hint="eastAsia"/>
                <w:color w:val="000000"/>
              </w:rPr>
              <w:t>メタボ該当者・予備群該当者の悪化を防ぎ、減少させることを目的に、特定保健指導実施率の維持・向上が必要。</w:t>
            </w:r>
          </w:p>
        </w:tc>
        <w:tc>
          <w:tcPr>
            <w:tcW w:w="119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rPr>
            </w:pPr>
            <w:r>
              <w:rPr>
                <w:rFonts w:hint="eastAsia"/>
              </w:rPr>
              <w:t>【中期指標】</w:t>
            </w:r>
          </w:p>
          <w:p>
            <w:pPr>
              <w:pStyle w:val="59"/>
              <w:snapToGrid w:val="0"/>
              <w:rPr>
                <w:rFonts w:hint="default"/>
              </w:rPr>
            </w:pPr>
            <w:r>
              <w:rPr>
                <w:rFonts w:hint="eastAsia"/>
              </w:rPr>
              <w:t>特定健診受診者の内、</w:t>
            </w:r>
          </w:p>
          <w:p>
            <w:pPr>
              <w:pStyle w:val="59"/>
              <w:snapToGrid w:val="0"/>
              <w:rPr>
                <w:rFonts w:hint="default"/>
              </w:rPr>
            </w:pPr>
            <w:r>
              <w:rPr>
                <w:rFonts w:hint="eastAsia"/>
              </w:rPr>
              <w:t>メタボ該当者の割合</w:t>
            </w:r>
          </w:p>
          <w:p>
            <w:pPr>
              <w:pStyle w:val="59"/>
              <w:snapToGrid w:val="0"/>
              <w:rPr>
                <w:rFonts w:hint="default"/>
              </w:rPr>
            </w:pPr>
            <w:r>
              <w:rPr>
                <w:rFonts w:hint="eastAsia"/>
              </w:rPr>
              <w:t>メタボ予備群該当者の割合</w:t>
            </w:r>
          </w:p>
          <w:p>
            <w:pPr>
              <w:pStyle w:val="59"/>
              <w:snapToGrid w:val="0"/>
              <w:rPr>
                <w:rFonts w:hint="default"/>
              </w:rPr>
            </w:pPr>
          </w:p>
          <w:p>
            <w:pPr>
              <w:pStyle w:val="59"/>
              <w:snapToGrid w:val="0"/>
              <w:rPr>
                <w:rFonts w:hint="default"/>
              </w:rPr>
            </w:pPr>
            <w:r>
              <w:rPr>
                <w:rFonts w:hint="eastAsia"/>
              </w:rPr>
              <w:t>【短期指標】</w:t>
            </w:r>
          </w:p>
          <w:p>
            <w:pPr>
              <w:pStyle w:val="59"/>
              <w:rPr>
                <w:rFonts w:hint="default"/>
              </w:rPr>
            </w:pPr>
            <w:r>
              <w:rPr>
                <w:rFonts w:hint="eastAsia"/>
              </w:rPr>
              <w:t>特定保健指導実施率</w:t>
            </w:r>
          </w:p>
          <w:p>
            <w:pPr>
              <w:pStyle w:val="59"/>
              <w:rPr>
                <w:rFonts w:hint="default"/>
              </w:rPr>
            </w:pPr>
            <w:r>
              <w:rPr>
                <w:rFonts w:hint="eastAsia"/>
              </w:rPr>
              <w:t>該当者への電話勧奨率</w:t>
            </w:r>
          </w:p>
          <w:p>
            <w:pPr>
              <w:pStyle w:val="59"/>
              <w:rPr>
                <w:rFonts w:hint="default"/>
              </w:rPr>
            </w:pPr>
            <w:r>
              <w:rPr>
                <w:rFonts w:hint="eastAsia"/>
              </w:rPr>
              <w:t>指導後の結果検査数値改善率</w:t>
            </w:r>
          </w:p>
          <w:p>
            <w:pPr>
              <w:pStyle w:val="59"/>
              <w:rPr>
                <w:rFonts w:hint="default"/>
              </w:rPr>
            </w:pPr>
            <w:r>
              <w:rPr>
                <w:rFonts w:hint="eastAsia"/>
              </w:rPr>
              <w:t>指導後の健康意識への向上率</w:t>
            </w:r>
          </w:p>
        </w:tc>
      </w:tr>
      <w:tr>
        <w:trPr>
          <w:trHeight w:val="358" w:hRule="atLeast"/>
        </w:trPr>
        <w:tc>
          <w:tcPr>
            <w:tcW w:w="24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color w:val="000000"/>
                <w:sz w:val="14"/>
              </w:rPr>
            </w:pPr>
            <w:r>
              <w:rPr>
                <w:rFonts w:hint="default"/>
                <w:color w:val="000000"/>
                <w:sz w:val="14"/>
              </w:rPr>
              <w:t>◀</w:t>
            </w:r>
            <w:r>
              <w:rPr>
                <w:rFonts w:hint="default"/>
                <w:b w:val="1"/>
                <w:color w:val="000000"/>
                <w:sz w:val="14"/>
              </w:rPr>
              <w:t>健康づくり</w:t>
            </w:r>
          </w:p>
          <w:p>
            <w:pPr>
              <w:pStyle w:val="59"/>
              <w:ind w:firstLine="140" w:firstLineChars="100"/>
              <w:rPr>
                <w:rFonts w:hint="default"/>
                <w:color w:val="000000"/>
              </w:rPr>
            </w:pPr>
            <w:r>
              <w:rPr>
                <w:rFonts w:hint="eastAsia"/>
                <w:color w:val="000000"/>
              </w:rPr>
              <w:t>特定健診受診者における質問票「週</w:t>
            </w:r>
            <w:r>
              <w:rPr>
                <w:rFonts w:hint="default"/>
                <w:color w:val="000000"/>
              </w:rPr>
              <w:t>3</w:t>
            </w:r>
            <w:r>
              <w:rPr>
                <w:rFonts w:hint="default"/>
                <w:color w:val="000000"/>
              </w:rPr>
              <w:t>回以上就寝前夕食」</w:t>
            </w:r>
            <w:r>
              <w:rPr>
                <w:rFonts w:hint="eastAsia"/>
                <w:color w:val="000000"/>
              </w:rPr>
              <w:t>「喫煙」「睡眠不足」｢毎日飲酒｣「間食毎日」</w:t>
            </w:r>
            <w:r>
              <w:rPr>
                <w:rFonts w:hint="default"/>
                <w:color w:val="000000"/>
              </w:rPr>
              <w:t>の回答割合が高</w:t>
            </w:r>
            <w:r>
              <w:rPr>
                <w:rFonts w:hint="eastAsia"/>
                <w:color w:val="000000"/>
              </w:rPr>
              <w:t>い。</w:t>
            </w:r>
            <w:r>
              <w:rPr>
                <w:rFonts w:hint="default"/>
                <w:color w:val="000000"/>
              </w:rPr>
              <w:t>このような生活習慣が継続した結果、高血糖や高血圧、脂質異常の状態に至り、動脈硬化が進行した結果、最終的に脳血管疾患･虚血性心疾患・腎不全の発症に至るものが多く存在する。</w:t>
            </w:r>
          </w:p>
          <w:p>
            <w:pPr>
              <w:pStyle w:val="59"/>
              <w:ind w:firstLine="140" w:firstLineChars="100"/>
              <w:rPr>
                <w:rFonts w:hint="default"/>
                <w:color w:val="000000"/>
              </w:rPr>
            </w:pPr>
            <w:r>
              <w:rPr>
                <w:rFonts w:hint="eastAsia"/>
                <w:color w:val="000000"/>
              </w:rPr>
              <w:t>また、「改善意欲がなし」の割合が高く、改善意識の向上が課題と考えられる。</w:t>
            </w:r>
          </w:p>
        </w:tc>
        <w:tc>
          <w:tcPr>
            <w:tcW w:w="108" w:type="pct"/>
            <w:tcBorders>
              <w:top w:val="single" w:color="FFFFFF" w:themeColor="background2" w:sz="4" w:space="0"/>
              <w:left w:val="single" w:color="auto" w:sz="4" w:space="0"/>
              <w:bottom w:val="single" w:color="FFFFFF" w:themeColor="background2"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rPr>
                <w:rFonts w:hint="default"/>
                <w:color w:val="000000"/>
                <w:sz w:val="14"/>
              </w:rPr>
            </w:pPr>
            <w:r>
              <w:rPr>
                <w:rFonts w:hint="default"/>
                <w:color w:val="000000"/>
                <w:sz w:val="14"/>
              </w:rPr>
              <w:t>▶</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color w:val="000000"/>
              </w:rPr>
            </w:pPr>
            <w:r>
              <w:rPr>
                <w:rFonts w:hint="eastAsia"/>
                <w:color w:val="000000"/>
              </w:rPr>
              <w:t>#</w:t>
            </w:r>
            <w:r>
              <w:rPr>
                <w:rFonts w:hint="default"/>
                <w:color w:val="000000"/>
              </w:rPr>
              <w:t>3</w:t>
            </w:r>
          </w:p>
          <w:p>
            <w:pPr>
              <w:pStyle w:val="59"/>
              <w:rPr>
                <w:rFonts w:hint="default"/>
                <w:color w:val="000000"/>
              </w:rPr>
            </w:pPr>
            <w:r>
              <w:rPr>
                <w:rFonts w:hint="eastAsia"/>
                <w:color w:val="000000"/>
              </w:rPr>
              <w:t>生活習慣病の発症・進行、重篤疾患の発症を防ぐことを目的に、被保険者における食習慣・生活習慣の改善が必要。</w:t>
            </w:r>
          </w:p>
          <w:p>
            <w:pPr>
              <w:pStyle w:val="59"/>
              <w:rPr>
                <w:rFonts w:hint="default"/>
                <w:color w:val="000000"/>
              </w:rPr>
            </w:pPr>
            <w:r>
              <w:rPr>
                <w:rFonts w:hint="eastAsia"/>
                <w:color w:val="000000"/>
              </w:rPr>
              <w:t>健康意識啓発が必要</w:t>
            </w:r>
          </w:p>
        </w:tc>
        <w:tc>
          <w:tcPr>
            <w:tcW w:w="119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color w:val="000000"/>
              </w:rPr>
            </w:pPr>
            <w:r>
              <w:rPr>
                <w:rFonts w:hint="eastAsia"/>
                <w:color w:val="000000"/>
              </w:rPr>
              <w:t>【短期指標】</w:t>
            </w:r>
          </w:p>
          <w:p>
            <w:pPr>
              <w:pStyle w:val="0"/>
              <w:widowControl w:val="0"/>
              <w:rPr>
                <w:rFonts w:hint="default"/>
                <w:color w:val="000000"/>
                <w:sz w:val="14"/>
              </w:rPr>
            </w:pPr>
            <w:r>
              <w:rPr>
                <w:rFonts w:hint="default"/>
                <w:color w:val="000000"/>
                <w:sz w:val="14"/>
              </w:rPr>
              <w:t>LDL-C</w:t>
            </w:r>
            <w:r>
              <w:rPr>
                <w:rFonts w:hint="default"/>
                <w:color w:val="000000"/>
                <w:sz w:val="14"/>
              </w:rPr>
              <w:t>が</w:t>
            </w:r>
            <w:r>
              <w:rPr>
                <w:rFonts w:hint="default"/>
                <w:color w:val="000000"/>
                <w:sz w:val="14"/>
              </w:rPr>
              <w:t>140mg/dl</w:t>
            </w:r>
            <w:r>
              <w:rPr>
                <w:rFonts w:hint="default"/>
                <w:color w:val="000000"/>
                <w:sz w:val="14"/>
              </w:rPr>
              <w:t>以上で服薬なしの人の割合</w:t>
            </w:r>
            <w:r>
              <w:rPr>
                <w:rFonts w:hint="eastAsia"/>
                <w:color w:val="000000"/>
                <w:sz w:val="14"/>
              </w:rPr>
              <w:t>の減少率</w:t>
            </w:r>
          </w:p>
          <w:p>
            <w:pPr>
              <w:pStyle w:val="0"/>
              <w:widowControl w:val="0"/>
              <w:rPr>
                <w:rFonts w:hint="default"/>
                <w:color w:val="000000"/>
                <w:sz w:val="14"/>
              </w:rPr>
            </w:pPr>
            <w:r>
              <w:rPr>
                <w:rFonts w:hint="eastAsia"/>
                <w:color w:val="000000"/>
                <w:sz w:val="14"/>
              </w:rPr>
              <w:t>メタボおよびメタボ予備群該当者数の減少</w:t>
            </w:r>
          </w:p>
          <w:p>
            <w:pPr>
              <w:pStyle w:val="0"/>
              <w:widowControl w:val="0"/>
              <w:rPr>
                <w:rFonts w:hint="default"/>
                <w:color w:val="000000"/>
                <w:sz w:val="14"/>
              </w:rPr>
            </w:pPr>
            <w:r>
              <w:rPr>
                <w:rFonts w:hint="eastAsia"/>
                <w:color w:val="000000"/>
                <w:sz w:val="14"/>
              </w:rPr>
              <w:t>質問票での「喫煙」の割合が減少</w:t>
            </w:r>
          </w:p>
          <w:p>
            <w:pPr>
              <w:pStyle w:val="0"/>
              <w:rPr>
                <w:rFonts w:hint="default"/>
                <w:color w:val="000000"/>
                <w:sz w:val="14"/>
              </w:rPr>
            </w:pPr>
            <w:r>
              <w:rPr>
                <w:rFonts w:hint="eastAsia"/>
                <w:color w:val="000000"/>
                <w:sz w:val="14"/>
              </w:rPr>
              <w:t>健康講座</w:t>
            </w:r>
            <w:r>
              <w:rPr>
                <w:rFonts w:hint="eastAsia"/>
                <w:color w:val="000000"/>
                <w:sz w:val="14"/>
              </w:rPr>
              <w:t>(</w:t>
            </w:r>
            <w:r>
              <w:rPr>
                <w:rFonts w:hint="eastAsia"/>
                <w:color w:val="000000"/>
                <w:sz w:val="14"/>
              </w:rPr>
              <w:t>運動・栄養・禁煙等</w:t>
            </w:r>
            <w:r>
              <w:rPr>
                <w:rFonts w:hint="eastAsia"/>
                <w:color w:val="000000"/>
                <w:sz w:val="14"/>
              </w:rPr>
              <w:t>)</w:t>
            </w:r>
            <w:r>
              <w:rPr>
                <w:rFonts w:hint="eastAsia"/>
                <w:color w:val="000000"/>
                <w:sz w:val="14"/>
              </w:rPr>
              <w:t>の実施で参加率向上</w:t>
            </w:r>
          </w:p>
        </w:tc>
      </w:tr>
      <w:tr>
        <w:trPr>
          <w:trHeight w:val="358" w:hRule="atLeast"/>
        </w:trPr>
        <w:tc>
          <w:tcPr>
            <w:tcW w:w="24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b w:val="1"/>
                <w:color w:val="000000"/>
                <w:sz w:val="14"/>
              </w:rPr>
            </w:pPr>
            <w:r>
              <w:rPr>
                <w:rFonts w:hint="default"/>
                <w:b w:val="1"/>
                <w:color w:val="000000"/>
                <w:sz w:val="14"/>
              </w:rPr>
              <w:t>◀</w:t>
            </w:r>
            <w:r>
              <w:rPr>
                <w:rFonts w:hint="default"/>
                <w:b w:val="1"/>
                <w:color w:val="000000"/>
                <w:sz w:val="14"/>
              </w:rPr>
              <w:t>重症化予防</w:t>
            </w:r>
          </w:p>
          <w:p>
            <w:pPr>
              <w:pStyle w:val="0"/>
              <w:snapToGrid w:val="0"/>
              <w:ind w:firstLine="140" w:firstLineChars="100"/>
              <w:rPr>
                <w:rFonts w:hint="default"/>
                <w:color w:val="000000"/>
                <w:sz w:val="14"/>
              </w:rPr>
            </w:pPr>
            <w:r>
              <w:rPr>
                <w:rFonts w:hint="eastAsia"/>
                <w:color w:val="000000"/>
                <w:sz w:val="14"/>
              </w:rPr>
              <w:t>八街市では心不全による死亡が多く、令和</w:t>
            </w:r>
            <w:r>
              <w:rPr>
                <w:rFonts w:hint="default"/>
                <w:color w:val="000000"/>
                <w:sz w:val="14"/>
              </w:rPr>
              <w:t>3</w:t>
            </w:r>
            <w:r>
              <w:rPr>
                <w:rFonts w:hint="default"/>
                <w:color w:val="000000"/>
                <w:sz w:val="14"/>
              </w:rPr>
              <w:t>年度の心不全による死亡割合は国や県の約</w:t>
            </w:r>
            <w:r>
              <w:rPr>
                <w:rFonts w:hint="default"/>
                <w:color w:val="000000"/>
                <w:sz w:val="14"/>
              </w:rPr>
              <w:t>1.5</w:t>
            </w:r>
            <w:r>
              <w:rPr>
                <w:rFonts w:hint="default"/>
                <w:color w:val="000000"/>
                <w:sz w:val="14"/>
              </w:rPr>
              <w:t>倍となっており、平成</w:t>
            </w:r>
            <w:r>
              <w:rPr>
                <w:rFonts w:hint="default"/>
                <w:color w:val="000000"/>
                <w:sz w:val="14"/>
              </w:rPr>
              <w:t>25</w:t>
            </w:r>
            <w:r>
              <w:rPr>
                <w:rFonts w:hint="default"/>
                <w:color w:val="000000"/>
                <w:sz w:val="14"/>
              </w:rPr>
              <w:t>年から</w:t>
            </w:r>
            <w:r>
              <w:rPr>
                <w:rFonts w:hint="default"/>
                <w:color w:val="000000"/>
                <w:sz w:val="14"/>
              </w:rPr>
              <w:t>29</w:t>
            </w:r>
            <w:r>
              <w:rPr>
                <w:rFonts w:hint="default"/>
                <w:color w:val="000000"/>
                <w:sz w:val="14"/>
              </w:rPr>
              <w:t>年のデータで算出された</w:t>
            </w:r>
            <w:r>
              <w:rPr>
                <w:rFonts w:hint="default"/>
                <w:color w:val="000000"/>
                <w:sz w:val="14"/>
              </w:rPr>
              <w:t>SMR(</w:t>
            </w:r>
            <w:r>
              <w:rPr>
                <w:rFonts w:hint="default"/>
                <w:color w:val="000000"/>
                <w:sz w:val="14"/>
              </w:rPr>
              <w:t>標準化死亡比</w:t>
            </w:r>
            <w:r>
              <w:rPr>
                <w:rFonts w:hint="default"/>
                <w:color w:val="000000"/>
                <w:sz w:val="14"/>
              </w:rPr>
              <w:t>※</w:t>
            </w:r>
            <w:r>
              <w:rPr>
                <w:rFonts w:hint="default"/>
                <w:color w:val="000000"/>
                <w:sz w:val="14"/>
              </w:rPr>
              <w:t>注釈あり）も男女ともに</w:t>
            </w:r>
            <w:r>
              <w:rPr>
                <w:rFonts w:hint="default"/>
                <w:color w:val="000000"/>
                <w:sz w:val="14"/>
              </w:rPr>
              <w:t>200</w:t>
            </w:r>
            <w:r>
              <w:rPr>
                <w:rFonts w:hint="default"/>
                <w:color w:val="000000"/>
                <w:sz w:val="14"/>
              </w:rPr>
              <w:t>を超えている。心不全の原因は様々ではあるものの、虚血性心疾患や動脈硬化、高血圧症など、保健事業により予防可能な疾患も原因にあげられる。同じく、保健事業により予防可能な重篤疾患という観点では、脳血管疾患・虚血性心疾患・腎不全が死因の上位に位置している。虚血性心疾患については、急性心筋梗塞の</w:t>
            </w:r>
            <w:r>
              <w:rPr>
                <w:rFonts w:hint="default"/>
                <w:color w:val="000000"/>
                <w:sz w:val="14"/>
              </w:rPr>
              <w:t>SMR</w:t>
            </w:r>
            <w:r>
              <w:rPr>
                <w:rFonts w:hint="default"/>
                <w:color w:val="000000"/>
                <w:sz w:val="14"/>
              </w:rPr>
              <w:t>が男女ともに国より低く、入院</w:t>
            </w:r>
            <w:r>
              <w:rPr>
                <w:rFonts w:hint="eastAsia"/>
                <w:color w:val="000000"/>
                <w:sz w:val="14"/>
              </w:rPr>
              <w:t>受診率は国の</w:t>
            </w:r>
            <w:r>
              <w:rPr>
                <w:rFonts w:hint="default"/>
                <w:color w:val="000000"/>
                <w:sz w:val="14"/>
              </w:rPr>
              <w:t>0.93</w:t>
            </w:r>
            <w:r>
              <w:rPr>
                <w:rFonts w:hint="default"/>
                <w:color w:val="000000"/>
                <w:sz w:val="14"/>
              </w:rPr>
              <w:t>倍と国と同水準もしくはやや低めではあるものの、心不全の死亡割合・</w:t>
            </w:r>
            <w:r>
              <w:rPr>
                <w:rFonts w:hint="default"/>
                <w:color w:val="000000"/>
                <w:sz w:val="14"/>
              </w:rPr>
              <w:t>SMR</w:t>
            </w:r>
            <w:r>
              <w:rPr>
                <w:rFonts w:hint="default"/>
                <w:color w:val="000000"/>
                <w:sz w:val="14"/>
              </w:rPr>
              <w:t>の高さを踏まえると、八街市における虚血性心疾患の発生頻度は低いとは言えない可能性が考えられる。また、脳血管疾患については、入院受診率は国の</w:t>
            </w:r>
            <w:r>
              <w:rPr>
                <w:rFonts w:hint="default"/>
                <w:color w:val="000000"/>
                <w:sz w:val="14"/>
              </w:rPr>
              <w:t>0.83</w:t>
            </w:r>
            <w:r>
              <w:rPr>
                <w:rFonts w:hint="default"/>
                <w:color w:val="000000"/>
                <w:sz w:val="14"/>
              </w:rPr>
              <w:t>倍ではあるものの、</w:t>
            </w:r>
            <w:r>
              <w:rPr>
                <w:rFonts w:hint="default"/>
                <w:color w:val="000000"/>
                <w:sz w:val="14"/>
              </w:rPr>
              <w:t>SMR</w:t>
            </w:r>
            <w:r>
              <w:rPr>
                <w:rFonts w:hint="default"/>
                <w:color w:val="000000"/>
                <w:sz w:val="14"/>
              </w:rPr>
              <w:t>は男女ともに</w:t>
            </w:r>
            <w:r>
              <w:rPr>
                <w:rFonts w:hint="default"/>
                <w:color w:val="000000"/>
                <w:sz w:val="14"/>
              </w:rPr>
              <w:t>130</w:t>
            </w:r>
            <w:r>
              <w:rPr>
                <w:rFonts w:hint="default"/>
                <w:color w:val="000000"/>
                <w:sz w:val="14"/>
              </w:rPr>
              <w:t>を上回っており、その発生頻度は高い可能性が考えられる。腎不全は男女ともに</w:t>
            </w:r>
            <w:r>
              <w:rPr>
                <w:rFonts w:hint="default"/>
                <w:color w:val="000000"/>
                <w:sz w:val="14"/>
              </w:rPr>
              <w:t>SMR</w:t>
            </w:r>
            <w:r>
              <w:rPr>
                <w:rFonts w:hint="default"/>
                <w:color w:val="000000"/>
                <w:sz w:val="14"/>
              </w:rPr>
              <w:t>が</w:t>
            </w:r>
            <w:r>
              <w:rPr>
                <w:rFonts w:hint="default"/>
                <w:color w:val="000000"/>
                <w:sz w:val="14"/>
              </w:rPr>
              <w:t>100</w:t>
            </w:r>
            <w:r>
              <w:rPr>
                <w:rFonts w:hint="default"/>
                <w:color w:val="000000"/>
                <w:sz w:val="14"/>
              </w:rPr>
              <w:t>前後であり、慢性腎臓病の外来受診率が透析あり・なしともに国より高いことから、適切な治療がなされていることで腎不全での死亡を一定数防ぐことができている</w:t>
            </w:r>
            <w:r>
              <w:rPr>
                <w:rFonts w:hint="eastAsia"/>
                <w:color w:val="000000"/>
                <w:sz w:val="14"/>
              </w:rPr>
              <w:t>と考えられる。</w:t>
            </w:r>
          </w:p>
          <w:p>
            <w:pPr>
              <w:pStyle w:val="0"/>
              <w:widowControl w:val="0"/>
              <w:ind w:firstLine="140" w:firstLineChars="100"/>
              <w:rPr>
                <w:rFonts w:hint="default"/>
                <w:color w:val="000000"/>
                <w:sz w:val="14"/>
              </w:rPr>
            </w:pPr>
            <w:r>
              <w:rPr>
                <w:rFonts w:hint="eastAsia"/>
                <w:color w:val="000000"/>
                <w:sz w:val="14"/>
              </w:rPr>
              <w:t>これらの重篤な疾患の原因となる動脈硬化を促進する糖尿病・高血圧症・脂質異常症の外来受診率は、糖尿病は国と同程度であり、高血圧症・脂質異常症は国と比べてやや低い傾向にある。また、特定健診受診者においては、血糖・血圧・脂質に関して受診勧奨判定値を上回っているものの該当疾患に関する服薬が出ていないものが血糖では約</w:t>
            </w:r>
            <w:r>
              <w:rPr>
                <w:rFonts w:hint="default"/>
                <w:color w:val="000000"/>
                <w:sz w:val="14"/>
              </w:rPr>
              <w:t>3</w:t>
            </w:r>
            <w:r>
              <w:rPr>
                <w:rFonts w:hint="default"/>
                <w:color w:val="000000"/>
                <w:sz w:val="14"/>
              </w:rPr>
              <w:t>割弱、血圧では約</w:t>
            </w:r>
            <w:r>
              <w:rPr>
                <w:rFonts w:hint="default"/>
                <w:color w:val="000000"/>
                <w:sz w:val="14"/>
              </w:rPr>
              <w:t>6</w:t>
            </w:r>
            <w:r>
              <w:rPr>
                <w:rFonts w:hint="default"/>
                <w:color w:val="000000"/>
                <w:sz w:val="14"/>
              </w:rPr>
              <w:t>割、血中脂質では</w:t>
            </w:r>
            <w:r>
              <w:rPr>
                <w:rFonts w:hint="default"/>
                <w:color w:val="000000"/>
                <w:sz w:val="14"/>
              </w:rPr>
              <w:t>9</w:t>
            </w:r>
            <w:r>
              <w:rPr>
                <w:rFonts w:hint="default"/>
                <w:color w:val="000000"/>
                <w:sz w:val="14"/>
              </w:rPr>
              <w:t>割弱存在している。これらの事実から、八街市では基礎疾患を有しているものの外来治療につながっていないものが依然存在しているため、外来治療に適切につながっていない有病者を</w:t>
            </w:r>
            <w:r>
              <w:rPr>
                <w:rFonts w:hint="eastAsia"/>
                <w:color w:val="000000"/>
                <w:sz w:val="14"/>
              </w:rPr>
              <w:t>外来治療に適切につなげることで、虚血性心疾患・脳血管疾患・腎不全といった重篤な疾患の発症を抑制できると考えられる。</w:t>
            </w:r>
          </w:p>
        </w:tc>
        <w:tc>
          <w:tcPr>
            <w:tcW w:w="108" w:type="pct"/>
            <w:tcBorders>
              <w:top w:val="single" w:color="FFFFFF" w:themeColor="background2" w:sz="4" w:space="0"/>
              <w:left w:val="single" w:color="auto" w:sz="4" w:space="0"/>
              <w:bottom w:val="single" w:color="FFFFFF" w:themeColor="background2"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rPr>
                <w:rFonts w:hint="default"/>
                <w:color w:val="000000"/>
                <w:sz w:val="14"/>
              </w:rPr>
            </w:pPr>
            <w:r>
              <w:rPr>
                <w:rFonts w:hint="default"/>
                <w:color w:val="000000"/>
                <w:sz w:val="14"/>
              </w:rPr>
              <w:t>▶</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color w:val="000000"/>
              </w:rPr>
            </w:pPr>
            <w:r>
              <w:rPr>
                <w:rFonts w:hint="eastAsia"/>
                <w:color w:val="000000"/>
              </w:rPr>
              <w:t>#</w:t>
            </w:r>
            <w:r>
              <w:rPr>
                <w:rFonts w:hint="default"/>
                <w:color w:val="000000"/>
              </w:rPr>
              <w:t>4</w:t>
            </w:r>
          </w:p>
          <w:p>
            <w:pPr>
              <w:pStyle w:val="59"/>
              <w:snapToGrid w:val="0"/>
              <w:rPr>
                <w:rFonts w:hint="default"/>
                <w:color w:val="000000"/>
              </w:rPr>
            </w:pPr>
            <w:r>
              <w:rPr>
                <w:rFonts w:hint="eastAsia"/>
                <w:color w:val="000000"/>
              </w:rPr>
              <w:t>重篤な疾患の発症を防ぐことを目的に、健診受診率の向上をはかり、受診の結果「受診勧奨判定値」を超えたものに対して、適切に医療機関の受診につなげることが必要。</w:t>
            </w:r>
          </w:p>
          <w:p>
            <w:pPr>
              <w:pStyle w:val="59"/>
              <w:snapToGrid w:val="0"/>
              <w:rPr>
                <w:rFonts w:hint="default"/>
                <w:color w:val="000000"/>
              </w:rPr>
            </w:pPr>
          </w:p>
        </w:tc>
        <w:tc>
          <w:tcPr>
            <w:tcW w:w="1198"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snapToGrid w:val="0"/>
              <w:rPr>
                <w:rFonts w:hint="default"/>
                <w:color w:val="000000"/>
              </w:rPr>
            </w:pPr>
            <w:r>
              <w:rPr>
                <w:rFonts w:hint="eastAsia"/>
                <w:color w:val="000000"/>
              </w:rPr>
              <w:t>【長期指標】</w:t>
            </w:r>
          </w:p>
          <w:p>
            <w:pPr>
              <w:pStyle w:val="59"/>
              <w:snapToGrid w:val="0"/>
              <w:rPr>
                <w:rFonts w:hint="default"/>
                <w:color w:val="000000"/>
              </w:rPr>
            </w:pPr>
            <w:r>
              <w:rPr>
                <w:rFonts w:hint="eastAsia"/>
                <w:color w:val="000000"/>
              </w:rPr>
              <w:t>虚血性心疾患の入院受診率</w:t>
            </w:r>
          </w:p>
          <w:p>
            <w:pPr>
              <w:pStyle w:val="59"/>
              <w:snapToGrid w:val="0"/>
              <w:rPr>
                <w:rFonts w:hint="default"/>
                <w:color w:val="000000"/>
              </w:rPr>
            </w:pPr>
            <w:r>
              <w:rPr>
                <w:rFonts w:hint="eastAsia"/>
                <w:color w:val="000000"/>
              </w:rPr>
              <w:t>脳梗塞の入院受診率</w:t>
            </w:r>
          </w:p>
          <w:p>
            <w:pPr>
              <w:pStyle w:val="59"/>
              <w:snapToGrid w:val="0"/>
              <w:rPr>
                <w:rFonts w:hint="default"/>
                <w:color w:val="000000"/>
              </w:rPr>
            </w:pPr>
            <w:r>
              <w:rPr>
                <w:rFonts w:hint="eastAsia"/>
                <w:color w:val="000000"/>
              </w:rPr>
              <w:t>慢性腎臓病（透析あり）の外来受診率</w:t>
            </w:r>
          </w:p>
          <w:p>
            <w:pPr>
              <w:pStyle w:val="59"/>
              <w:snapToGrid w:val="0"/>
              <w:rPr>
                <w:rFonts w:hint="default"/>
                <w:color w:val="000000"/>
              </w:rPr>
            </w:pPr>
          </w:p>
          <w:p>
            <w:pPr>
              <w:pStyle w:val="59"/>
              <w:snapToGrid w:val="0"/>
              <w:rPr>
                <w:rFonts w:hint="default"/>
                <w:color w:val="000000"/>
              </w:rPr>
            </w:pPr>
            <w:r>
              <w:rPr>
                <w:rFonts w:hint="eastAsia"/>
                <w:color w:val="000000"/>
              </w:rPr>
              <w:t>【中期指標】</w:t>
            </w:r>
          </w:p>
          <w:p>
            <w:pPr>
              <w:pStyle w:val="59"/>
              <w:snapToGrid w:val="0"/>
              <w:rPr>
                <w:rFonts w:hint="default"/>
                <w:color w:val="000000"/>
              </w:rPr>
            </w:pPr>
            <w:r>
              <w:rPr>
                <w:rFonts w:hint="eastAsia"/>
                <w:color w:val="000000"/>
              </w:rPr>
              <w:t>特定健診受診者の内、</w:t>
            </w:r>
          </w:p>
          <w:p>
            <w:pPr>
              <w:pStyle w:val="59"/>
              <w:snapToGrid w:val="0"/>
              <w:rPr>
                <w:rFonts w:hint="default"/>
                <w:color w:val="000000"/>
              </w:rPr>
            </w:pPr>
            <w:r>
              <w:rPr>
                <w:rFonts w:hint="eastAsia"/>
                <w:color w:val="000000"/>
              </w:rPr>
              <w:t>HbA1c</w:t>
            </w:r>
            <w:r>
              <w:rPr>
                <w:rFonts w:hint="eastAsia"/>
                <w:color w:val="000000"/>
              </w:rPr>
              <w:t>が</w:t>
            </w:r>
            <w:r>
              <w:rPr>
                <w:rFonts w:hint="eastAsia"/>
                <w:color w:val="000000"/>
              </w:rPr>
              <w:t>6.5%</w:t>
            </w:r>
            <w:r>
              <w:rPr>
                <w:rFonts w:hint="eastAsia"/>
                <w:color w:val="000000"/>
              </w:rPr>
              <w:t>以上のものの割合</w:t>
            </w:r>
          </w:p>
          <w:p>
            <w:pPr>
              <w:pStyle w:val="59"/>
              <w:snapToGrid w:val="0"/>
              <w:rPr>
                <w:rFonts w:hint="default"/>
                <w:color w:val="000000"/>
              </w:rPr>
            </w:pPr>
            <w:r>
              <w:rPr>
                <w:rFonts w:hint="eastAsia"/>
                <w:color w:val="000000"/>
              </w:rPr>
              <w:t>高血圧がⅠ度高血圧以上のものの割合</w:t>
            </w:r>
          </w:p>
          <w:p>
            <w:pPr>
              <w:pStyle w:val="59"/>
              <w:snapToGrid w:val="0"/>
              <w:rPr>
                <w:rFonts w:hint="default"/>
                <w:color w:val="000000"/>
              </w:rPr>
            </w:pPr>
            <w:r>
              <w:rPr>
                <w:rFonts w:hint="eastAsia"/>
                <w:color w:val="000000"/>
              </w:rPr>
              <w:t>LDL-C</w:t>
            </w:r>
            <w:r>
              <w:rPr>
                <w:rFonts w:hint="eastAsia"/>
                <w:color w:val="000000"/>
              </w:rPr>
              <w:t>が</w:t>
            </w:r>
            <w:r>
              <w:rPr>
                <w:rFonts w:hint="eastAsia"/>
                <w:color w:val="000000"/>
              </w:rPr>
              <w:t>140mg/dl</w:t>
            </w:r>
            <w:r>
              <w:rPr>
                <w:rFonts w:hint="eastAsia"/>
                <w:color w:val="000000"/>
              </w:rPr>
              <w:t>以上のものの割合</w:t>
            </w:r>
          </w:p>
          <w:p>
            <w:pPr>
              <w:pStyle w:val="59"/>
              <w:snapToGrid w:val="0"/>
              <w:rPr>
                <w:rFonts w:hint="default"/>
                <w:color w:val="000000"/>
              </w:rPr>
            </w:pPr>
            <w:r>
              <w:rPr>
                <w:rFonts w:hint="default"/>
                <w:color w:val="000000"/>
              </w:rPr>
              <w:t>eGFR</w:t>
            </w:r>
            <w:r>
              <w:rPr>
                <w:rFonts w:hint="default"/>
                <w:color w:val="000000"/>
              </w:rPr>
              <w:t>が</w:t>
            </w:r>
            <w:r>
              <w:rPr>
                <w:rFonts w:hint="default"/>
                <w:color w:val="000000"/>
              </w:rPr>
              <w:t>45 ml/</w:t>
            </w:r>
            <w:r>
              <w:rPr>
                <w:rFonts w:hint="default"/>
                <w:color w:val="000000"/>
              </w:rPr>
              <w:t>分</w:t>
            </w:r>
            <w:r>
              <w:rPr>
                <w:rFonts w:hint="default"/>
                <w:color w:val="000000"/>
              </w:rPr>
              <w:t>/1.73m</w:t>
            </w:r>
            <w:r>
              <w:rPr>
                <w:rFonts w:hint="default"/>
                <w:color w:val="000000"/>
                <w:vertAlign w:val="superscript"/>
              </w:rPr>
              <w:t>2</w:t>
            </w:r>
            <w:r>
              <w:rPr>
                <w:rFonts w:hint="default"/>
                <w:color w:val="000000"/>
              </w:rPr>
              <w:t>未満の</w:t>
            </w:r>
            <w:r>
              <w:rPr>
                <w:rFonts w:hint="eastAsia"/>
                <w:color w:val="000000"/>
              </w:rPr>
              <w:t>もの</w:t>
            </w:r>
            <w:r>
              <w:rPr>
                <w:rFonts w:hint="default"/>
                <w:color w:val="000000"/>
              </w:rPr>
              <w:t>の</w:t>
            </w:r>
            <w:r>
              <w:rPr>
                <w:rFonts w:hint="eastAsia"/>
                <w:color w:val="000000"/>
              </w:rPr>
              <w:t>数</w:t>
            </w:r>
          </w:p>
          <w:p>
            <w:pPr>
              <w:pStyle w:val="59"/>
              <w:snapToGrid w:val="0"/>
              <w:rPr>
                <w:rFonts w:hint="default"/>
                <w:color w:val="000000"/>
              </w:rPr>
            </w:pPr>
          </w:p>
          <w:p>
            <w:pPr>
              <w:pStyle w:val="59"/>
              <w:snapToGrid w:val="0"/>
              <w:rPr>
                <w:rFonts w:hint="default"/>
                <w:color w:val="000000"/>
              </w:rPr>
            </w:pPr>
            <w:r>
              <w:rPr>
                <w:rFonts w:hint="eastAsia"/>
                <w:color w:val="000000"/>
              </w:rPr>
              <w:t>【短期指標】</w:t>
            </w:r>
          </w:p>
          <w:p>
            <w:pPr>
              <w:pStyle w:val="59"/>
              <w:snapToGrid w:val="0"/>
              <w:rPr>
                <w:rFonts w:hint="default"/>
                <w:color w:val="000000"/>
              </w:rPr>
            </w:pPr>
            <w:r>
              <w:rPr>
                <w:rFonts w:hint="eastAsia"/>
                <w:color w:val="000000"/>
              </w:rPr>
              <w:t>特定健診受診者の内、</w:t>
            </w:r>
          </w:p>
          <w:p>
            <w:pPr>
              <w:pStyle w:val="59"/>
              <w:snapToGrid w:val="0"/>
              <w:rPr>
                <w:rFonts w:hint="default"/>
                <w:color w:val="000000"/>
              </w:rPr>
            </w:pPr>
            <w:r>
              <w:rPr>
                <w:rFonts w:hint="default"/>
                <w:color w:val="000000"/>
              </w:rPr>
              <w:t>HbA1C</w:t>
            </w:r>
            <w:r>
              <w:rPr>
                <w:rFonts w:hint="default"/>
                <w:color w:val="000000"/>
              </w:rPr>
              <w:t>が</w:t>
            </w:r>
            <w:r>
              <w:rPr>
                <w:rFonts w:hint="default"/>
                <w:color w:val="000000"/>
              </w:rPr>
              <w:t>6.5%</w:t>
            </w:r>
            <w:r>
              <w:rPr>
                <w:rFonts w:hint="default"/>
                <w:color w:val="000000"/>
              </w:rPr>
              <w:t>以上で</w:t>
            </w:r>
            <w:r>
              <w:rPr>
                <w:rFonts w:hint="eastAsia"/>
                <w:color w:val="000000"/>
              </w:rPr>
              <w:t>服薬なし</w:t>
            </w:r>
            <w:r>
              <w:rPr>
                <w:rFonts w:hint="default"/>
                <w:color w:val="000000"/>
              </w:rPr>
              <w:t>の</w:t>
            </w:r>
            <w:r>
              <w:rPr>
                <w:rFonts w:hint="eastAsia"/>
                <w:color w:val="000000"/>
              </w:rPr>
              <w:t>もの</w:t>
            </w:r>
            <w:r>
              <w:rPr>
                <w:rFonts w:hint="default"/>
                <w:color w:val="000000"/>
              </w:rPr>
              <w:t>の割合</w:t>
            </w:r>
          </w:p>
          <w:p>
            <w:pPr>
              <w:pStyle w:val="59"/>
              <w:snapToGrid w:val="0"/>
              <w:rPr>
                <w:rFonts w:hint="default"/>
                <w:color w:val="000000"/>
              </w:rPr>
            </w:pPr>
            <w:r>
              <w:rPr>
                <w:rFonts w:hint="default"/>
                <w:color w:val="000000"/>
              </w:rPr>
              <w:t>血圧が</w:t>
            </w:r>
            <w:r>
              <w:rPr>
                <w:rFonts w:hint="default"/>
                <w:color w:val="000000"/>
              </w:rPr>
              <w:t>Ⅰ</w:t>
            </w:r>
            <w:r>
              <w:rPr>
                <w:rFonts w:hint="default"/>
                <w:color w:val="000000"/>
              </w:rPr>
              <w:t>度高血圧以上で</w:t>
            </w:r>
            <w:r>
              <w:rPr>
                <w:rFonts w:hint="eastAsia"/>
                <w:color w:val="000000"/>
              </w:rPr>
              <w:t>服薬なし</w:t>
            </w:r>
            <w:r>
              <w:rPr>
                <w:rFonts w:hint="default"/>
                <w:color w:val="000000"/>
              </w:rPr>
              <w:t>の</w:t>
            </w:r>
            <w:r>
              <w:rPr>
                <w:rFonts w:hint="eastAsia"/>
                <w:color w:val="000000"/>
              </w:rPr>
              <w:t>もの</w:t>
            </w:r>
            <w:r>
              <w:rPr>
                <w:rFonts w:hint="default"/>
                <w:color w:val="000000"/>
              </w:rPr>
              <w:t>の割合</w:t>
            </w:r>
          </w:p>
          <w:p>
            <w:pPr>
              <w:pStyle w:val="59"/>
              <w:rPr>
                <w:rFonts w:hint="default"/>
                <w:color w:val="000000"/>
              </w:rPr>
            </w:pPr>
            <w:r>
              <w:rPr>
                <w:rFonts w:hint="default"/>
                <w:color w:val="000000"/>
              </w:rPr>
              <w:t>LDL-C</w:t>
            </w:r>
            <w:r>
              <w:rPr>
                <w:rFonts w:hint="default"/>
                <w:color w:val="000000"/>
              </w:rPr>
              <w:t>が</w:t>
            </w:r>
            <w:r>
              <w:rPr>
                <w:rFonts w:hint="default"/>
                <w:color w:val="000000"/>
              </w:rPr>
              <w:t>140</w:t>
            </w:r>
            <w:r>
              <w:rPr>
                <w:rFonts w:hint="default"/>
                <w:color w:val="000000"/>
              </w:rPr>
              <w:t>ｍ</w:t>
            </w:r>
            <w:r>
              <w:rPr>
                <w:rFonts w:hint="default"/>
                <w:color w:val="000000"/>
              </w:rPr>
              <w:t>g/dl</w:t>
            </w:r>
            <w:r>
              <w:rPr>
                <w:rFonts w:hint="default"/>
                <w:color w:val="000000"/>
              </w:rPr>
              <w:t>以上で</w:t>
            </w:r>
            <w:r>
              <w:rPr>
                <w:rFonts w:hint="eastAsia"/>
                <w:color w:val="000000"/>
              </w:rPr>
              <w:t>服薬なしのもの</w:t>
            </w:r>
            <w:r>
              <w:rPr>
                <w:rFonts w:hint="default"/>
                <w:color w:val="000000"/>
              </w:rPr>
              <w:t>の割合</w:t>
            </w:r>
          </w:p>
          <w:p>
            <w:pPr>
              <w:pStyle w:val="59"/>
              <w:snapToGrid w:val="0"/>
              <w:rPr>
                <w:rFonts w:hint="default"/>
                <w:color w:val="000000"/>
              </w:rPr>
            </w:pPr>
            <w:r>
              <w:rPr>
                <w:rFonts w:hint="eastAsia"/>
                <w:color w:val="000000"/>
              </w:rPr>
              <w:t>e</w:t>
            </w:r>
            <w:r>
              <w:rPr>
                <w:rFonts w:hint="default"/>
                <w:color w:val="000000"/>
              </w:rPr>
              <w:t>GFR</w:t>
            </w:r>
            <w:r>
              <w:rPr>
                <w:rFonts w:hint="eastAsia"/>
                <w:color w:val="000000"/>
              </w:rPr>
              <w:t>が</w:t>
            </w:r>
            <w:r>
              <w:rPr>
                <w:rFonts w:hint="eastAsia"/>
                <w:color w:val="000000"/>
              </w:rPr>
              <w:t>4</w:t>
            </w:r>
            <w:r>
              <w:rPr>
                <w:rFonts w:hint="default"/>
                <w:color w:val="000000"/>
              </w:rPr>
              <w:t>5 ml/</w:t>
            </w:r>
            <w:r>
              <w:rPr>
                <w:rFonts w:hint="default"/>
                <w:color w:val="000000"/>
              </w:rPr>
              <w:t>分</w:t>
            </w:r>
            <w:r>
              <w:rPr>
                <w:rFonts w:hint="default"/>
                <w:color w:val="000000"/>
              </w:rPr>
              <w:t>/1.73m</w:t>
            </w:r>
            <w:r>
              <w:rPr>
                <w:rFonts w:hint="default"/>
                <w:color w:val="000000"/>
                <w:vertAlign w:val="superscript"/>
              </w:rPr>
              <w:t>2</w:t>
            </w:r>
            <w:r>
              <w:rPr>
                <w:rFonts w:hint="default"/>
                <w:color w:val="000000"/>
              </w:rPr>
              <w:t>未満</w:t>
            </w:r>
            <w:r>
              <w:rPr>
                <w:rFonts w:hint="eastAsia"/>
                <w:color w:val="000000"/>
              </w:rPr>
              <w:t>で服薬なしのものの割合</w:t>
            </w:r>
          </w:p>
        </w:tc>
      </w:tr>
    </w:tbl>
    <w:p>
      <w:pPr>
        <w:pStyle w:val="0"/>
        <w:rPr>
          <w:rFonts w:hint="default"/>
          <w:sz w:val="14"/>
        </w:rPr>
      </w:pPr>
      <w:r>
        <w:rPr>
          <w:rFonts w:hint="eastAsia"/>
          <w:sz w:val="14"/>
        </w:rPr>
        <w:t>※標準化死亡比（</w:t>
      </w:r>
      <w:r>
        <w:rPr>
          <w:rFonts w:hint="default"/>
          <w:sz w:val="14"/>
        </w:rPr>
        <w:t>SMR</w:t>
      </w:r>
      <w:r>
        <w:rPr>
          <w:rFonts w:hint="default"/>
          <w:sz w:val="14"/>
        </w:rPr>
        <w:t>）：基準死亡率（人口</w:t>
      </w:r>
      <w:r>
        <w:rPr>
          <w:rFonts w:hint="default"/>
          <w:sz w:val="14"/>
        </w:rPr>
        <w:t>10</w:t>
      </w:r>
      <w:r>
        <w:rPr>
          <w:rFonts w:hint="default"/>
          <w:sz w:val="14"/>
        </w:rPr>
        <w:t>万対の死亡者数）を対象地域に当てはめた場合に、計算により求められる期待される死亡者数と実際に観察された死亡者数を比較するものである。国の平均を</w:t>
      </w:r>
      <w:r>
        <w:rPr>
          <w:rFonts w:hint="default"/>
          <w:sz w:val="14"/>
        </w:rPr>
        <w:t>100</w:t>
      </w:r>
      <w:r>
        <w:rPr>
          <w:rFonts w:hint="default"/>
          <w:sz w:val="14"/>
        </w:rPr>
        <w:t>としており、標準化死亡比が</w:t>
      </w:r>
      <w:r>
        <w:rPr>
          <w:rFonts w:hint="default"/>
          <w:sz w:val="14"/>
        </w:rPr>
        <w:t>100</w:t>
      </w:r>
      <w:r>
        <w:rPr>
          <w:rFonts w:hint="default"/>
          <w:sz w:val="14"/>
        </w:rPr>
        <w:t>以上の場合は国の平均より死亡率が高いと判断され、</w:t>
      </w:r>
      <w:r>
        <w:rPr>
          <w:rFonts w:hint="default"/>
          <w:sz w:val="14"/>
        </w:rPr>
        <w:t>100</w:t>
      </w:r>
      <w:r>
        <w:rPr>
          <w:rFonts w:hint="default"/>
          <w:sz w:val="14"/>
        </w:rPr>
        <w:t>以下の場合は死亡率が低いと判断される</w:t>
      </w:r>
    </w:p>
    <w:p>
      <w:pPr>
        <w:pStyle w:val="0"/>
        <w:rPr>
          <w:rFonts w:hint="default"/>
        </w:rPr>
      </w:pPr>
      <w:r>
        <w:rPr>
          <w:rFonts w:hint="default"/>
        </w:rPr>
        <w:br w:type="page"/>
      </w:r>
    </w:p>
    <w:p>
      <w:pPr>
        <w:pStyle w:val="3"/>
        <w:rPr>
          <w:rFonts w:hint="default"/>
        </w:rPr>
      </w:pPr>
      <w:bookmarkStart w:id="201" w:name="_Toc162548721"/>
      <w:r>
        <w:rPr>
          <w:rFonts w:hint="eastAsia"/>
        </w:rPr>
        <w:t>一体的実施及びその他</w:t>
      </w:r>
      <w:r>
        <w:rPr>
          <w:rFonts w:hint="eastAsia"/>
        </w:rPr>
        <w:t>(</w:t>
      </w:r>
      <w:r>
        <w:rPr>
          <w:rFonts w:hint="eastAsia"/>
        </w:rPr>
        <w:t>医療費適正化</w:t>
      </w:r>
      <w:r>
        <w:rPr>
          <w:rFonts w:hint="eastAsia"/>
        </w:rPr>
        <w:t>)</w:t>
      </w:r>
      <w:r>
        <w:rPr>
          <w:rFonts w:hint="eastAsia"/>
        </w:rPr>
        <w:t>に関する課題</w:t>
      </w:r>
      <w:bookmarkEnd w:id="201"/>
    </w:p>
    <w:tbl>
      <w:tblPr>
        <w:tblStyle w:val="11"/>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Look w:firstRow="0" w:lastRow="0" w:firstColumn="0" w:lastColumn="0" w:noHBand="1" w:noVBand="1" w:val="0600"/>
      </w:tblPr>
      <w:tblGrid>
        <w:gridCol w:w="4645"/>
        <w:gridCol w:w="242"/>
        <w:gridCol w:w="2244"/>
        <w:gridCol w:w="2244"/>
      </w:tblGrid>
      <w:tr>
        <w:trPr>
          <w:trHeight w:val="17" w:hRule="atLeast"/>
        </w:trPr>
        <w:tc>
          <w:tcPr>
            <w:tcW w:w="247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widowControl w:val="0"/>
              <w:jc w:val="center"/>
              <w:rPr>
                <w:rFonts w:hint="default"/>
                <w:b w:val="1"/>
                <w:color w:val="000000"/>
                <w:sz w:val="14"/>
              </w:rPr>
            </w:pPr>
            <w:r>
              <w:rPr>
                <w:rFonts w:hint="default"/>
                <w:b w:val="1"/>
                <w:color w:val="000000"/>
                <w:sz w:val="14"/>
              </w:rPr>
              <w:t>考察</w:t>
            </w:r>
          </w:p>
        </w:tc>
        <w:tc>
          <w:tcPr>
            <w:tcW w:w="129" w:type="pct"/>
            <w:tcBorders>
              <w:top w:val="single" w:color="FFFFFF" w:themeColor="background1" w:sz="4" w:space="0"/>
              <w:left w:val="single" w:color="auto" w:sz="4" w:space="0"/>
              <w:bottom w:val="single" w:color="FFFFFF" w:themeColor="background1"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top"/>
          </w:tcPr>
          <w:p>
            <w:pPr>
              <w:pStyle w:val="0"/>
              <w:widowControl w:val="0"/>
              <w:jc w:val="center"/>
              <w:rPr>
                <w:rFonts w:hint="default"/>
                <w:b w:val="1"/>
                <w:color w:val="000000"/>
                <w:sz w:val="14"/>
              </w:rPr>
            </w:pP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widowControl w:val="0"/>
              <w:jc w:val="center"/>
              <w:rPr>
                <w:rFonts w:hint="default"/>
                <w:b w:val="1"/>
                <w:color w:val="000000"/>
                <w:sz w:val="14"/>
              </w:rPr>
            </w:pPr>
            <w:r>
              <w:rPr>
                <w:rFonts w:hint="default"/>
                <w:b w:val="1"/>
                <w:color w:val="000000"/>
                <w:sz w:val="14"/>
              </w:rPr>
              <w:t>健康課題</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CCD6FF"/>
            <w:tcMar>
              <w:top w:w="28" w:type="dxa"/>
              <w:left w:w="28" w:type="dxa"/>
              <w:bottom w:w="28" w:type="dxa"/>
              <w:right w:w="28" w:type="dxa"/>
            </w:tcMar>
            <w:vAlign w:val="top"/>
          </w:tcPr>
          <w:p>
            <w:pPr>
              <w:pStyle w:val="0"/>
              <w:widowControl w:val="0"/>
              <w:jc w:val="center"/>
              <w:rPr>
                <w:rFonts w:hint="default"/>
                <w:b w:val="1"/>
                <w:color w:val="000000"/>
                <w:sz w:val="14"/>
              </w:rPr>
            </w:pPr>
            <w:r>
              <w:rPr>
                <w:rFonts w:hint="default"/>
                <w:b w:val="1"/>
                <w:color w:val="000000"/>
                <w:sz w:val="14"/>
              </w:rPr>
              <w:t>評価指標</w:t>
            </w:r>
          </w:p>
        </w:tc>
      </w:tr>
      <w:tr>
        <w:trPr>
          <w:trHeight w:val="20" w:hRule="atLeast"/>
        </w:trPr>
        <w:tc>
          <w:tcPr>
            <w:tcW w:w="247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b w:val="1"/>
                <w:color w:val="000000"/>
                <w:sz w:val="14"/>
              </w:rPr>
            </w:pPr>
            <w:r>
              <w:rPr>
                <w:rFonts w:hint="default"/>
                <w:b w:val="1"/>
                <w:color w:val="000000"/>
                <w:sz w:val="14"/>
              </w:rPr>
              <w:t>◀</w:t>
            </w:r>
            <w:r>
              <w:rPr>
                <w:rFonts w:hint="default"/>
                <w:b w:val="1"/>
                <w:color w:val="000000"/>
                <w:sz w:val="14"/>
              </w:rPr>
              <w:t>介護予防・一体的実施</w:t>
            </w:r>
          </w:p>
          <w:p>
            <w:pPr>
              <w:pStyle w:val="0"/>
              <w:widowControl w:val="0"/>
              <w:ind w:firstLine="140" w:firstLineChars="100"/>
              <w:rPr>
                <w:rFonts w:hint="default"/>
                <w:color w:val="000000"/>
                <w:sz w:val="14"/>
              </w:rPr>
            </w:pPr>
            <w:r>
              <w:rPr>
                <w:rFonts w:hint="eastAsia"/>
                <w:color w:val="000000"/>
                <w:sz w:val="14"/>
              </w:rPr>
              <w:t>介護認定者における有病割合を見ると、糖尿病・高血圧症・脂質異常症といった基礎疾患、心臓病といった重篤な疾患は前期高齢者に比べ後期高齢者の方が多い。また、医療費の観点では、脳出血・脳梗塞・狭心症の医療費の総医療費に占める割合が国保被保険者よりも後期高齢者の方が高い。これらの事実から、国保被保険者への生活習慣病の重症化予防が、後期高齢者における重篤疾患発症の予防につながる可能性が考えられる。</w:t>
            </w:r>
          </w:p>
          <w:p>
            <w:pPr>
              <w:pStyle w:val="0"/>
              <w:widowControl w:val="0"/>
              <w:ind w:firstLine="70" w:firstLineChars="50"/>
              <w:rPr>
                <w:rFonts w:hint="default"/>
                <w:color w:val="000000"/>
                <w:sz w:val="14"/>
              </w:rPr>
            </w:pPr>
            <w:r>
              <w:rPr>
                <w:rFonts w:hint="eastAsia"/>
                <w:color w:val="000000"/>
                <w:sz w:val="14"/>
              </w:rPr>
              <w:t>また、後期高齢者健診の質問票では、「毎日の生活に不満」「</w:t>
            </w:r>
            <w:r>
              <w:rPr>
                <w:rFonts w:hint="default"/>
                <w:color w:val="000000"/>
                <w:sz w:val="14"/>
              </w:rPr>
              <w:t>1</w:t>
            </w:r>
            <w:r>
              <w:rPr>
                <w:rFonts w:hint="default"/>
                <w:color w:val="000000"/>
                <w:sz w:val="14"/>
              </w:rPr>
              <w:t>日</w:t>
            </w:r>
            <w:r>
              <w:rPr>
                <w:rFonts w:hint="default"/>
                <w:color w:val="000000"/>
                <w:sz w:val="14"/>
              </w:rPr>
              <w:t>3</w:t>
            </w:r>
            <w:r>
              <w:rPr>
                <w:rFonts w:hint="default"/>
                <w:color w:val="000000"/>
                <w:sz w:val="14"/>
              </w:rPr>
              <w:t>食食べていない」「ウォーキング等の運動を週に</w:t>
            </w:r>
            <w:r>
              <w:rPr>
                <w:rFonts w:hint="default"/>
                <w:color w:val="000000"/>
                <w:sz w:val="14"/>
              </w:rPr>
              <w:t>1</w:t>
            </w:r>
            <w:r>
              <w:rPr>
                <w:rFonts w:hint="default"/>
                <w:color w:val="000000"/>
                <w:sz w:val="14"/>
              </w:rPr>
              <w:t>回以上していない」</w:t>
            </w:r>
            <w:r>
              <w:rPr>
                <w:rFonts w:hint="eastAsia"/>
                <w:color w:val="000000"/>
                <w:sz w:val="14"/>
              </w:rPr>
              <w:t>「たばこを吸っている」「週に</w:t>
            </w:r>
            <w:r>
              <w:rPr>
                <w:rFonts w:hint="default"/>
                <w:color w:val="000000"/>
                <w:sz w:val="14"/>
              </w:rPr>
              <w:t>1</w:t>
            </w:r>
            <w:r>
              <w:rPr>
                <w:rFonts w:hint="default"/>
                <w:color w:val="000000"/>
                <w:sz w:val="14"/>
              </w:rPr>
              <w:t>回以上外出していない」「ふだんから</w:t>
            </w:r>
            <w:r>
              <w:rPr>
                <w:rFonts w:hint="eastAsia"/>
                <w:color w:val="000000"/>
                <w:sz w:val="14"/>
              </w:rPr>
              <w:t>家族や友人との付き合いがない」「体調が悪いときに身近に相談できる人がいない」の回答が多く、適度な運動や外出をし、生きがいをもって人と交流する機会が少ない状況から、運動習慣を定着できる機会を提供し、通いの場の充実をはかる必要がある。</w:t>
            </w:r>
          </w:p>
        </w:tc>
        <w:tc>
          <w:tcPr>
            <w:tcW w:w="129" w:type="pct"/>
            <w:tcBorders>
              <w:top w:val="single" w:color="FFFFFF" w:themeColor="background1" w:sz="4" w:space="0"/>
              <w:left w:val="single" w:color="auto" w:sz="4" w:space="0"/>
              <w:bottom w:val="single" w:color="FFFFFF" w:themeColor="background1"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rPr>
                <w:rFonts w:hint="default"/>
                <w:color w:val="000000"/>
                <w:sz w:val="14"/>
              </w:rPr>
            </w:pPr>
            <w:r>
              <w:rPr>
                <w:rFonts w:hint="default"/>
                <w:color w:val="000000"/>
                <w:sz w:val="14"/>
              </w:rPr>
              <w:t>▶</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color w:val="000000"/>
                <w:sz w:val="14"/>
              </w:rPr>
            </w:pPr>
            <w:r>
              <w:rPr>
                <w:rFonts w:hint="default"/>
                <w:color w:val="000000"/>
                <w:sz w:val="14"/>
              </w:rPr>
              <w:t>#5</w:t>
            </w:r>
          </w:p>
          <w:p>
            <w:pPr>
              <w:pStyle w:val="59"/>
              <w:rPr>
                <w:rFonts w:hint="default"/>
                <w:color w:val="000000"/>
              </w:rPr>
            </w:pPr>
            <w:r>
              <w:rPr>
                <w:rFonts w:hint="default"/>
                <w:color w:val="000000"/>
              </w:rPr>
              <w:t>将来の</w:t>
            </w:r>
            <w:r>
              <w:rPr>
                <w:rFonts w:hint="eastAsia"/>
                <w:color w:val="000000"/>
              </w:rPr>
              <w:t>重篤な疾患の</w:t>
            </w:r>
            <w:r>
              <w:rPr>
                <w:rFonts w:hint="default"/>
                <w:color w:val="000000"/>
              </w:rPr>
              <w:t>予防のために国保世代への重症化予防が必要。</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59"/>
              <w:rPr>
                <w:rFonts w:hint="default"/>
                <w:color w:val="000000"/>
              </w:rPr>
            </w:pPr>
            <w:r>
              <w:rPr>
                <w:rFonts w:hint="eastAsia"/>
                <w:color w:val="000000"/>
              </w:rPr>
              <w:t>【短期割合】</w:t>
            </w:r>
          </w:p>
          <w:p>
            <w:pPr>
              <w:pStyle w:val="59"/>
              <w:rPr>
                <w:rFonts w:hint="default"/>
                <w:color w:val="000000"/>
              </w:rPr>
            </w:pPr>
            <w:r>
              <w:rPr>
                <w:rFonts w:hint="eastAsia"/>
                <w:color w:val="000000"/>
              </w:rPr>
              <w:t>後期高齢者の健診受診率</w:t>
            </w:r>
          </w:p>
          <w:p>
            <w:pPr>
              <w:pStyle w:val="59"/>
              <w:rPr>
                <w:rFonts w:hint="default"/>
                <w:color w:val="000000"/>
              </w:rPr>
            </w:pPr>
            <w:r>
              <w:rPr>
                <w:rFonts w:hint="eastAsia"/>
                <w:color w:val="000000"/>
              </w:rPr>
              <w:t>「毎日の生活に不満」「</w:t>
            </w:r>
            <w:r>
              <w:rPr>
                <w:rFonts w:hint="default"/>
                <w:color w:val="000000"/>
              </w:rPr>
              <w:t>1</w:t>
            </w:r>
            <w:r>
              <w:rPr>
                <w:rFonts w:hint="default"/>
                <w:color w:val="000000"/>
              </w:rPr>
              <w:t>日</w:t>
            </w:r>
            <w:r>
              <w:rPr>
                <w:rFonts w:hint="default"/>
                <w:color w:val="000000"/>
              </w:rPr>
              <w:t>3</w:t>
            </w:r>
            <w:r>
              <w:rPr>
                <w:rFonts w:hint="default"/>
                <w:color w:val="000000"/>
              </w:rPr>
              <w:t>食食べていない」「ウォーキング等の運動を週に</w:t>
            </w:r>
            <w:r>
              <w:rPr>
                <w:rFonts w:hint="default"/>
                <w:color w:val="000000"/>
              </w:rPr>
              <w:t>1</w:t>
            </w:r>
            <w:r>
              <w:rPr>
                <w:rFonts w:hint="default"/>
                <w:color w:val="000000"/>
              </w:rPr>
              <w:t>回以上していない」</w:t>
            </w:r>
            <w:r>
              <w:rPr>
                <w:rFonts w:hint="eastAsia"/>
                <w:color w:val="000000"/>
              </w:rPr>
              <w:t>「たばこを吸っている」の回答割合の減少</w:t>
            </w:r>
          </w:p>
          <w:p>
            <w:pPr>
              <w:pStyle w:val="59"/>
              <w:rPr>
                <w:rFonts w:hint="default"/>
                <w:color w:val="000000"/>
              </w:rPr>
            </w:pPr>
            <w:r>
              <w:rPr>
                <w:rFonts w:hint="eastAsia"/>
                <w:color w:val="000000"/>
              </w:rPr>
              <w:t>要介護認定者の有病割合</w:t>
            </w:r>
          </w:p>
          <w:p>
            <w:pPr>
              <w:pStyle w:val="59"/>
              <w:rPr>
                <w:rFonts w:hint="default"/>
                <w:color w:val="000000"/>
              </w:rPr>
            </w:pPr>
            <w:r>
              <w:rPr>
                <w:rFonts w:hint="eastAsia"/>
                <w:color w:val="000000"/>
              </w:rPr>
              <w:t>「筋・骨格関連疾患」の総医療費にしめる割合の減少</w:t>
            </w:r>
          </w:p>
          <w:p>
            <w:pPr>
              <w:pStyle w:val="59"/>
              <w:rPr>
                <w:rFonts w:hint="default"/>
                <w:color w:val="000000"/>
              </w:rPr>
            </w:pPr>
          </w:p>
        </w:tc>
      </w:tr>
      <w:tr>
        <w:trPr>
          <w:trHeight w:val="20" w:hRule="atLeast"/>
        </w:trPr>
        <w:tc>
          <w:tcPr>
            <w:tcW w:w="247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b w:val="1"/>
                <w:color w:val="000000"/>
                <w:sz w:val="14"/>
              </w:rPr>
            </w:pPr>
            <w:r>
              <w:rPr>
                <w:rFonts w:hint="default"/>
                <w:b w:val="1"/>
                <w:color w:val="000000"/>
                <w:sz w:val="14"/>
              </w:rPr>
              <w:t>◀</w:t>
            </w:r>
            <w:r>
              <w:rPr>
                <w:rFonts w:hint="eastAsia"/>
                <w:b w:val="1"/>
                <w:color w:val="000000"/>
                <w:sz w:val="14"/>
              </w:rPr>
              <w:t>その他</w:t>
            </w:r>
            <w:r>
              <w:rPr>
                <w:rFonts w:hint="eastAsia"/>
                <w:b w:val="1"/>
                <w:color w:val="000000"/>
                <w:sz w:val="14"/>
              </w:rPr>
              <w:t>(</w:t>
            </w:r>
            <w:r>
              <w:rPr>
                <w:rFonts w:hint="eastAsia"/>
                <w:b w:val="1"/>
                <w:color w:val="000000"/>
                <w:sz w:val="14"/>
              </w:rPr>
              <w:t>医療費適正化</w:t>
            </w:r>
            <w:r>
              <w:rPr>
                <w:rFonts w:hint="eastAsia"/>
                <w:b w:val="1"/>
                <w:color w:val="000000"/>
                <w:sz w:val="14"/>
              </w:rPr>
              <w:t>)</w:t>
            </w:r>
          </w:p>
          <w:p>
            <w:pPr>
              <w:pStyle w:val="0"/>
              <w:widowControl w:val="0"/>
              <w:ind w:firstLine="140" w:firstLineChars="100"/>
              <w:rPr>
                <w:rFonts w:hint="default"/>
                <w:color w:val="000000"/>
                <w:sz w:val="14"/>
              </w:rPr>
            </w:pPr>
            <w:r>
              <w:rPr>
                <w:rFonts w:hint="eastAsia"/>
                <w:color w:val="000000"/>
                <w:sz w:val="14"/>
              </w:rPr>
              <w:t>重複服薬者が</w:t>
            </w:r>
            <w:r>
              <w:rPr>
                <w:rFonts w:hint="eastAsia"/>
                <w:color w:val="000000"/>
                <w:sz w:val="14"/>
              </w:rPr>
              <w:t>130</w:t>
            </w:r>
            <w:r>
              <w:rPr>
                <w:rFonts w:hint="eastAsia"/>
                <w:color w:val="000000"/>
                <w:sz w:val="14"/>
              </w:rPr>
              <w:t>人、</w:t>
            </w:r>
            <w:r>
              <w:rPr>
                <w:rFonts w:hint="default"/>
                <w:color w:val="000000"/>
                <w:sz w:val="14"/>
              </w:rPr>
              <w:t>多剤服薬者が</w:t>
            </w:r>
            <w:r>
              <w:rPr>
                <w:rFonts w:hint="eastAsia"/>
                <w:color w:val="000000"/>
                <w:sz w:val="14"/>
              </w:rPr>
              <w:t>39</w:t>
            </w:r>
            <w:r>
              <w:rPr>
                <w:rFonts w:hint="default"/>
                <w:color w:val="000000"/>
                <w:sz w:val="14"/>
              </w:rPr>
              <w:t>人</w:t>
            </w:r>
            <w:r>
              <w:rPr>
                <w:rFonts w:hint="eastAsia"/>
                <w:color w:val="000000"/>
                <w:sz w:val="14"/>
              </w:rPr>
              <w:t>存在することから</w:t>
            </w:r>
            <w:r>
              <w:rPr>
                <w:rFonts w:hint="default"/>
                <w:color w:val="000000"/>
                <w:sz w:val="14"/>
              </w:rPr>
              <w:t>、医療費適正化・健康増進の観点で服薬を適正化すべき</w:t>
            </w:r>
            <w:r>
              <w:rPr>
                <w:rFonts w:hint="eastAsia"/>
                <w:color w:val="000000"/>
                <w:sz w:val="14"/>
              </w:rPr>
              <w:t>もの</w:t>
            </w:r>
            <w:r>
              <w:rPr>
                <w:rFonts w:hint="default"/>
                <w:color w:val="000000"/>
                <w:sz w:val="14"/>
              </w:rPr>
              <w:t>が一定数存在する可能性がある。</w:t>
            </w:r>
          </w:p>
          <w:p>
            <w:pPr>
              <w:pStyle w:val="0"/>
              <w:widowControl w:val="0"/>
              <w:ind w:firstLine="70" w:firstLineChars="50"/>
              <w:rPr>
                <w:rFonts w:hint="default"/>
                <w:b w:val="1"/>
                <w:color w:val="000000"/>
                <w:sz w:val="14"/>
              </w:rPr>
            </w:pPr>
            <w:r>
              <w:rPr>
                <w:rFonts w:hint="eastAsia"/>
                <w:color w:val="000000"/>
                <w:sz w:val="14"/>
              </w:rPr>
              <w:t>また、後発医薬品の使用割合は</w:t>
            </w:r>
            <w:r>
              <w:rPr>
                <w:rFonts w:hint="default"/>
                <w:color w:val="000000"/>
                <w:sz w:val="14"/>
              </w:rPr>
              <w:t>79.9%</w:t>
            </w:r>
            <w:r>
              <w:rPr>
                <w:rFonts w:hint="eastAsia"/>
                <w:color w:val="000000"/>
                <w:sz w:val="14"/>
              </w:rPr>
              <w:t>であり、国の目標値</w:t>
            </w:r>
            <w:r>
              <w:rPr>
                <w:rFonts w:hint="eastAsia"/>
                <w:color w:val="000000"/>
                <w:sz w:val="14"/>
              </w:rPr>
              <w:t>80%</w:t>
            </w:r>
            <w:r>
              <w:rPr>
                <w:rFonts w:hint="eastAsia"/>
                <w:color w:val="000000"/>
                <w:sz w:val="14"/>
              </w:rPr>
              <w:t>に達していないことから、薬剤費の適正化をはかるため、更に普及啓発を促進する必要がある。</w:t>
            </w:r>
          </w:p>
        </w:tc>
        <w:tc>
          <w:tcPr>
            <w:tcW w:w="129" w:type="pct"/>
            <w:tcBorders>
              <w:top w:val="single" w:color="FFFFFF" w:themeColor="background1" w:sz="4" w:space="0"/>
              <w:left w:val="single" w:color="auto" w:sz="4" w:space="0"/>
              <w:bottom w:val="single" w:color="FFFFFF" w:themeColor="background1" w:sz="4" w:space="0"/>
              <w:right w:val="single" w:color="auto" w:sz="4" w:space="0"/>
              <w:tl2br w:val="none" w:color="auto" w:sz="0" w:space="0"/>
              <w:tr2bl w:val="none" w:color="auto" w:sz="0" w:space="0"/>
            </w:tcBorders>
            <w:shd w:val="clear" w:color="auto" w:fill="auto"/>
            <w:tcMar>
              <w:top w:w="40" w:type="dxa"/>
              <w:left w:w="40" w:type="dxa"/>
              <w:bottom w:w="40" w:type="dxa"/>
              <w:right w:w="40" w:type="dxa"/>
            </w:tcMar>
            <w:vAlign w:val="center"/>
          </w:tcPr>
          <w:p>
            <w:pPr>
              <w:pStyle w:val="0"/>
              <w:widowControl w:val="0"/>
              <w:rPr>
                <w:rFonts w:hint="default"/>
                <w:color w:val="000000"/>
                <w:sz w:val="14"/>
              </w:rPr>
            </w:pPr>
            <w:r>
              <w:rPr>
                <w:rFonts w:hint="default"/>
                <w:color w:val="000000"/>
                <w:sz w:val="14"/>
              </w:rPr>
              <w:t>▶</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color w:val="000000"/>
                <w:sz w:val="14"/>
              </w:rPr>
            </w:pPr>
            <w:r>
              <w:rPr>
                <w:rFonts w:hint="default"/>
                <w:color w:val="000000"/>
                <w:sz w:val="14"/>
              </w:rPr>
              <w:t>#6</w:t>
            </w:r>
          </w:p>
          <w:p>
            <w:pPr>
              <w:pStyle w:val="59"/>
              <w:rPr>
                <w:rFonts w:hint="default"/>
                <w:color w:val="000000"/>
              </w:rPr>
            </w:pPr>
            <w:r>
              <w:rPr>
                <w:rFonts w:hint="eastAsia"/>
                <w:color w:val="000000"/>
              </w:rPr>
              <w:t>重複・</w:t>
            </w:r>
            <w:r>
              <w:rPr>
                <w:rFonts w:hint="default"/>
                <w:color w:val="000000"/>
              </w:rPr>
              <w:t>多剤服薬者に対して服薬の適正化が必要。</w:t>
            </w:r>
          </w:p>
          <w:p>
            <w:pPr>
              <w:pStyle w:val="59"/>
              <w:rPr>
                <w:rFonts w:hint="default"/>
                <w:color w:val="000000"/>
              </w:rPr>
            </w:pPr>
          </w:p>
          <w:p>
            <w:pPr>
              <w:pStyle w:val="59"/>
              <w:rPr>
                <w:rFonts w:hint="default"/>
                <w:color w:val="000000"/>
              </w:rPr>
            </w:pPr>
            <w:r>
              <w:rPr>
                <w:rFonts w:hint="eastAsia"/>
                <w:color w:val="000000"/>
              </w:rPr>
              <w:t>#7</w:t>
            </w:r>
          </w:p>
          <w:p>
            <w:pPr>
              <w:pStyle w:val="59"/>
              <w:rPr>
                <w:rFonts w:hint="default"/>
                <w:color w:val="000000"/>
              </w:rPr>
            </w:pPr>
            <w:r>
              <w:rPr>
                <w:rFonts w:hint="eastAsia"/>
                <w:color w:val="000000"/>
              </w:rPr>
              <w:t>後発医薬品の利用促進を周知徹底していく必要がある。</w:t>
            </w:r>
          </w:p>
        </w:tc>
        <w:tc>
          <w:tcPr>
            <w:tcW w:w="119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top"/>
          </w:tcPr>
          <w:p>
            <w:pPr>
              <w:pStyle w:val="0"/>
              <w:widowControl w:val="0"/>
              <w:rPr>
                <w:rFonts w:hint="default"/>
                <w:color w:val="000000"/>
                <w:sz w:val="14"/>
              </w:rPr>
            </w:pPr>
            <w:r>
              <w:rPr>
                <w:rFonts w:hint="default"/>
                <w:color w:val="000000"/>
                <w:sz w:val="14"/>
              </w:rPr>
              <w:t>【短期</w:t>
            </w:r>
            <w:r>
              <w:rPr>
                <w:rFonts w:hint="eastAsia"/>
                <w:color w:val="000000"/>
                <w:sz w:val="14"/>
              </w:rPr>
              <w:t>指標</w:t>
            </w:r>
            <w:r>
              <w:rPr>
                <w:rFonts w:hint="default"/>
                <w:color w:val="000000"/>
                <w:sz w:val="14"/>
              </w:rPr>
              <w:t>】</w:t>
            </w:r>
          </w:p>
          <w:p>
            <w:pPr>
              <w:pStyle w:val="59"/>
              <w:rPr>
                <w:rFonts w:hint="default"/>
                <w:color w:val="000000"/>
              </w:rPr>
            </w:pPr>
            <w:r>
              <w:rPr>
                <w:rFonts w:hint="eastAsia"/>
                <w:color w:val="000000"/>
              </w:rPr>
              <w:t>重複服薬者の人数</w:t>
            </w:r>
          </w:p>
          <w:p>
            <w:pPr>
              <w:pStyle w:val="59"/>
              <w:rPr>
                <w:rFonts w:hint="default"/>
                <w:color w:val="000000"/>
              </w:rPr>
            </w:pPr>
            <w:r>
              <w:rPr>
                <w:rFonts w:hint="default"/>
                <w:color w:val="000000"/>
              </w:rPr>
              <w:t>多剤服薬者の人数</w:t>
            </w:r>
          </w:p>
          <w:p>
            <w:pPr>
              <w:pStyle w:val="0"/>
              <w:widowControl w:val="0"/>
              <w:rPr>
                <w:rFonts w:hint="default"/>
                <w:color w:val="000000"/>
                <w:sz w:val="14"/>
              </w:rPr>
            </w:pPr>
            <w:r>
              <w:rPr>
                <w:rFonts w:hint="eastAsia"/>
                <w:color w:val="000000"/>
                <w:sz w:val="14"/>
              </w:rPr>
              <w:t>後発医薬品への切替率</w:t>
            </w:r>
          </w:p>
        </w:tc>
      </w:tr>
    </w:tbl>
    <w:p>
      <w:pPr>
        <w:pStyle w:val="0"/>
        <w:rPr>
          <w:rFonts w:hint="default"/>
        </w:rPr>
      </w:pPr>
      <w:r>
        <w:rPr>
          <w:rFonts w:hint="default"/>
        </w:rPr>
        <w:br w:type="page"/>
      </w:r>
    </w:p>
    <w:p>
      <w:pPr>
        <w:pStyle w:val="1"/>
        <w:rPr>
          <w:rFonts w:hint="default"/>
        </w:rPr>
      </w:pPr>
      <w:bookmarkStart w:id="202" w:name="_Toc162548722"/>
      <w:r>
        <w:rPr>
          <w:rFonts w:hint="default"/>
        </w:rPr>
        <w:t>データヘルス計画の目的</w:t>
      </w:r>
      <w:r>
        <w:rPr>
          <w:rFonts w:hint="eastAsia"/>
        </w:rPr>
        <w:t>・</w:t>
      </w:r>
      <w:r>
        <w:rPr>
          <w:rFonts w:hint="default"/>
        </w:rPr>
        <w:t>目標</w:t>
      </w:r>
      <w:bookmarkEnd w:id="202"/>
    </w:p>
    <w:p>
      <w:pPr>
        <w:pStyle w:val="39"/>
        <w:ind w:firstLine="200"/>
        <w:rPr>
          <w:rFonts w:hint="default"/>
        </w:rPr>
      </w:pPr>
      <w:r>
        <w:rPr>
          <w:rFonts w:hint="default"/>
        </w:rPr>
        <w:t>第</w:t>
      </w:r>
      <w:r>
        <w:rPr>
          <w:rFonts w:hint="default"/>
        </w:rPr>
        <w:t>3</w:t>
      </w:r>
      <w:r>
        <w:rPr>
          <w:rFonts w:hint="default"/>
        </w:rPr>
        <w:t>期データヘルス計画の目的</w:t>
      </w:r>
      <w:r>
        <w:rPr>
          <w:rFonts w:hint="eastAsia"/>
        </w:rPr>
        <w:t>、並びに</w:t>
      </w:r>
      <w:r>
        <w:rPr>
          <w:rFonts w:hint="default"/>
        </w:rPr>
        <w:t>それを達成するための短期目標</w:t>
      </w:r>
      <w:r>
        <w:rPr>
          <w:rFonts w:hint="eastAsia"/>
        </w:rPr>
        <w:t>及び</w:t>
      </w:r>
      <w:r>
        <w:rPr>
          <w:rFonts w:hint="default"/>
        </w:rPr>
        <w:t>中長期目標を整理した。</w:t>
      </w:r>
    </w:p>
    <w:p>
      <w:pPr>
        <w:pStyle w:val="0"/>
        <w:ind w:left="141"/>
        <w:rPr>
          <w:rFonts w:hint="default"/>
        </w:rPr>
      </w:pP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9375"/>
      </w:tblGrid>
      <w:tr>
        <w:trPr/>
        <w:tc>
          <w:tcPr>
            <w:tcW w:w="500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6</w:t>
            </w:r>
            <w:r>
              <w:rPr>
                <w:rFonts w:hint="default"/>
                <w:b w:val="1"/>
              </w:rPr>
              <w:t>年後に目指したい姿〜健康課題を解決することで達成したい姿〜</w:t>
            </w:r>
          </w:p>
        </w:tc>
      </w:tr>
      <w:tr>
        <w:trPr>
          <w:trHeight w:val="17" w:hRule="atLeast"/>
        </w:trPr>
        <w:tc>
          <w:tcPr>
            <w:tcW w:w="5000"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eastAsia"/>
              </w:rPr>
              <w:t>平均自立期間の延伸（開始時：男性</w:t>
            </w:r>
            <w:r>
              <w:rPr>
                <w:rFonts w:hint="default"/>
              </w:rPr>
              <w:t>78.7</w:t>
            </w:r>
            <w:r>
              <w:rPr>
                <w:rFonts w:hint="default"/>
              </w:rPr>
              <w:t>歳・女性</w:t>
            </w:r>
            <w:r>
              <w:rPr>
                <w:rFonts w:hint="default"/>
              </w:rPr>
              <w:t>83.0</w:t>
            </w:r>
            <w:r>
              <w:rPr>
                <w:rFonts w:hint="default"/>
              </w:rPr>
              <w:t>歳）</w:t>
            </w:r>
          </w:p>
        </w:tc>
      </w:tr>
    </w:tbl>
    <w:p>
      <w:pPr>
        <w:pStyle w:val="0"/>
        <w:jc w:val="center"/>
        <w:rPr>
          <w:rFonts w:hint="default"/>
          <w:b w:val="1"/>
        </w:rPr>
      </w:pPr>
      <w:r>
        <w:rPr>
          <w:rFonts w:hint="default"/>
          <w:b w:val="1"/>
        </w:rPr>
        <mc:AlternateContent>
          <mc:Choice Requires="wps">
            <w:drawing>
              <wp:inline distT="114300" distB="114300" distL="114300" distR="114300">
                <wp:extent cx="1362075" cy="179705"/>
                <wp:effectExtent l="0" t="0" r="635" b="635"/>
                <wp:docPr id="1100" name="三角形 1"/>
                <a:graphic xmlns:a="http://schemas.openxmlformats.org/drawingml/2006/main">
                  <a:graphicData uri="http://schemas.microsoft.com/office/word/2010/wordprocessingShape">
                    <wps:wsp>
                      <wps:cNvPr id="1100" name="三角形 1"/>
                      <wps:cNvSpPr/>
                      <wps:spPr>
                        <a:xfrm>
                          <a:off x="0" y="0"/>
                          <a:ext cx="1362075" cy="179705"/>
                        </a:xfrm>
                        <a:prstGeom prst="triangle">
                          <a:avLst>
                            <a:gd name="adj" fmla="val 50000"/>
                          </a:avLst>
                        </a:prstGeom>
                        <a:solidFill>
                          <a:srgbClr val="CCD6FF"/>
                        </a:solidFill>
                        <a:ln>
                          <a:noFill/>
                        </a:ln>
                      </wps:spPr>
                      <wps:txbx>
                        <w:txbxContent>
                          <w:p>
                            <w:pPr>
                              <w:pStyle w:val="0"/>
                              <w:spacing w:line="240" w:lineRule="auto"/>
                              <w:rPr>
                                <w:rFonts w:hint="default"/>
                              </w:rPr>
                            </w:pPr>
                          </w:p>
                        </w:txbxContent>
                      </wps:txbx>
                      <wps:bodyPr vertOverflow="overflow" horzOverflow="overflow" wrap="square" lIns="91425" tIns="91425" rIns="91425" bIns="91425" anchor="ctr" anchorCtr="0"/>
                    </wps:wsp>
                  </a:graphicData>
                </a:graphic>
              </wp:inline>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三角形 1" style="width:107.25pt;height:14.15pt;v-text-anchor:middle;" o:spid="_x0000_s1100" filled="t" fillcolor="#ccd6ff" stroked="f" o:spt="5" type="#_x0000_t5" adj="10800">
                <v:fill/>
                <v:textbox style="layout-flow:horizontal;" inset="2.5395833333333329mm,2.5395833333333329mm,2.5395833333333329mm,2.5395833333333329mm">
                  <w:txbxContent>
                    <w:p>
                      <w:pPr>
                        <w:pStyle w:val="0"/>
                        <w:spacing w:line="240" w:lineRule="auto"/>
                        <w:rPr>
                          <w:rFonts w:hint="default"/>
                        </w:rPr>
                      </w:pPr>
                    </w:p>
                  </w:txbxContent>
                </v:textbox>
                <v:imagedata o:title=""/>
                <w10:anchorlock/>
              </v:shape>
            </w:pict>
          </mc:Fallback>
        </mc:AlternateConten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846"/>
        <w:gridCol w:w="4984"/>
        <w:gridCol w:w="1181"/>
        <w:gridCol w:w="1181"/>
        <w:gridCol w:w="1183"/>
      </w:tblGrid>
      <w:tr>
        <w:trPr>
          <w:trHeight w:val="20" w:hRule="atLeast"/>
        </w:trPr>
        <w:tc>
          <w:tcPr>
            <w:tcW w:w="45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共通指標</w:t>
            </w:r>
          </w:p>
        </w:tc>
        <w:tc>
          <w:tcPr>
            <w:tcW w:w="265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長期指標</w:t>
            </w:r>
          </w:p>
        </w:tc>
        <w:tc>
          <w:tcPr>
            <w:tcW w:w="6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開始時</w:t>
            </w:r>
          </w:p>
        </w:tc>
        <w:tc>
          <w:tcPr>
            <w:tcW w:w="6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目標値</w:t>
            </w:r>
          </w:p>
        </w:tc>
        <w:tc>
          <w:tcPr>
            <w:tcW w:w="63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目標値基準</w:t>
            </w:r>
          </w:p>
        </w:tc>
      </w:tr>
      <w:tr>
        <w:trPr>
          <w:trHeight w:val="20" w:hRule="atLeast"/>
        </w:trPr>
        <w:tc>
          <w:tcPr>
            <w:tcW w:w="451" w:type="pct"/>
            <w:tcMar>
              <w:top w:w="28" w:type="dxa"/>
              <w:left w:w="28" w:type="dxa"/>
              <w:bottom w:w="28" w:type="dxa"/>
              <w:right w:w="28" w:type="dxa"/>
            </w:tcMar>
            <w:vAlign w:val="center"/>
          </w:tcPr>
          <w:p>
            <w:pPr>
              <w:pStyle w:val="0"/>
              <w:widowControl w:val="0"/>
              <w:jc w:val="center"/>
              <w:rPr>
                <w:rFonts w:hint="default"/>
              </w:rPr>
            </w:pPr>
          </w:p>
        </w:tc>
        <w:tc>
          <w:tcPr>
            <w:tcW w:w="2658" w:type="pct"/>
            <w:tcMar>
              <w:top w:w="28" w:type="dxa"/>
              <w:left w:w="28" w:type="dxa"/>
              <w:bottom w:w="28" w:type="dxa"/>
              <w:right w:w="28" w:type="dxa"/>
            </w:tcMar>
            <w:vAlign w:val="center"/>
          </w:tcPr>
          <w:p>
            <w:pPr>
              <w:pStyle w:val="0"/>
              <w:widowControl w:val="0"/>
              <w:jc w:val="both"/>
              <w:rPr>
                <w:rFonts w:hint="default"/>
              </w:rPr>
            </w:pPr>
            <w:r>
              <w:rPr>
                <w:rFonts w:hint="default"/>
              </w:rPr>
              <w:t>虚血性心疾患の入院受診率</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4.4</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tcMar>
              <w:top w:w="28" w:type="dxa"/>
              <w:left w:w="28" w:type="dxa"/>
              <w:bottom w:w="28" w:type="dxa"/>
              <w:right w:w="28" w:type="dxa"/>
            </w:tcMar>
            <w:vAlign w:val="center"/>
          </w:tcPr>
          <w:p>
            <w:pPr>
              <w:pStyle w:val="0"/>
              <w:widowControl w:val="0"/>
              <w:jc w:val="center"/>
              <w:rPr>
                <w:rFonts w:hint="default"/>
              </w:rPr>
            </w:pPr>
          </w:p>
        </w:tc>
        <w:tc>
          <w:tcPr>
            <w:tcW w:w="2658" w:type="pct"/>
            <w:tcMar>
              <w:top w:w="28" w:type="dxa"/>
              <w:left w:w="28" w:type="dxa"/>
              <w:bottom w:w="28" w:type="dxa"/>
              <w:right w:w="28" w:type="dxa"/>
            </w:tcMar>
            <w:vAlign w:val="center"/>
          </w:tcPr>
          <w:p>
            <w:pPr>
              <w:pStyle w:val="0"/>
              <w:widowControl w:val="0"/>
              <w:jc w:val="both"/>
              <w:rPr>
                <w:rFonts w:hint="default"/>
              </w:rPr>
            </w:pPr>
            <w:r>
              <w:rPr>
                <w:rFonts w:hint="eastAsia"/>
              </w:rPr>
              <w:t>脳梗塞</w:t>
            </w:r>
            <w:r>
              <w:rPr>
                <w:rFonts w:hint="default"/>
              </w:rPr>
              <w:t>の入院受診率</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5.7</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5.1</w:t>
            </w:r>
          </w:p>
        </w:tc>
        <w:tc>
          <w:tcPr>
            <w:tcW w:w="631" w:type="pct"/>
            <w:tcMar>
              <w:top w:w="28" w:type="dxa"/>
              <w:left w:w="28" w:type="dxa"/>
              <w:bottom w:w="28" w:type="dxa"/>
              <w:right w:w="28" w:type="dxa"/>
            </w:tcMar>
            <w:vAlign w:val="center"/>
          </w:tcPr>
          <w:p>
            <w:pPr>
              <w:pStyle w:val="0"/>
              <w:widowControl w:val="0"/>
              <w:jc w:val="center"/>
              <w:rPr>
                <w:rFonts w:hint="default"/>
              </w:rPr>
            </w:pPr>
            <w:r>
              <w:rPr>
                <w:rFonts w:hint="eastAsia"/>
              </w:rPr>
              <w:t>県の目標値</w:t>
            </w:r>
          </w:p>
        </w:tc>
      </w:tr>
      <w:tr>
        <w:trPr>
          <w:trHeight w:val="20" w:hRule="atLeast"/>
        </w:trPr>
        <w:tc>
          <w:tcPr>
            <w:tcW w:w="451" w:type="pct"/>
            <w:tcMar>
              <w:top w:w="28" w:type="dxa"/>
              <w:left w:w="28" w:type="dxa"/>
              <w:bottom w:w="28" w:type="dxa"/>
              <w:right w:w="28" w:type="dxa"/>
            </w:tcMar>
            <w:vAlign w:val="center"/>
          </w:tcPr>
          <w:p>
            <w:pPr>
              <w:pStyle w:val="0"/>
              <w:widowControl w:val="0"/>
              <w:jc w:val="center"/>
              <w:rPr>
                <w:rFonts w:hint="default"/>
              </w:rPr>
            </w:pPr>
          </w:p>
        </w:tc>
        <w:tc>
          <w:tcPr>
            <w:tcW w:w="2658" w:type="pct"/>
            <w:tcMar>
              <w:top w:w="28" w:type="dxa"/>
              <w:left w:w="28" w:type="dxa"/>
              <w:bottom w:w="28" w:type="dxa"/>
              <w:right w:w="28" w:type="dxa"/>
            </w:tcMar>
            <w:vAlign w:val="center"/>
          </w:tcPr>
          <w:p>
            <w:pPr>
              <w:pStyle w:val="0"/>
              <w:widowControl w:val="0"/>
              <w:jc w:val="both"/>
              <w:rPr>
                <w:rFonts w:hint="default"/>
              </w:rPr>
            </w:pPr>
            <w:r>
              <w:rPr>
                <w:rFonts w:hint="eastAsia"/>
              </w:rPr>
              <w:t>慢性腎臓病（透析あり）の外来受診率</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82.7</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共通指標</w:t>
            </w:r>
          </w:p>
        </w:tc>
        <w:tc>
          <w:tcPr>
            <w:tcW w:w="265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中期指標</w:t>
            </w:r>
          </w:p>
        </w:tc>
        <w:tc>
          <w:tcPr>
            <w:tcW w:w="6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開始時</w:t>
            </w:r>
          </w:p>
        </w:tc>
        <w:tc>
          <w:tcPr>
            <w:tcW w:w="6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目標値</w:t>
            </w:r>
          </w:p>
        </w:tc>
        <w:tc>
          <w:tcPr>
            <w:tcW w:w="63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目標値基準</w:t>
            </w:r>
          </w:p>
        </w:tc>
      </w:tr>
      <w:tr>
        <w:trPr>
          <w:trHeight w:val="20" w:hRule="atLeast"/>
        </w:trPr>
        <w:tc>
          <w:tcPr>
            <w:tcW w:w="451" w:type="pct"/>
            <w:tcMar>
              <w:top w:w="28" w:type="dxa"/>
              <w:left w:w="28" w:type="dxa"/>
              <w:bottom w:w="28" w:type="dxa"/>
              <w:right w:w="28" w:type="dxa"/>
            </w:tcMar>
            <w:vAlign w:val="center"/>
          </w:tcPr>
          <w:p>
            <w:pPr>
              <w:pStyle w:val="0"/>
              <w:widowControl w:val="0"/>
              <w:jc w:val="center"/>
              <w:rPr>
                <w:rFonts w:hint="default"/>
              </w:rPr>
            </w:pPr>
            <w:r>
              <w:rPr>
                <w:rFonts w:hint="eastAsia"/>
              </w:rPr>
              <w:t>●</w:t>
            </w:r>
          </w:p>
        </w:tc>
        <w:tc>
          <w:tcPr>
            <w:tcW w:w="2658" w:type="pct"/>
            <w:tcMar>
              <w:top w:w="28" w:type="dxa"/>
              <w:left w:w="28" w:type="dxa"/>
              <w:bottom w:w="28" w:type="dxa"/>
              <w:right w:w="28" w:type="dxa"/>
            </w:tcMar>
            <w:vAlign w:val="center"/>
          </w:tcPr>
          <w:p>
            <w:pPr>
              <w:pStyle w:val="0"/>
              <w:widowControl w:val="0"/>
              <w:jc w:val="both"/>
              <w:rPr>
                <w:rFonts w:hint="default"/>
              </w:rPr>
            </w:pPr>
            <w:r>
              <w:rPr>
                <w:rFonts w:hint="default"/>
              </w:rPr>
              <w:t>HbA1c 6.5%</w:t>
            </w:r>
            <w:r>
              <w:rPr>
                <w:rFonts w:hint="default"/>
              </w:rPr>
              <w:t>以上の人の割合</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4.7</w:t>
            </w:r>
            <w:r>
              <w:rPr>
                <w:rFonts w:hint="default"/>
              </w:rPr>
              <w:t>%</w:t>
            </w:r>
          </w:p>
        </w:tc>
        <w:tc>
          <w:tcPr>
            <w:tcW w:w="630" w:type="pct"/>
            <w:tcMar>
              <w:top w:w="28" w:type="dxa"/>
              <w:left w:w="28" w:type="dxa"/>
              <w:bottom w:w="28" w:type="dxa"/>
              <w:right w:w="28" w:type="dxa"/>
            </w:tcMar>
            <w:vAlign w:val="center"/>
          </w:tcPr>
          <w:p>
            <w:pPr>
              <w:pStyle w:val="0"/>
              <w:widowControl w:val="0"/>
              <w:jc w:val="center"/>
              <w:rPr>
                <w:rFonts w:hint="default"/>
              </w:rPr>
            </w:pPr>
            <w:r>
              <w:rPr>
                <w:rFonts w:hint="default"/>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血圧が</w:t>
            </w:r>
            <w:r>
              <w:rPr>
                <w:rFonts w:hint="default"/>
              </w:rPr>
              <w:t>Ⅰ</w:t>
            </w:r>
            <w:r>
              <w:rPr>
                <w:rFonts w:hint="default"/>
              </w:rPr>
              <w:t>度高血圧以上の人の割合</w:t>
            </w:r>
          </w:p>
        </w:tc>
        <w:tc>
          <w:tcPr>
            <w:tcW w:w="630"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eastAsia"/>
              </w:rPr>
              <w:t>11.8</w:t>
            </w:r>
            <w:r>
              <w:rPr>
                <w:rFonts w:hint="default"/>
              </w:rPr>
              <w:t>%</w:t>
            </w:r>
          </w:p>
        </w:tc>
        <w:tc>
          <w:tcPr>
            <w:tcW w:w="630"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減少</w:t>
            </w:r>
          </w:p>
        </w:tc>
        <w:tc>
          <w:tcPr>
            <w:tcW w:w="631"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LDL-C</w:t>
            </w:r>
            <w:r>
              <w:rPr>
                <w:rFonts w:hint="default"/>
              </w:rPr>
              <w:t>が</w:t>
            </w:r>
            <w:r>
              <w:rPr>
                <w:rFonts w:hint="default"/>
              </w:rPr>
              <w:t>140mg/dl</w:t>
            </w:r>
            <w:r>
              <w:rPr>
                <w:rFonts w:hint="default"/>
              </w:rPr>
              <w:t>以上の人の割合</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16.6</w:t>
            </w:r>
            <w:r>
              <w:rPr>
                <w:rFonts w:hint="default"/>
              </w:rPr>
              <w:t>%</w:t>
            </w:r>
          </w:p>
        </w:tc>
        <w:tc>
          <w:tcPr>
            <w:tcW w:w="630" w:type="pct"/>
            <w:tcMar>
              <w:top w:w="28" w:type="dxa"/>
              <w:left w:w="28" w:type="dxa"/>
              <w:bottom w:w="28" w:type="dxa"/>
              <w:right w:w="28" w:type="dxa"/>
            </w:tcMar>
            <w:vAlign w:val="center"/>
          </w:tcPr>
          <w:p>
            <w:pPr>
              <w:pStyle w:val="0"/>
              <w:widowControl w:val="0"/>
              <w:jc w:val="center"/>
              <w:rPr>
                <w:rFonts w:hint="default"/>
              </w:rPr>
            </w:pPr>
            <w:r>
              <w:rPr>
                <w:rFonts w:hint="default"/>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eGFR</w:t>
            </w:r>
            <w:r>
              <w:rPr>
                <w:rFonts w:hint="eastAsia"/>
              </w:rPr>
              <w:t>が</w:t>
            </w:r>
            <w:r>
              <w:rPr>
                <w:rFonts w:hint="eastAsia"/>
              </w:rPr>
              <w:t>45ml/</w:t>
            </w:r>
            <w:r>
              <w:rPr>
                <w:rFonts w:hint="eastAsia"/>
              </w:rPr>
              <w:t>分</w:t>
            </w:r>
            <w:r>
              <w:rPr>
                <w:rFonts w:hint="eastAsia"/>
              </w:rPr>
              <w:t>/1.73m</w:t>
            </w:r>
            <w:r>
              <w:rPr>
                <w:rFonts w:hint="default"/>
                <w:vertAlign w:val="superscript"/>
              </w:rPr>
              <w:t>2</w:t>
            </w:r>
            <w:r>
              <w:rPr>
                <w:rFonts w:hint="eastAsia"/>
              </w:rPr>
              <w:t>未満のものの数</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32</w:t>
            </w:r>
            <w:r>
              <w:rPr>
                <w:rFonts w:hint="eastAsia"/>
              </w:rPr>
              <w:t>人</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eastAsia"/>
              </w:rPr>
              <w:t>●</w:t>
            </w: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メタボ該当者の割合</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18.7</w:t>
            </w:r>
            <w:r>
              <w:rPr>
                <w:rFonts w:hint="default"/>
              </w:rPr>
              <w:t>%</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eastAsia"/>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eastAsia"/>
              </w:rPr>
              <w:t>●</w:t>
            </w: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メタボ予備群該当者の割合</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12.5</w:t>
            </w:r>
            <w:r>
              <w:rPr>
                <w:rFonts w:hint="default"/>
              </w:rPr>
              <w:t>%</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11.3</w:t>
            </w:r>
            <w:r>
              <w:rPr>
                <w:rFonts w:hint="default"/>
              </w:rPr>
              <w:t>%</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県</w:t>
            </w:r>
            <w:r>
              <w:rPr>
                <w:rFonts w:hint="eastAsia"/>
              </w:rPr>
              <w:t>の目標値</w:t>
            </w:r>
          </w:p>
        </w:tc>
      </w:tr>
      <w:tr>
        <w:trPr>
          <w:trHeight w:val="20" w:hRule="atLeast"/>
        </w:trPr>
        <w:tc>
          <w:tcPr>
            <w:tcW w:w="45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共通指標</w:t>
            </w:r>
          </w:p>
        </w:tc>
        <w:tc>
          <w:tcPr>
            <w:tcW w:w="265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短期指標</w:t>
            </w:r>
          </w:p>
        </w:tc>
        <w:tc>
          <w:tcPr>
            <w:tcW w:w="6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開始時</w:t>
            </w:r>
          </w:p>
        </w:tc>
        <w:tc>
          <w:tcPr>
            <w:tcW w:w="63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目標値</w:t>
            </w:r>
          </w:p>
        </w:tc>
        <w:tc>
          <w:tcPr>
            <w:tcW w:w="63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目標値基準</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特定健康診査受診率</w:t>
            </w:r>
          </w:p>
        </w:tc>
        <w:tc>
          <w:tcPr>
            <w:tcW w:w="630" w:type="pct"/>
            <w:tcMar>
              <w:top w:w="28" w:type="dxa"/>
              <w:left w:w="28" w:type="dxa"/>
              <w:bottom w:w="28" w:type="dxa"/>
              <w:right w:w="28" w:type="dxa"/>
            </w:tcMar>
            <w:vAlign w:val="center"/>
          </w:tcPr>
          <w:p>
            <w:pPr>
              <w:pStyle w:val="0"/>
              <w:rPr>
                <w:rFonts w:hint="default"/>
              </w:rPr>
            </w:pPr>
            <w:r>
              <w:rPr>
                <w:rFonts w:hint="eastAsia"/>
              </w:rPr>
              <w:t>　　</w:t>
            </w:r>
            <w:r>
              <w:rPr>
                <w:rFonts w:hint="eastAsia"/>
              </w:rPr>
              <w:t>29.0%</w:t>
            </w:r>
          </w:p>
        </w:tc>
        <w:tc>
          <w:tcPr>
            <w:tcW w:w="630" w:type="pct"/>
            <w:tcMar>
              <w:top w:w="28" w:type="dxa"/>
              <w:left w:w="28" w:type="dxa"/>
              <w:bottom w:w="28" w:type="dxa"/>
              <w:right w:w="28" w:type="dxa"/>
            </w:tcMar>
            <w:vAlign w:val="center"/>
          </w:tcPr>
          <w:p>
            <w:pPr>
              <w:pStyle w:val="0"/>
              <w:rPr>
                <w:rFonts w:hint="default"/>
              </w:rPr>
            </w:pPr>
            <w:r>
              <w:rPr>
                <w:rFonts w:hint="eastAsia"/>
              </w:rPr>
              <w:t>　　</w:t>
            </w:r>
            <w:r>
              <w:rPr>
                <w:rFonts w:hint="eastAsia"/>
              </w:rPr>
              <w:t>44.0%</w:t>
            </w:r>
          </w:p>
        </w:tc>
        <w:tc>
          <w:tcPr>
            <w:tcW w:w="631" w:type="pct"/>
            <w:tcMar>
              <w:top w:w="28" w:type="dxa"/>
              <w:left w:w="28" w:type="dxa"/>
              <w:bottom w:w="28" w:type="dxa"/>
              <w:right w:w="28" w:type="dxa"/>
            </w:tcMar>
            <w:vAlign w:val="center"/>
          </w:tcPr>
          <w:p>
            <w:pPr>
              <w:pStyle w:val="0"/>
              <w:rPr>
                <w:rFonts w:hint="default"/>
              </w:rPr>
            </w:pPr>
            <w:r>
              <w:rPr>
                <w:rFonts w:hint="eastAsia"/>
              </w:rPr>
              <w:t>　　　</w:t>
            </w:r>
            <w:r>
              <w:rPr>
                <w:rFonts w:hint="eastAsia"/>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HbA1c</w:t>
            </w:r>
            <w:r>
              <w:rPr>
                <w:rFonts w:hint="default"/>
              </w:rPr>
              <w:t>が</w:t>
            </w:r>
            <w:r>
              <w:rPr>
                <w:rFonts w:hint="default"/>
              </w:rPr>
              <w:t>6.5%</w:t>
            </w:r>
            <w:r>
              <w:rPr>
                <w:rFonts w:hint="default"/>
              </w:rPr>
              <w:t>以上で</w:t>
            </w:r>
            <w:r>
              <w:rPr>
                <w:rFonts w:hint="eastAsia"/>
              </w:rPr>
              <w:t>服薬なしのものの割合</w:t>
            </w:r>
          </w:p>
        </w:tc>
        <w:tc>
          <w:tcPr>
            <w:tcW w:w="630" w:type="pct"/>
            <w:tcMar>
              <w:top w:w="28" w:type="dxa"/>
              <w:left w:w="28" w:type="dxa"/>
              <w:bottom w:w="28" w:type="dxa"/>
              <w:right w:w="28" w:type="dxa"/>
            </w:tcMar>
            <w:vAlign w:val="center"/>
          </w:tcPr>
          <w:p>
            <w:pPr>
              <w:pStyle w:val="0"/>
              <w:widowControl w:val="0"/>
              <w:jc w:val="center"/>
              <w:rPr>
                <w:rFonts w:hint="default"/>
              </w:rPr>
            </w:pPr>
            <w:r>
              <w:rPr>
                <w:rFonts w:hint="default"/>
              </w:rPr>
              <w:t>40.0%</w:t>
            </w:r>
          </w:p>
        </w:tc>
        <w:tc>
          <w:tcPr>
            <w:tcW w:w="630" w:type="pct"/>
            <w:tcMar>
              <w:top w:w="28" w:type="dxa"/>
              <w:left w:w="28" w:type="dxa"/>
              <w:bottom w:w="28" w:type="dxa"/>
              <w:right w:w="28" w:type="dxa"/>
            </w:tcMar>
            <w:vAlign w:val="center"/>
          </w:tcPr>
          <w:p>
            <w:pPr>
              <w:pStyle w:val="0"/>
              <w:widowControl w:val="0"/>
              <w:jc w:val="center"/>
              <w:rPr>
                <w:rFonts w:hint="default"/>
              </w:rPr>
            </w:pPr>
            <w:r>
              <w:rPr>
                <w:rFonts w:hint="default"/>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血圧が</w:t>
            </w:r>
            <w:r>
              <w:rPr>
                <w:rFonts w:hint="default"/>
              </w:rPr>
              <w:t>Ⅰ</w:t>
            </w:r>
            <w:r>
              <w:rPr>
                <w:rFonts w:hint="default"/>
              </w:rPr>
              <w:t>度高血圧以上で</w:t>
            </w:r>
            <w:r>
              <w:rPr>
                <w:rFonts w:hint="eastAsia"/>
              </w:rPr>
              <w:t>服薬なしのものの</w:t>
            </w:r>
            <w:r>
              <w:rPr>
                <w:rFonts w:hint="default"/>
              </w:rPr>
              <w:t>割合</w:t>
            </w:r>
          </w:p>
        </w:tc>
        <w:tc>
          <w:tcPr>
            <w:tcW w:w="630"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60.0%</w:t>
            </w:r>
          </w:p>
        </w:tc>
        <w:tc>
          <w:tcPr>
            <w:tcW w:w="630"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減少</w:t>
            </w:r>
          </w:p>
        </w:tc>
        <w:tc>
          <w:tcPr>
            <w:tcW w:w="631"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default"/>
              </w:rPr>
              <w:t>LDL-C</w:t>
            </w:r>
            <w:r>
              <w:rPr>
                <w:rFonts w:hint="default"/>
              </w:rPr>
              <w:t>が</w:t>
            </w:r>
            <w:r>
              <w:rPr>
                <w:rFonts w:hint="default"/>
              </w:rPr>
              <w:t>140mg/dl</w:t>
            </w:r>
            <w:r>
              <w:rPr>
                <w:rFonts w:hint="default"/>
              </w:rPr>
              <w:t>以上で</w:t>
            </w:r>
            <w:r>
              <w:rPr>
                <w:rFonts w:hint="eastAsia"/>
              </w:rPr>
              <w:t>服薬なしのものの</w:t>
            </w:r>
            <w:r>
              <w:rPr>
                <w:rFonts w:hint="default"/>
              </w:rPr>
              <w:t>割合</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85.6</w:t>
            </w:r>
            <w:r>
              <w:rPr>
                <w:rFonts w:hint="default"/>
              </w:rPr>
              <w:t>%</w:t>
            </w:r>
          </w:p>
        </w:tc>
        <w:tc>
          <w:tcPr>
            <w:tcW w:w="630" w:type="pct"/>
            <w:tcMar>
              <w:top w:w="28" w:type="dxa"/>
              <w:left w:w="28" w:type="dxa"/>
              <w:bottom w:w="28" w:type="dxa"/>
              <w:right w:w="28" w:type="dxa"/>
            </w:tcMar>
            <w:vAlign w:val="center"/>
          </w:tcPr>
          <w:p>
            <w:pPr>
              <w:pStyle w:val="0"/>
              <w:widowControl w:val="0"/>
              <w:jc w:val="center"/>
              <w:rPr>
                <w:rFonts w:hint="default"/>
              </w:rPr>
            </w:pPr>
            <w:r>
              <w:rPr>
                <w:rFonts w:hint="default"/>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p>
        </w:tc>
        <w:tc>
          <w:tcPr>
            <w:tcW w:w="2658" w:type="pct"/>
            <w:shd w:val="clear" w:color="auto" w:fill="auto"/>
            <w:tcMar>
              <w:top w:w="28" w:type="dxa"/>
              <w:left w:w="28" w:type="dxa"/>
              <w:bottom w:w="28" w:type="dxa"/>
              <w:right w:w="28" w:type="dxa"/>
            </w:tcMar>
            <w:vAlign w:val="center"/>
          </w:tcPr>
          <w:p>
            <w:pPr>
              <w:pStyle w:val="0"/>
              <w:widowControl w:val="0"/>
              <w:jc w:val="both"/>
              <w:rPr>
                <w:rFonts w:hint="default"/>
              </w:rPr>
            </w:pPr>
            <w:r>
              <w:rPr>
                <w:rFonts w:hint="eastAsia"/>
              </w:rPr>
              <w:t>eGFR</w:t>
            </w:r>
            <w:r>
              <w:rPr>
                <w:rFonts w:hint="default"/>
              </w:rPr>
              <w:t>が</w:t>
            </w:r>
            <w:r>
              <w:rPr>
                <w:rFonts w:hint="eastAsia"/>
              </w:rPr>
              <w:t>45</w:t>
            </w:r>
            <w:r>
              <w:rPr>
                <w:rFonts w:hint="default"/>
              </w:rPr>
              <w:t>m</w:t>
            </w:r>
            <w:r>
              <w:rPr>
                <w:rFonts w:hint="eastAsia"/>
              </w:rPr>
              <w:t>l</w:t>
            </w:r>
            <w:r>
              <w:rPr>
                <w:rFonts w:hint="default"/>
              </w:rPr>
              <w:t>/</w:t>
            </w:r>
            <w:r>
              <w:rPr>
                <w:rFonts w:hint="eastAsia"/>
              </w:rPr>
              <w:t>分</w:t>
            </w:r>
            <w:r>
              <w:rPr>
                <w:rFonts w:hint="eastAsia"/>
              </w:rPr>
              <w:t>/1.73m</w:t>
            </w:r>
            <w:r>
              <w:rPr>
                <w:rFonts w:hint="default"/>
                <w:vertAlign w:val="superscript"/>
              </w:rPr>
              <w:t>2</w:t>
            </w:r>
            <w:r>
              <w:rPr>
                <w:rFonts w:hint="eastAsia"/>
              </w:rPr>
              <w:t>未満で服薬なしのものの割合</w:t>
            </w:r>
          </w:p>
        </w:tc>
        <w:tc>
          <w:tcPr>
            <w:tcW w:w="630" w:type="pct"/>
            <w:tcMar>
              <w:top w:w="28" w:type="dxa"/>
              <w:left w:w="28" w:type="dxa"/>
              <w:bottom w:w="28" w:type="dxa"/>
              <w:right w:w="28" w:type="dxa"/>
            </w:tcMar>
            <w:vAlign w:val="center"/>
          </w:tcPr>
          <w:p>
            <w:pPr>
              <w:pStyle w:val="0"/>
              <w:jc w:val="center"/>
              <w:rPr>
                <w:rFonts w:hint="default"/>
              </w:rPr>
            </w:pPr>
            <w:r>
              <w:rPr>
                <w:rFonts w:hint="eastAsia"/>
              </w:rPr>
              <w:t>6.3%</w:t>
            </w:r>
          </w:p>
        </w:tc>
        <w:tc>
          <w:tcPr>
            <w:tcW w:w="630" w:type="pct"/>
            <w:tcMar>
              <w:top w:w="28" w:type="dxa"/>
              <w:left w:w="28" w:type="dxa"/>
              <w:bottom w:w="28" w:type="dxa"/>
              <w:right w:w="28" w:type="dxa"/>
            </w:tcMar>
            <w:vAlign w:val="center"/>
          </w:tcPr>
          <w:p>
            <w:pPr>
              <w:pStyle w:val="0"/>
              <w:jc w:val="center"/>
              <w:rPr>
                <w:rFonts w:hint="default"/>
              </w:rPr>
            </w:pPr>
            <w:r>
              <w:rPr>
                <w:rFonts w:hint="eastAsia"/>
              </w:rPr>
              <w:t>減少</w:t>
            </w:r>
          </w:p>
        </w:tc>
        <w:tc>
          <w:tcPr>
            <w:tcW w:w="631" w:type="pct"/>
            <w:tcMar>
              <w:top w:w="28" w:type="dxa"/>
              <w:left w:w="28" w:type="dxa"/>
              <w:bottom w:w="28" w:type="dxa"/>
              <w:right w:w="28" w:type="dxa"/>
            </w:tcMar>
            <w:vAlign w:val="center"/>
          </w:tcPr>
          <w:p>
            <w:pPr>
              <w:pStyle w:val="0"/>
              <w:widowControl w:val="0"/>
              <w:jc w:val="center"/>
              <w:rPr>
                <w:rFonts w:hint="default"/>
              </w:rPr>
            </w:pPr>
            <w:r>
              <w:rPr>
                <w:rFonts w:hint="eastAsia"/>
              </w:rPr>
              <w:t>-</w:t>
            </w:r>
          </w:p>
        </w:tc>
      </w:tr>
      <w:tr>
        <w:trPr>
          <w:trHeight w:val="197" w:hRule="atLeast"/>
        </w:trPr>
        <w:tc>
          <w:tcPr>
            <w:tcW w:w="451" w:type="pct"/>
            <w:shd w:val="clear" w:color="auto" w:fill="auto"/>
            <w:tcMar>
              <w:top w:w="28" w:type="dxa"/>
              <w:left w:w="28" w:type="dxa"/>
              <w:bottom w:w="28" w:type="dxa"/>
              <w:right w:w="28" w:type="dxa"/>
            </w:tcMar>
            <w:vAlign w:val="center"/>
          </w:tcPr>
          <w:p>
            <w:pPr>
              <w:pStyle w:val="0"/>
              <w:widowControl w:val="0"/>
              <w:jc w:val="center"/>
              <w:rPr>
                <w:rFonts w:hint="default"/>
              </w:rPr>
            </w:pPr>
            <w:r>
              <w:rPr>
                <w:rFonts w:hint="eastAsia"/>
              </w:rPr>
              <w:t>●</w:t>
            </w: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特定保健指導実施率</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27</w:t>
            </w:r>
            <w:r>
              <w:rPr>
                <w:rFonts w:hint="default"/>
              </w:rPr>
              <w:t>.0%</w:t>
            </w:r>
          </w:p>
        </w:tc>
        <w:tc>
          <w:tcPr>
            <w:tcW w:w="630" w:type="pct"/>
            <w:tcMar>
              <w:top w:w="28" w:type="dxa"/>
              <w:left w:w="28" w:type="dxa"/>
              <w:bottom w:w="28" w:type="dxa"/>
              <w:right w:w="28" w:type="dxa"/>
            </w:tcMar>
            <w:vAlign w:val="center"/>
          </w:tcPr>
          <w:p>
            <w:pPr>
              <w:pStyle w:val="0"/>
              <w:widowControl w:val="0"/>
              <w:jc w:val="center"/>
              <w:rPr>
                <w:rFonts w:hint="default"/>
              </w:rPr>
            </w:pPr>
            <w:r>
              <w:rPr>
                <w:rFonts w:hint="eastAsia"/>
              </w:rPr>
              <w:t>5</w:t>
            </w:r>
            <w:r>
              <w:rPr>
                <w:rFonts w:hint="default"/>
              </w:rPr>
              <w:t>0.0%</w:t>
            </w:r>
          </w:p>
        </w:tc>
        <w:tc>
          <w:tcPr>
            <w:tcW w:w="631" w:type="pct"/>
            <w:tcMar>
              <w:top w:w="28" w:type="dxa"/>
              <w:left w:w="28" w:type="dxa"/>
              <w:bottom w:w="28" w:type="dxa"/>
              <w:right w:w="28" w:type="dxa"/>
            </w:tcMar>
            <w:vAlign w:val="center"/>
          </w:tcPr>
          <w:p>
            <w:pPr>
              <w:pStyle w:val="0"/>
              <w:widowControl w:val="0"/>
              <w:jc w:val="both"/>
              <w:rPr>
                <w:rFonts w:hint="default"/>
              </w:rPr>
            </w:pPr>
            <w:r>
              <w:rPr>
                <w:rFonts w:hint="eastAsia"/>
              </w:rPr>
              <w:t>　　　</w:t>
            </w:r>
            <w:r>
              <w:rPr>
                <w:rFonts w:hint="eastAsia"/>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後期高齢者健診質問票で「健康状態が良くない」と回答</w:t>
            </w:r>
          </w:p>
        </w:tc>
        <w:tc>
          <w:tcPr>
            <w:tcW w:w="630" w:type="pct"/>
            <w:tcMar>
              <w:top w:w="28" w:type="dxa"/>
              <w:left w:w="28" w:type="dxa"/>
              <w:bottom w:w="28" w:type="dxa"/>
              <w:right w:w="28" w:type="dxa"/>
            </w:tcMar>
            <w:vAlign w:val="center"/>
          </w:tcPr>
          <w:p>
            <w:pPr>
              <w:pStyle w:val="0"/>
              <w:jc w:val="center"/>
              <w:rPr>
                <w:rFonts w:hint="default"/>
              </w:rPr>
            </w:pPr>
            <w:r>
              <w:rPr>
                <w:rFonts w:hint="eastAsia"/>
              </w:rPr>
              <w:t>0.9%</w:t>
            </w:r>
          </w:p>
        </w:tc>
        <w:tc>
          <w:tcPr>
            <w:tcW w:w="630" w:type="pct"/>
            <w:tcMar>
              <w:top w:w="28" w:type="dxa"/>
              <w:left w:w="28" w:type="dxa"/>
              <w:bottom w:w="28" w:type="dxa"/>
              <w:right w:w="28" w:type="dxa"/>
            </w:tcMar>
            <w:vAlign w:val="center"/>
          </w:tcPr>
          <w:p>
            <w:pPr>
              <w:pStyle w:val="0"/>
              <w:rPr>
                <w:rFonts w:hint="default"/>
              </w:rPr>
            </w:pPr>
            <w:r>
              <w:rPr>
                <w:rFonts w:hint="eastAsia"/>
              </w:rPr>
              <w:t>　　　</w:t>
            </w:r>
            <w:r>
              <w:rPr>
                <w:rFonts w:hint="eastAsia"/>
              </w:rPr>
              <w:t>0%</w:t>
            </w:r>
          </w:p>
        </w:tc>
        <w:tc>
          <w:tcPr>
            <w:tcW w:w="631" w:type="pct"/>
            <w:tcMar>
              <w:top w:w="28" w:type="dxa"/>
              <w:left w:w="28" w:type="dxa"/>
              <w:bottom w:w="28" w:type="dxa"/>
              <w:right w:w="28" w:type="dxa"/>
            </w:tcMar>
            <w:vAlign w:val="center"/>
          </w:tcPr>
          <w:p>
            <w:pPr>
              <w:pStyle w:val="0"/>
              <w:widowControl w:val="0"/>
              <w:jc w:val="center"/>
              <w:rPr>
                <w:rFonts w:hint="default"/>
              </w:rPr>
            </w:pPr>
            <w:r>
              <w:rPr>
                <w:rFonts w:hint="eastAsia"/>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p>
        </w:tc>
        <w:tc>
          <w:tcPr>
            <w:tcW w:w="2658" w:type="pct"/>
            <w:shd w:val="clear" w:color="auto" w:fill="auto"/>
            <w:tcMar>
              <w:top w:w="28" w:type="dxa"/>
              <w:left w:w="28" w:type="dxa"/>
              <w:bottom w:w="28" w:type="dxa"/>
              <w:right w:w="28" w:type="dxa"/>
            </w:tcMar>
            <w:vAlign w:val="center"/>
          </w:tcPr>
          <w:p>
            <w:pPr>
              <w:pStyle w:val="0"/>
              <w:widowControl w:val="0"/>
              <w:rPr>
                <w:rFonts w:hint="default"/>
              </w:rPr>
            </w:pPr>
            <w:r>
              <w:rPr>
                <w:rFonts w:hint="eastAsia"/>
              </w:rPr>
              <w:t>後期高齢者健診質問票で「週に</w:t>
            </w:r>
            <w:r>
              <w:rPr>
                <w:rFonts w:hint="eastAsia"/>
              </w:rPr>
              <w:t>1</w:t>
            </w:r>
            <w:r>
              <w:rPr>
                <w:rFonts w:hint="eastAsia"/>
              </w:rPr>
              <w:t>回以上外出していない」と回答</w:t>
            </w:r>
          </w:p>
        </w:tc>
        <w:tc>
          <w:tcPr>
            <w:tcW w:w="630" w:type="pct"/>
            <w:tcMar>
              <w:top w:w="28" w:type="dxa"/>
              <w:left w:w="28" w:type="dxa"/>
              <w:bottom w:w="28" w:type="dxa"/>
              <w:right w:w="28" w:type="dxa"/>
            </w:tcMar>
            <w:vAlign w:val="center"/>
          </w:tcPr>
          <w:p>
            <w:pPr>
              <w:pStyle w:val="0"/>
              <w:jc w:val="center"/>
              <w:rPr>
                <w:rFonts w:hint="default"/>
              </w:rPr>
            </w:pPr>
            <w:r>
              <w:rPr>
                <w:rFonts w:hint="eastAsia"/>
              </w:rPr>
              <w:t>9.8%</w:t>
            </w:r>
          </w:p>
        </w:tc>
        <w:tc>
          <w:tcPr>
            <w:tcW w:w="630" w:type="pct"/>
            <w:tcMar>
              <w:top w:w="28" w:type="dxa"/>
              <w:left w:w="28" w:type="dxa"/>
              <w:bottom w:w="28" w:type="dxa"/>
              <w:right w:w="28" w:type="dxa"/>
            </w:tcMar>
            <w:vAlign w:val="center"/>
          </w:tcPr>
          <w:p>
            <w:pPr>
              <w:pStyle w:val="0"/>
              <w:rPr>
                <w:rFonts w:hint="default"/>
              </w:rPr>
            </w:pPr>
            <w:r>
              <w:rPr>
                <w:rFonts w:hint="eastAsia"/>
              </w:rPr>
              <w:t>　　</w:t>
            </w:r>
            <w:r>
              <w:rPr>
                <w:rFonts w:hint="eastAsia"/>
              </w:rPr>
              <w:t xml:space="preserve"> 9.4%</w:t>
            </w:r>
          </w:p>
        </w:tc>
        <w:tc>
          <w:tcPr>
            <w:tcW w:w="631" w:type="pct"/>
            <w:tcMar>
              <w:top w:w="28" w:type="dxa"/>
              <w:left w:w="28" w:type="dxa"/>
              <w:bottom w:w="28" w:type="dxa"/>
              <w:right w:w="28" w:type="dxa"/>
            </w:tcMar>
            <w:vAlign w:val="center"/>
          </w:tcPr>
          <w:p>
            <w:pPr>
              <w:pStyle w:val="0"/>
              <w:widowControl w:val="0"/>
              <w:jc w:val="center"/>
              <w:rPr>
                <w:rFonts w:hint="default"/>
              </w:rPr>
            </w:pPr>
            <w:r>
              <w:rPr>
                <w:rFonts w:hint="default"/>
              </w:rPr>
              <w:t>国の目標値</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重複服薬者の人数</w:t>
            </w:r>
          </w:p>
        </w:tc>
        <w:tc>
          <w:tcPr>
            <w:tcW w:w="630" w:type="pct"/>
            <w:tcMar>
              <w:top w:w="28" w:type="dxa"/>
              <w:left w:w="28" w:type="dxa"/>
              <w:bottom w:w="28" w:type="dxa"/>
              <w:right w:w="28" w:type="dxa"/>
            </w:tcMar>
            <w:vAlign w:val="center"/>
          </w:tcPr>
          <w:p>
            <w:pPr>
              <w:pStyle w:val="0"/>
              <w:jc w:val="center"/>
              <w:rPr>
                <w:rFonts w:hint="default"/>
              </w:rPr>
            </w:pPr>
            <w:r>
              <w:rPr>
                <w:rFonts w:hint="eastAsia"/>
              </w:rPr>
              <w:t>15</w:t>
            </w:r>
            <w:r>
              <w:rPr>
                <w:rFonts w:hint="eastAsia"/>
              </w:rPr>
              <w:t>人</w:t>
            </w:r>
          </w:p>
        </w:tc>
        <w:tc>
          <w:tcPr>
            <w:tcW w:w="630" w:type="pct"/>
            <w:tcMar>
              <w:top w:w="28" w:type="dxa"/>
              <w:left w:w="28" w:type="dxa"/>
              <w:bottom w:w="28" w:type="dxa"/>
              <w:right w:w="28" w:type="dxa"/>
            </w:tcMar>
            <w:vAlign w:val="center"/>
          </w:tcPr>
          <w:p>
            <w:pPr>
              <w:pStyle w:val="0"/>
              <w:jc w:val="center"/>
              <w:rPr>
                <w:rFonts w:hint="default"/>
              </w:rPr>
            </w:pPr>
            <w:r>
              <w:rPr>
                <w:rFonts w:hint="eastAsia"/>
              </w:rPr>
              <w:t>9</w:t>
            </w:r>
            <w:r>
              <w:rPr>
                <w:rFonts w:hint="eastAsia"/>
              </w:rPr>
              <w:t>人</w:t>
            </w:r>
          </w:p>
        </w:tc>
        <w:tc>
          <w:tcPr>
            <w:tcW w:w="631" w:type="pct"/>
            <w:tcMar>
              <w:top w:w="28" w:type="dxa"/>
              <w:left w:w="28" w:type="dxa"/>
              <w:bottom w:w="28" w:type="dxa"/>
              <w:right w:w="28" w:type="dxa"/>
            </w:tcMar>
            <w:vAlign w:val="center"/>
          </w:tcPr>
          <w:p>
            <w:pPr>
              <w:pStyle w:val="0"/>
              <w:widowControl w:val="0"/>
              <w:jc w:val="both"/>
              <w:rPr>
                <w:rFonts w:hint="default"/>
              </w:rPr>
            </w:pPr>
            <w:r>
              <w:rPr>
                <w:rFonts w:hint="eastAsia"/>
              </w:rPr>
              <w:t>　　　</w:t>
            </w:r>
            <w:r>
              <w:rPr>
                <w:rFonts w:hint="eastAsia"/>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r>
              <w:rPr>
                <w:rFonts w:hint="eastAsia"/>
              </w:rPr>
              <w:t xml:space="preserve">     </w:t>
            </w: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多剤服薬者の人数</w:t>
            </w:r>
          </w:p>
        </w:tc>
        <w:tc>
          <w:tcPr>
            <w:tcW w:w="630" w:type="pct"/>
            <w:tcMar>
              <w:top w:w="28" w:type="dxa"/>
              <w:left w:w="28" w:type="dxa"/>
              <w:bottom w:w="28" w:type="dxa"/>
              <w:right w:w="28" w:type="dxa"/>
            </w:tcMar>
            <w:vAlign w:val="center"/>
          </w:tcPr>
          <w:p>
            <w:pPr>
              <w:pStyle w:val="0"/>
              <w:jc w:val="center"/>
              <w:rPr>
                <w:rFonts w:hint="default"/>
              </w:rPr>
            </w:pPr>
            <w:r>
              <w:rPr>
                <w:rFonts w:hint="eastAsia"/>
              </w:rPr>
              <w:t>39</w:t>
            </w:r>
            <w:r>
              <w:rPr>
                <w:rFonts w:hint="eastAsia"/>
              </w:rPr>
              <w:t>人</w:t>
            </w:r>
          </w:p>
        </w:tc>
        <w:tc>
          <w:tcPr>
            <w:tcW w:w="630" w:type="pct"/>
            <w:tcMar>
              <w:top w:w="28" w:type="dxa"/>
              <w:left w:w="28" w:type="dxa"/>
              <w:bottom w:w="28" w:type="dxa"/>
              <w:right w:w="28" w:type="dxa"/>
            </w:tcMar>
            <w:vAlign w:val="center"/>
          </w:tcPr>
          <w:p>
            <w:pPr>
              <w:pStyle w:val="0"/>
              <w:jc w:val="center"/>
              <w:rPr>
                <w:rFonts w:hint="default"/>
              </w:rPr>
            </w:pPr>
            <w:r>
              <w:rPr>
                <w:rFonts w:hint="eastAsia"/>
              </w:rPr>
              <w:t>33</w:t>
            </w:r>
            <w:r>
              <w:rPr>
                <w:rFonts w:hint="eastAsia"/>
              </w:rPr>
              <w:t>人</w:t>
            </w:r>
          </w:p>
        </w:tc>
        <w:tc>
          <w:tcPr>
            <w:tcW w:w="631" w:type="pct"/>
            <w:tcMar>
              <w:top w:w="28" w:type="dxa"/>
              <w:left w:w="28" w:type="dxa"/>
              <w:bottom w:w="28" w:type="dxa"/>
              <w:right w:w="28" w:type="dxa"/>
            </w:tcMar>
            <w:vAlign w:val="center"/>
          </w:tcPr>
          <w:p>
            <w:pPr>
              <w:pStyle w:val="0"/>
              <w:widowControl w:val="0"/>
              <w:ind w:firstLine="480" w:firstLineChars="300"/>
              <w:jc w:val="both"/>
              <w:rPr>
                <w:rFonts w:hint="default"/>
              </w:rPr>
            </w:pPr>
            <w:r>
              <w:rPr>
                <w:rFonts w:hint="eastAsia"/>
              </w:rPr>
              <w:t>-</w:t>
            </w:r>
          </w:p>
        </w:tc>
      </w:tr>
      <w:tr>
        <w:trPr>
          <w:trHeight w:val="20" w:hRule="atLeast"/>
        </w:trPr>
        <w:tc>
          <w:tcPr>
            <w:tcW w:w="451" w:type="pct"/>
            <w:shd w:val="clear" w:color="auto" w:fill="auto"/>
            <w:tcMar>
              <w:top w:w="28" w:type="dxa"/>
              <w:left w:w="28" w:type="dxa"/>
              <w:bottom w:w="28" w:type="dxa"/>
              <w:right w:w="28" w:type="dxa"/>
            </w:tcMar>
            <w:vAlign w:val="center"/>
          </w:tcPr>
          <w:p>
            <w:pPr>
              <w:pStyle w:val="0"/>
              <w:rPr>
                <w:rFonts w:hint="default"/>
              </w:rPr>
            </w:pPr>
            <w:r>
              <w:rPr>
                <w:rFonts w:hint="eastAsia"/>
              </w:rPr>
              <w:t>　　●</w:t>
            </w:r>
          </w:p>
        </w:tc>
        <w:tc>
          <w:tcPr>
            <w:tcW w:w="2658" w:type="pct"/>
            <w:shd w:val="clear" w:color="auto" w:fill="auto"/>
            <w:tcMar>
              <w:top w:w="28" w:type="dxa"/>
              <w:left w:w="28" w:type="dxa"/>
              <w:bottom w:w="28" w:type="dxa"/>
              <w:right w:w="28" w:type="dxa"/>
            </w:tcMar>
            <w:vAlign w:val="center"/>
          </w:tcPr>
          <w:p>
            <w:pPr>
              <w:pStyle w:val="0"/>
              <w:rPr>
                <w:rFonts w:hint="default"/>
              </w:rPr>
            </w:pPr>
            <w:r>
              <w:rPr>
                <w:rFonts w:hint="eastAsia"/>
              </w:rPr>
              <w:t>後発医薬品への切替率</w:t>
            </w:r>
          </w:p>
        </w:tc>
        <w:tc>
          <w:tcPr>
            <w:tcW w:w="630" w:type="pct"/>
            <w:tcMar>
              <w:top w:w="28" w:type="dxa"/>
              <w:left w:w="28" w:type="dxa"/>
              <w:bottom w:w="28" w:type="dxa"/>
              <w:right w:w="28" w:type="dxa"/>
            </w:tcMar>
            <w:vAlign w:val="center"/>
          </w:tcPr>
          <w:p>
            <w:pPr>
              <w:pStyle w:val="0"/>
              <w:ind w:firstLine="320" w:firstLineChars="200"/>
              <w:rPr>
                <w:rFonts w:hint="default"/>
              </w:rPr>
            </w:pPr>
            <w:r>
              <w:rPr>
                <w:rFonts w:hint="eastAsia"/>
              </w:rPr>
              <w:t>79.9%</w:t>
            </w:r>
          </w:p>
        </w:tc>
        <w:tc>
          <w:tcPr>
            <w:tcW w:w="630" w:type="pct"/>
            <w:tcMar>
              <w:top w:w="28" w:type="dxa"/>
              <w:left w:w="28" w:type="dxa"/>
              <w:bottom w:w="28" w:type="dxa"/>
              <w:right w:w="28" w:type="dxa"/>
            </w:tcMar>
            <w:vAlign w:val="center"/>
          </w:tcPr>
          <w:p>
            <w:pPr>
              <w:pStyle w:val="0"/>
              <w:rPr>
                <w:rFonts w:hint="default"/>
              </w:rPr>
            </w:pPr>
            <w:r>
              <w:rPr>
                <w:rFonts w:hint="eastAsia"/>
              </w:rPr>
              <w:t>　　</w:t>
            </w:r>
            <w:r>
              <w:rPr>
                <w:rFonts w:hint="eastAsia"/>
              </w:rPr>
              <w:t>81.0%</w:t>
            </w:r>
          </w:p>
        </w:tc>
        <w:tc>
          <w:tcPr>
            <w:tcW w:w="631" w:type="pct"/>
            <w:tcMar>
              <w:top w:w="28" w:type="dxa"/>
              <w:left w:w="28" w:type="dxa"/>
              <w:bottom w:w="28" w:type="dxa"/>
              <w:right w:w="28" w:type="dxa"/>
            </w:tcMar>
            <w:vAlign w:val="center"/>
          </w:tcPr>
          <w:p>
            <w:pPr>
              <w:pStyle w:val="0"/>
              <w:rPr>
                <w:rFonts w:hint="default"/>
              </w:rPr>
            </w:pPr>
            <w:r>
              <w:rPr>
                <w:rFonts w:hint="eastAsia"/>
              </w:rPr>
              <w:t>　県の目標値</w:t>
            </w:r>
          </w:p>
        </w:tc>
      </w:tr>
    </w:tbl>
    <w:p>
      <w:pPr>
        <w:pStyle w:val="42"/>
        <w:rPr>
          <w:rFonts w:hint="default"/>
        </w:rPr>
      </w:pPr>
      <w:r>
        <w:rPr>
          <w:rFonts w:hint="eastAsia"/>
        </w:rPr>
        <w:t>※●は、県の共通指標</w:t>
      </w:r>
    </w:p>
    <w:p>
      <w:pPr>
        <w:pStyle w:val="0"/>
        <w:rPr>
          <w:rFonts w:hint="default"/>
        </w:rPr>
      </w:pPr>
      <w:r>
        <w:rPr>
          <w:rFonts w:hint="default"/>
        </w:rPr>
        <w:br w:type="page"/>
      </w:r>
    </w:p>
    <w:p>
      <w:pPr>
        <w:pStyle w:val="1"/>
        <w:rPr>
          <w:rFonts w:hint="default"/>
        </w:rPr>
      </w:pPr>
      <w:bookmarkStart w:id="203" w:name="_Toc162548723"/>
      <w:r>
        <w:rPr>
          <w:rFonts w:hint="default"/>
        </w:rPr>
        <w:t>保健事業の内容</w:t>
      </w:r>
      <w:bookmarkEnd w:id="203"/>
    </w:p>
    <w:p>
      <w:pPr>
        <w:pStyle w:val="2"/>
        <w:rPr>
          <w:rFonts w:hint="default"/>
          <w:shd w:val="clear" w:color="auto" w:fill="D9D9D9"/>
        </w:rPr>
      </w:pPr>
      <w:bookmarkStart w:id="204" w:name="_Toc162548724"/>
      <w:r>
        <w:rPr>
          <w:rFonts w:hint="default"/>
        </w:rPr>
        <w:t>保健事業の整理</w:t>
      </w:r>
      <w:bookmarkEnd w:id="204"/>
    </w:p>
    <w:p>
      <w:pPr>
        <w:pStyle w:val="39"/>
        <w:ind w:firstLine="200"/>
        <w:rPr>
          <w:rFonts w:hint="default"/>
        </w:rPr>
      </w:pPr>
      <w:r>
        <w:rPr>
          <w:rFonts w:hint="default"/>
        </w:rPr>
        <w:t>第</w:t>
      </w:r>
      <w:r>
        <w:rPr>
          <w:rFonts w:hint="default"/>
        </w:rPr>
        <w:t>2</w:t>
      </w:r>
      <w:r>
        <w:rPr>
          <w:rFonts w:hint="default"/>
        </w:rPr>
        <w:t>期に実施した保健事業の振り返りを行った</w:t>
      </w:r>
      <w:r>
        <w:rPr>
          <w:rFonts w:hint="eastAsia"/>
        </w:rPr>
        <w:t>上</w:t>
      </w:r>
      <w:r>
        <w:rPr>
          <w:rFonts w:hint="default"/>
        </w:rPr>
        <w:t>で、第</w:t>
      </w:r>
      <w:r>
        <w:rPr>
          <w:rFonts w:hint="default"/>
        </w:rPr>
        <w:t>3</w:t>
      </w:r>
      <w:r>
        <w:rPr>
          <w:rFonts w:hint="default"/>
        </w:rPr>
        <w:t>期データヘルス計画</w:t>
      </w:r>
      <w:r>
        <w:rPr>
          <w:rFonts w:hint="eastAsia"/>
        </w:rPr>
        <w:t>における</w:t>
      </w:r>
      <w:r>
        <w:rPr>
          <w:rFonts w:hint="default"/>
        </w:rPr>
        <w:t>目的・目標を達成するための保健事業を整理した。</w:t>
      </w:r>
    </w:p>
    <w:p>
      <w:pPr>
        <w:pStyle w:val="3"/>
        <w:rPr>
          <w:rFonts w:hint="default"/>
        </w:rPr>
      </w:pPr>
      <w:bookmarkStart w:id="205" w:name="_Toc152851368"/>
      <w:bookmarkStart w:id="206" w:name="_Toc162548725"/>
      <w:r>
        <w:rPr>
          <w:rFonts w:hint="eastAsia"/>
        </w:rPr>
        <w:t>早期発見・特定健診</w:t>
      </w:r>
      <w:bookmarkEnd w:id="205"/>
      <w:bookmarkEnd w:id="206"/>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894"/>
        <w:gridCol w:w="1054"/>
        <w:gridCol w:w="2786"/>
        <w:gridCol w:w="4641"/>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2</w:t>
            </w:r>
            <w:r>
              <w:rPr>
                <w:rFonts w:hint="eastAsia"/>
                <w:b w:val="1"/>
                <w:color w:val="000000"/>
                <w:sz w:val="20"/>
              </w:rPr>
              <w:t>期計画における取組と評価</w:t>
            </w:r>
          </w:p>
        </w:tc>
      </w:tr>
      <w:tr>
        <w:trPr>
          <w:trHeight w:val="20"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目標分類</w:t>
            </w:r>
          </w:p>
        </w:tc>
        <w:tc>
          <w:tcPr>
            <w:tcW w:w="56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評価</w:t>
            </w:r>
          </w:p>
        </w:tc>
        <w:tc>
          <w:tcPr>
            <w:tcW w:w="3961" w:type="pct"/>
            <w:gridSpan w:val="2"/>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早期発見・特定健診に関連するデータヘルス計画の目標</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短期</w:t>
            </w:r>
          </w:p>
        </w:tc>
        <w:tc>
          <w:tcPr>
            <w:tcW w:w="562" w:type="pct"/>
            <w:tcMar>
              <w:top w:w="28" w:type="dxa"/>
              <w:left w:w="28" w:type="dxa"/>
              <w:bottom w:w="28" w:type="dxa"/>
              <w:right w:w="28" w:type="dxa"/>
            </w:tcMar>
            <w:vAlign w:val="center"/>
          </w:tcPr>
          <w:p>
            <w:pPr>
              <w:pStyle w:val="0"/>
              <w:jc w:val="center"/>
              <w:rPr>
                <w:rFonts w:hint="default"/>
              </w:rPr>
            </w:pPr>
            <w:r>
              <w:rPr>
                <w:rFonts w:hint="eastAsia"/>
              </w:rPr>
              <w:t>B</w:t>
            </w:r>
          </w:p>
        </w:tc>
        <w:tc>
          <w:tcPr>
            <w:tcW w:w="3961" w:type="pct"/>
            <w:gridSpan w:val="2"/>
            <w:tcMar>
              <w:top w:w="28" w:type="dxa"/>
              <w:left w:w="28" w:type="dxa"/>
              <w:bottom w:w="28" w:type="dxa"/>
              <w:right w:w="28" w:type="dxa"/>
            </w:tcMar>
            <w:vAlign w:val="center"/>
          </w:tcPr>
          <w:p>
            <w:pPr>
              <w:pStyle w:val="0"/>
              <w:rPr>
                <w:rFonts w:hint="default"/>
              </w:rPr>
            </w:pPr>
            <w:r>
              <w:rPr>
                <w:rFonts w:hint="eastAsia"/>
                <w:color w:val="191F2B"/>
              </w:rPr>
              <w:t>適切に特定保健指導や重症化予防事業につなぐために特定健診の受診率を向上させる。</w:t>
            </w:r>
          </w:p>
        </w:tc>
      </w:tr>
      <w:tr>
        <w:trPr>
          <w:trHeight w:val="24"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事業評価</w:t>
            </w:r>
          </w:p>
        </w:tc>
        <w:tc>
          <w:tcPr>
            <w:tcW w:w="562" w:type="pct"/>
            <w:shd w:val="clear" w:color="auto" w:fill="EFEFEF"/>
            <w:tcMar>
              <w:top w:w="28" w:type="dxa"/>
              <w:left w:w="28" w:type="dxa"/>
              <w:bottom w:w="28" w:type="dxa"/>
              <w:right w:w="28" w:type="dxa"/>
            </w:tcMar>
            <w:vAlign w:val="center"/>
          </w:tcPr>
          <w:p>
            <w:pPr>
              <w:pStyle w:val="0"/>
              <w:jc w:val="center"/>
              <w:rPr>
                <w:rFonts w:hint="default"/>
                <w:b w:val="1"/>
                <w:color w:val="000000"/>
              </w:rPr>
            </w:pPr>
            <w:r>
              <w:rPr>
                <w:rFonts w:hint="eastAsia"/>
                <w:b w:val="1"/>
                <w:color w:val="000000"/>
              </w:rPr>
              <w:t>事業</w:t>
            </w:r>
          </w:p>
          <w:p>
            <w:pPr>
              <w:pStyle w:val="0"/>
              <w:jc w:val="center"/>
              <w:rPr>
                <w:rFonts w:hint="default"/>
              </w:rPr>
            </w:pPr>
            <w:r>
              <w:rPr>
                <w:rFonts w:hint="eastAsia"/>
                <w:b w:val="1"/>
                <w:color w:val="000000"/>
              </w:rPr>
              <w:t>アウトカム</w:t>
            </w:r>
          </w:p>
        </w:tc>
        <w:tc>
          <w:tcPr>
            <w:tcW w:w="1486"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7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4"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B</w:t>
            </w:r>
          </w:p>
        </w:tc>
        <w:tc>
          <w:tcPr>
            <w:tcW w:w="562" w:type="pct"/>
            <w:tcMar>
              <w:top w:w="28" w:type="dxa"/>
              <w:left w:w="28" w:type="dxa"/>
              <w:bottom w:w="28" w:type="dxa"/>
              <w:right w:w="28" w:type="dxa"/>
            </w:tcMar>
            <w:vAlign w:val="center"/>
          </w:tcPr>
          <w:p>
            <w:pPr>
              <w:pStyle w:val="0"/>
              <w:rPr>
                <w:rFonts w:hint="default"/>
              </w:rPr>
            </w:pPr>
            <w:r>
              <w:rPr>
                <w:rFonts w:hint="eastAsia"/>
              </w:rPr>
              <w:t>特定健診受診率</w:t>
            </w:r>
          </w:p>
        </w:tc>
        <w:tc>
          <w:tcPr>
            <w:tcW w:w="1486" w:type="pct"/>
            <w:tcMar>
              <w:top w:w="28" w:type="dxa"/>
              <w:left w:w="28" w:type="dxa"/>
              <w:bottom w:w="28" w:type="dxa"/>
              <w:right w:w="28" w:type="dxa"/>
            </w:tcMar>
            <w:vAlign w:val="center"/>
          </w:tcPr>
          <w:p>
            <w:pPr>
              <w:pStyle w:val="0"/>
              <w:jc w:val="both"/>
              <w:rPr>
                <w:rFonts w:hint="default"/>
              </w:rPr>
            </w:pPr>
            <w:r>
              <w:rPr>
                <w:rFonts w:hint="eastAsia"/>
              </w:rPr>
              <w:t>特定健診の受診率向上事業</w:t>
            </w:r>
          </w:p>
        </w:tc>
        <w:tc>
          <w:tcPr>
            <w:tcW w:w="2475" w:type="pct"/>
            <w:tcMar>
              <w:top w:w="28" w:type="dxa"/>
              <w:left w:w="28" w:type="dxa"/>
              <w:bottom w:w="28" w:type="dxa"/>
              <w:right w:w="28" w:type="dxa"/>
            </w:tcMar>
            <w:vAlign w:val="center"/>
          </w:tcPr>
          <w:p>
            <w:pPr>
              <w:pStyle w:val="0"/>
              <w:rPr>
                <w:rFonts w:hint="default"/>
              </w:rPr>
            </w:pPr>
            <w:r>
              <w:rPr>
                <w:rFonts w:hint="eastAsia"/>
              </w:rPr>
              <w:t>未受診者分析を行い、治療中未受診者や連続未受診者等の状況を勘案し、それぞれの未受診者に響く資材で送り分けをし、さらなる特定健診の受診率の向上を目指し、さらには生活習慣病の発症･悪化を抑制する。</w:t>
            </w:r>
          </w:p>
        </w:tc>
      </w:tr>
    </w:tbl>
    <w:p>
      <w:pPr>
        <w:pStyle w:val="0"/>
        <w:jc w:val="center"/>
        <w:rPr>
          <w:rFonts w:hint="default"/>
          <w:b w:val="1"/>
          <w:color w:val="1D1C1D"/>
          <w:sz w:val="18"/>
        </w:rPr>
      </w:pPr>
      <w:r>
        <w:rPr>
          <w:rFonts w:hint="default"/>
          <w:b w:val="1"/>
          <w:color w:val="1D1C1D"/>
          <w:sz w:val="18"/>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9375"/>
      </w:tblGrid>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w:t>
            </w:r>
            <w:r>
              <w:rPr>
                <w:rFonts w:hint="default"/>
                <w:b w:val="1"/>
                <w:color w:val="000000"/>
                <w:sz w:val="20"/>
              </w:rPr>
              <w:t>早期発見・特定健診</w:t>
            </w:r>
            <w:r>
              <w:rPr>
                <w:rFonts w:hint="eastAsia"/>
                <w:b w:val="1"/>
                <w:color w:val="000000"/>
                <w:sz w:val="20"/>
              </w:rPr>
              <w:t>に関連する健康課題</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sz w:val="18"/>
              </w:rPr>
            </w:pPr>
            <w:r>
              <w:rPr>
                <w:rFonts w:hint="eastAsia"/>
                <w:sz w:val="16"/>
              </w:rPr>
              <w:t>#</w:t>
            </w:r>
            <w:r>
              <w:rPr>
                <w:rFonts w:hint="default"/>
                <w:sz w:val="16"/>
              </w:rPr>
              <w:t>1</w:t>
            </w:r>
            <w:r>
              <w:rPr>
                <w:rFonts w:hint="eastAsia"/>
                <w:sz w:val="16"/>
              </w:rPr>
              <w:t>　適切に特定保健指導や重症化予防事業につなぐことを目的に、特定健診受診率の向上が必要。</w:t>
            </w:r>
          </w:p>
        </w:tc>
      </w:tr>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期計画における早期発見・特定健診に関連するデータヘルス計画の目標</w:t>
            </w:r>
          </w:p>
        </w:tc>
      </w:tr>
      <w:tr>
        <w:trPr>
          <w:trHeight w:val="20" w:hRule="atLeast"/>
        </w:trPr>
        <w:tc>
          <w:tcPr>
            <w:tcW w:w="5000" w:type="pct"/>
            <w:tcMar>
              <w:top w:w="28" w:type="dxa"/>
              <w:left w:w="28" w:type="dxa"/>
              <w:bottom w:w="28" w:type="dxa"/>
              <w:right w:w="28" w:type="dxa"/>
            </w:tcMar>
            <w:vAlign w:val="center"/>
          </w:tcPr>
          <w:p>
            <w:pPr>
              <w:pStyle w:val="0"/>
              <w:rPr>
                <w:rFonts w:hint="default"/>
              </w:rPr>
            </w:pPr>
            <w:r>
              <w:rPr>
                <w:rFonts w:hint="eastAsia"/>
              </w:rPr>
              <w:t>特定健診受診率の上昇</w:t>
            </w:r>
          </w:p>
        </w:tc>
      </w:tr>
    </w:tbl>
    <w:p>
      <w:pPr>
        <w:pStyle w:val="0"/>
        <w:jc w:val="center"/>
        <w:rPr>
          <w:rFonts w:hint="default"/>
          <w:b w:val="1"/>
          <w:color w:val="1D1C1D"/>
          <w:sz w:val="18"/>
        </w:rPr>
      </w:pPr>
      <w:r>
        <w:rPr>
          <w:rFonts w:hint="default"/>
          <w:b w:val="1"/>
          <w:color w:val="1D1C1D"/>
          <w:sz w:val="18"/>
        </w:rPr>
        <w:t>▼</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98"/>
        <w:gridCol w:w="1108"/>
        <w:gridCol w:w="2109"/>
        <w:gridCol w:w="4560"/>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期計画における早期発見・特定健診に関連する保健事業</w:t>
            </w:r>
          </w:p>
        </w:tc>
      </w:tr>
      <w:tr>
        <w:trPr>
          <w:trHeight w:val="20" w:hRule="atLeast"/>
        </w:trPr>
        <w:tc>
          <w:tcPr>
            <w:tcW w:w="5000" w:type="pct"/>
            <w:gridSpan w:val="4"/>
            <w:shd w:val="clear" w:color="auto" w:fill="EFEFEF"/>
            <w:tcMar>
              <w:top w:w="28" w:type="dxa"/>
              <w:left w:w="28" w:type="dxa"/>
              <w:bottom w:w="28" w:type="dxa"/>
              <w:right w:w="28" w:type="dxa"/>
            </w:tcMar>
            <w:vAlign w:val="center"/>
          </w:tcPr>
          <w:p>
            <w:pPr>
              <w:pStyle w:val="0"/>
              <w:rPr>
                <w:rFonts w:hint="default"/>
              </w:rPr>
            </w:pPr>
            <w:r>
              <w:rPr>
                <w:rFonts w:hint="eastAsia"/>
                <w:b w:val="1"/>
                <w:color w:val="000000"/>
              </w:rPr>
              <w:t>保健事業の方向性</w:t>
            </w:r>
          </w:p>
        </w:tc>
      </w:tr>
      <w:tr>
        <w:tblPrEx>
          <w:jc w:val="left"/>
        </w:tblPrEx>
        <w:trPr>
          <w:trHeight w:val="20" w:hRule="atLeast"/>
        </w:trPr>
        <w:tc>
          <w:tcPr>
            <w:tcW w:w="5000" w:type="pct"/>
            <w:gridSpan w:val="4"/>
            <w:tcMar>
              <w:top w:w="28" w:type="dxa"/>
              <w:left w:w="28" w:type="dxa"/>
              <w:bottom w:w="28" w:type="dxa"/>
              <w:right w:w="28" w:type="dxa"/>
            </w:tcMar>
            <w:vAlign w:val="center"/>
          </w:tcPr>
          <w:p>
            <w:pPr>
              <w:pStyle w:val="0"/>
              <w:rPr>
                <w:rFonts w:hint="default"/>
              </w:rPr>
            </w:pPr>
            <w:r>
              <w:rPr>
                <w:rFonts w:hint="default"/>
              </w:rPr>
              <w:t>第</w:t>
            </w:r>
            <w:r>
              <w:rPr>
                <w:rFonts w:hint="default"/>
              </w:rPr>
              <w:t>2</w:t>
            </w:r>
            <w:r>
              <w:rPr>
                <w:rFonts w:hint="default"/>
              </w:rPr>
              <w:t>期計画期間で実施していた事業では</w:t>
            </w:r>
            <w:r>
              <w:rPr>
                <w:rFonts w:hint="eastAsia"/>
              </w:rPr>
              <w:t>、特定健診受診率の向上を</w:t>
            </w:r>
            <w:r>
              <w:rPr>
                <w:rFonts w:hint="default"/>
              </w:rPr>
              <w:t>目標に実施し</w:t>
            </w:r>
            <w:r>
              <w:rPr>
                <w:rFonts w:hint="eastAsia"/>
              </w:rPr>
              <w:t>てきたが、国・県と比較してもかなり低い状況で</w:t>
            </w:r>
            <w:r>
              <w:rPr>
                <w:rFonts w:hint="default"/>
              </w:rPr>
              <w:t>目標</w:t>
            </w:r>
            <w:r>
              <w:rPr>
                <w:rFonts w:hint="eastAsia"/>
              </w:rPr>
              <w:t>が未達成である。</w:t>
            </w:r>
          </w:p>
          <w:p>
            <w:pPr>
              <w:pStyle w:val="0"/>
              <w:rPr>
                <w:rFonts w:hint="default"/>
              </w:rPr>
            </w:pPr>
            <w:r>
              <w:rPr>
                <w:rFonts w:hint="default"/>
              </w:rPr>
              <w:t>第</w:t>
            </w:r>
            <w:r>
              <w:rPr>
                <w:rFonts w:hint="default"/>
              </w:rPr>
              <w:t>3</w:t>
            </w:r>
            <w:r>
              <w:rPr>
                <w:rFonts w:hint="default"/>
              </w:rPr>
              <w:t>期計画においては引き続き</w:t>
            </w:r>
            <w:r>
              <w:rPr>
                <w:rFonts w:hint="eastAsia"/>
              </w:rPr>
              <w:t>、未受診者分析を行い、治療中未受診者や連続未受診者等の状況を勘案し、それぞれの未受診者に響く資材で送り分けをし、さらなる特定健診の受診率の向上を目指し、さらには生活習慣病の発症･悪化を抑制する。</w:t>
            </w:r>
          </w:p>
        </w:tc>
      </w:tr>
      <w:tr>
        <w:trPr>
          <w:trHeight w:val="20" w:hRule="atLeast"/>
        </w:trPr>
        <w:tc>
          <w:tcPr>
            <w:tcW w:w="85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健康課題</w:t>
            </w:r>
          </w:p>
        </w:tc>
        <w:tc>
          <w:tcPr>
            <w:tcW w:w="591"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継続</w:t>
            </w:r>
            <w:r>
              <w:rPr>
                <w:rFonts w:hint="eastAsia"/>
                <w:b w:val="1"/>
                <w:color w:val="000000"/>
              </w:rPr>
              <w:t>/</w:t>
            </w:r>
            <w:r>
              <w:rPr>
                <w:rFonts w:hint="eastAsia"/>
                <w:b w:val="1"/>
                <w:color w:val="000000"/>
              </w:rPr>
              <w:t>新規</w:t>
            </w:r>
          </w:p>
        </w:tc>
        <w:tc>
          <w:tcPr>
            <w:tcW w:w="112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3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0" w:hRule="atLeast"/>
        </w:trPr>
        <w:tc>
          <w:tcPr>
            <w:tcW w:w="852"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w:t>
            </w:r>
            <w:r>
              <w:rPr>
                <w:rFonts w:hint="default"/>
              </w:rPr>
              <w:t>3</w:t>
            </w:r>
          </w:p>
        </w:tc>
        <w:tc>
          <w:tcPr>
            <w:tcW w:w="591"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継続</w:t>
            </w:r>
          </w:p>
        </w:tc>
        <w:tc>
          <w:tcPr>
            <w:tcW w:w="1125"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特定健診の受診率向上事業</w:t>
            </w:r>
          </w:p>
        </w:tc>
        <w:tc>
          <w:tcPr>
            <w:tcW w:w="2432" w:type="pct"/>
            <w:shd w:val="clear" w:color="auto" w:fill="auto"/>
            <w:tcMar>
              <w:top w:w="28" w:type="dxa"/>
              <w:left w:w="28" w:type="dxa"/>
              <w:bottom w:w="28" w:type="dxa"/>
              <w:right w:w="28" w:type="dxa"/>
            </w:tcMar>
            <w:vAlign w:val="center"/>
          </w:tcPr>
          <w:p>
            <w:pPr>
              <w:pStyle w:val="0"/>
              <w:rPr>
                <w:rFonts w:hint="default"/>
                <w:b w:val="1"/>
                <w:color w:val="000000"/>
              </w:rPr>
            </w:pPr>
            <w:r>
              <w:rPr>
                <w:rFonts w:hint="eastAsia"/>
              </w:rPr>
              <w:t>未受診者分析を行い、治療中未受診者や連続未受診者等の状況を勘案し、それぞれの未受診者に響く資材で送り分けをし、さらなる特定健診の受診率の向上を目指し、さらには生活習慣病の発症･悪化を抑制する。</w:t>
            </w:r>
          </w:p>
        </w:tc>
      </w:tr>
    </w:tbl>
    <w:p>
      <w:pPr>
        <w:pStyle w:val="0"/>
        <w:rPr>
          <w:rFonts w:hint="default"/>
        </w:rPr>
      </w:pPr>
    </w:p>
    <w:p>
      <w:pPr>
        <w:pStyle w:val="0"/>
        <w:rPr>
          <w:rFonts w:hint="default"/>
        </w:rPr>
      </w:pPr>
      <w:r>
        <w:rPr>
          <w:rFonts w:hint="default"/>
        </w:rPr>
        <w:br w:type="page"/>
      </w:r>
    </w:p>
    <w:p>
      <w:pPr>
        <w:pStyle w:val="4"/>
        <w:rPr>
          <w:rFonts w:hint="default"/>
        </w:rPr>
      </w:pPr>
      <w:r>
        <w:rPr>
          <w:rFonts w:hint="eastAsia"/>
        </w:rPr>
        <w:t>特定健診受診率向上事業</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color w:val="191F2B"/>
              </w:rPr>
              <w:t>適切に特定保健指導や重症化予防事業につなぐために特定健診の受診率を向上させる。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color w:val="191F2B"/>
              </w:rPr>
              <w:t>受診履歴や問診票の回答結果等のデータを分析し、分析結果に基づいて対象者ごとに個別の効果的なメッセージを作成し、同一年度内に未受診者に対して複数回の受診勧奨を実施する。</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color w:val="191F2B"/>
              </w:rPr>
              <w:t>特定健診未受診者</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広報、</w:t>
            </w:r>
            <w:r>
              <w:rPr>
                <w:rFonts w:hint="default"/>
              </w:rPr>
              <w:t>LINE</w:t>
            </w:r>
            <w:r>
              <w:rPr>
                <w:rFonts w:hint="default"/>
              </w:rPr>
              <w:t>を使った周知</w:t>
            </w:r>
          </w:p>
          <w:p>
            <w:pPr>
              <w:pStyle w:val="0"/>
              <w:rPr>
                <w:rFonts w:hint="default"/>
              </w:rPr>
            </w:pPr>
            <w:r>
              <w:rPr>
                <w:rFonts w:hint="eastAsia"/>
              </w:rPr>
              <w:t>対象者の健診受診履歴タやレセプトデータによる個別通知勧奨</w:t>
            </w:r>
          </w:p>
          <w:p>
            <w:pPr>
              <w:pStyle w:val="0"/>
              <w:rPr>
                <w:rFonts w:hint="default"/>
              </w:rPr>
            </w:pPr>
            <w:r>
              <w:rPr>
                <w:rFonts w:hint="eastAsia"/>
              </w:rPr>
              <w:t>通院中未受診者に対するみなし健診のお願い啓発</w:t>
            </w:r>
          </w:p>
          <w:p>
            <w:pPr>
              <w:pStyle w:val="0"/>
              <w:rPr>
                <w:rFonts w:hint="default"/>
              </w:rPr>
            </w:pPr>
            <w:r>
              <w:rPr>
                <w:rFonts w:hint="eastAsia"/>
              </w:rPr>
              <w:t>人間ドックの周知啓発</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未受診者への勧奨通知実施率：</w:t>
            </w:r>
            <w:r>
              <w:rPr>
                <w:rFonts w:hint="default"/>
              </w:rPr>
              <w:t>100%</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特定健診受診率：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29%</w:t>
                  </w:r>
                  <w:r>
                    <w:rPr>
                      <w:rFonts w:hint="eastAsia"/>
                    </w:rPr>
                    <w:t>（見込値）</w:t>
                  </w:r>
                </w:p>
              </w:tc>
              <w:tc>
                <w:tcPr>
                  <w:tcW w:w="1108" w:type="dxa"/>
                  <w:tcMar>
                    <w:top w:w="28" w:type="dxa"/>
                    <w:left w:w="28" w:type="dxa"/>
                    <w:bottom w:w="28" w:type="dxa"/>
                    <w:right w:w="28" w:type="dxa"/>
                  </w:tcMar>
                  <w:vAlign w:val="top"/>
                </w:tcPr>
                <w:p>
                  <w:pPr>
                    <w:pStyle w:val="0"/>
                    <w:jc w:val="center"/>
                    <w:rPr>
                      <w:rFonts w:hint="default"/>
                    </w:rPr>
                  </w:pPr>
                  <w:r>
                    <w:rPr>
                      <w:rFonts w:hint="eastAsia"/>
                    </w:rPr>
                    <w:t>32%</w:t>
                  </w:r>
                </w:p>
              </w:tc>
              <w:tc>
                <w:tcPr>
                  <w:tcW w:w="1108" w:type="dxa"/>
                  <w:tcMar>
                    <w:top w:w="28" w:type="dxa"/>
                    <w:left w:w="28" w:type="dxa"/>
                    <w:bottom w:w="28" w:type="dxa"/>
                    <w:right w:w="28" w:type="dxa"/>
                  </w:tcMar>
                  <w:vAlign w:val="top"/>
                </w:tcPr>
                <w:p>
                  <w:pPr>
                    <w:pStyle w:val="0"/>
                    <w:jc w:val="center"/>
                    <w:rPr>
                      <w:rFonts w:hint="default"/>
                    </w:rPr>
                  </w:pPr>
                  <w:r>
                    <w:rPr>
                      <w:rFonts w:hint="eastAsia"/>
                    </w:rPr>
                    <w:t>36%</w:t>
                  </w:r>
                </w:p>
              </w:tc>
              <w:tc>
                <w:tcPr>
                  <w:tcW w:w="1108" w:type="dxa"/>
                  <w:tcMar>
                    <w:top w:w="28" w:type="dxa"/>
                    <w:left w:w="28" w:type="dxa"/>
                    <w:bottom w:w="28" w:type="dxa"/>
                    <w:right w:w="28" w:type="dxa"/>
                  </w:tcMar>
                  <w:vAlign w:val="top"/>
                </w:tcPr>
                <w:p>
                  <w:pPr>
                    <w:pStyle w:val="0"/>
                    <w:jc w:val="center"/>
                    <w:rPr>
                      <w:rFonts w:hint="default"/>
                    </w:rPr>
                  </w:pPr>
                  <w:r>
                    <w:rPr>
                      <w:rFonts w:hint="eastAsia"/>
                    </w:rPr>
                    <w:t>38%</w:t>
                  </w:r>
                </w:p>
              </w:tc>
              <w:tc>
                <w:tcPr>
                  <w:tcW w:w="1109" w:type="dxa"/>
                  <w:tcMar>
                    <w:top w:w="28" w:type="dxa"/>
                    <w:left w:w="28" w:type="dxa"/>
                    <w:bottom w:w="28" w:type="dxa"/>
                    <w:right w:w="28" w:type="dxa"/>
                  </w:tcMar>
                  <w:vAlign w:val="top"/>
                </w:tcPr>
                <w:p>
                  <w:pPr>
                    <w:pStyle w:val="0"/>
                    <w:jc w:val="center"/>
                    <w:rPr>
                      <w:rFonts w:hint="default"/>
                    </w:rPr>
                  </w:pPr>
                  <w:r>
                    <w:rPr>
                      <w:rFonts w:hint="eastAsia"/>
                    </w:rPr>
                    <w:t>40%</w:t>
                  </w:r>
                </w:p>
              </w:tc>
              <w:tc>
                <w:tcPr>
                  <w:tcW w:w="1109" w:type="dxa"/>
                  <w:tcMar>
                    <w:top w:w="28" w:type="dxa"/>
                    <w:left w:w="28" w:type="dxa"/>
                    <w:bottom w:w="28" w:type="dxa"/>
                    <w:right w:w="28" w:type="dxa"/>
                  </w:tcMar>
                  <w:vAlign w:val="top"/>
                </w:tcPr>
                <w:p>
                  <w:pPr>
                    <w:pStyle w:val="0"/>
                    <w:jc w:val="center"/>
                    <w:rPr>
                      <w:rFonts w:hint="default"/>
                    </w:rPr>
                  </w:pPr>
                  <w:r>
                    <w:rPr>
                      <w:rFonts w:hint="eastAsia"/>
                    </w:rPr>
                    <w:t>42%</w:t>
                  </w:r>
                </w:p>
              </w:tc>
              <w:tc>
                <w:tcPr>
                  <w:tcW w:w="1109" w:type="dxa"/>
                  <w:tcMar>
                    <w:top w:w="28" w:type="dxa"/>
                    <w:left w:w="28" w:type="dxa"/>
                    <w:bottom w:w="28" w:type="dxa"/>
                    <w:right w:w="28" w:type="dxa"/>
                  </w:tcMar>
                  <w:vAlign w:val="top"/>
                </w:tcPr>
                <w:p>
                  <w:pPr>
                    <w:pStyle w:val="0"/>
                    <w:jc w:val="center"/>
                    <w:rPr>
                      <w:rFonts w:hint="default"/>
                    </w:rPr>
                  </w:pPr>
                  <w:r>
                    <w:rPr>
                      <w:rFonts w:hint="eastAsia"/>
                    </w:rPr>
                    <w:t>44%</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rPr>
      </w:pPr>
    </w:p>
    <w:p>
      <w:pPr>
        <w:pStyle w:val="0"/>
        <w:rPr>
          <w:rFonts w:hint="default"/>
        </w:rPr>
      </w:pPr>
      <w:r>
        <w:rPr>
          <w:rFonts w:hint="default"/>
        </w:rPr>
        <w:br w:type="page"/>
      </w:r>
    </w:p>
    <w:p>
      <w:pPr>
        <w:pStyle w:val="3"/>
        <w:rPr>
          <w:rFonts w:hint="default"/>
        </w:rPr>
      </w:pPr>
      <w:bookmarkStart w:id="207" w:name="_Toc152851367"/>
      <w:bookmarkStart w:id="208" w:name="_Toc162548726"/>
      <w:r>
        <w:rPr>
          <w:rFonts w:hint="eastAsia"/>
        </w:rPr>
        <w:t>生活習慣病発症予防・保健指導</w:t>
      </w:r>
      <w:bookmarkEnd w:id="207"/>
      <w:bookmarkEnd w:id="208"/>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894"/>
        <w:gridCol w:w="1054"/>
        <w:gridCol w:w="2786"/>
        <w:gridCol w:w="4641"/>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2</w:t>
            </w:r>
            <w:r>
              <w:rPr>
                <w:rFonts w:hint="eastAsia"/>
                <w:b w:val="1"/>
                <w:color w:val="000000"/>
                <w:sz w:val="20"/>
              </w:rPr>
              <w:t>期計画における取組と評価</w:t>
            </w:r>
          </w:p>
        </w:tc>
      </w:tr>
      <w:tr>
        <w:trPr>
          <w:trHeight w:val="20"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目標分類</w:t>
            </w:r>
          </w:p>
        </w:tc>
        <w:tc>
          <w:tcPr>
            <w:tcW w:w="56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評価</w:t>
            </w:r>
          </w:p>
        </w:tc>
        <w:tc>
          <w:tcPr>
            <w:tcW w:w="3961" w:type="pct"/>
            <w:gridSpan w:val="2"/>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生活習慣病発症予防・保健指導に関連するデータヘルス計画の目標</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中期</w:t>
            </w:r>
          </w:p>
        </w:tc>
        <w:tc>
          <w:tcPr>
            <w:tcW w:w="562" w:type="pct"/>
            <w:tcMar>
              <w:top w:w="28" w:type="dxa"/>
              <w:left w:w="28" w:type="dxa"/>
              <w:bottom w:w="28" w:type="dxa"/>
              <w:right w:w="28" w:type="dxa"/>
            </w:tcMar>
            <w:vAlign w:val="center"/>
          </w:tcPr>
          <w:p>
            <w:pPr>
              <w:pStyle w:val="0"/>
              <w:jc w:val="center"/>
              <w:rPr>
                <w:rFonts w:hint="default"/>
              </w:rPr>
            </w:pPr>
            <w:r>
              <w:rPr>
                <w:rFonts w:hint="eastAsia"/>
              </w:rPr>
              <w:t>E</w:t>
            </w:r>
          </w:p>
        </w:tc>
        <w:tc>
          <w:tcPr>
            <w:tcW w:w="3961" w:type="pct"/>
            <w:gridSpan w:val="2"/>
            <w:tcMar>
              <w:top w:w="28" w:type="dxa"/>
              <w:left w:w="28" w:type="dxa"/>
              <w:bottom w:w="28" w:type="dxa"/>
              <w:right w:w="28" w:type="dxa"/>
            </w:tcMar>
            <w:vAlign w:val="center"/>
          </w:tcPr>
          <w:p>
            <w:pPr>
              <w:pStyle w:val="0"/>
              <w:rPr>
                <w:rFonts w:hint="default"/>
              </w:rPr>
            </w:pPr>
            <w:r>
              <w:rPr>
                <w:rFonts w:hint="eastAsia"/>
                <w:color w:val="191F2B"/>
              </w:rPr>
              <w:t>メタボリックシンドローム（内臓脂肪症候群）の予防と改善</w:t>
            </w:r>
          </w:p>
        </w:tc>
      </w:tr>
      <w:tr>
        <w:trPr>
          <w:trHeight w:val="24"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事業評価</w:t>
            </w:r>
          </w:p>
        </w:tc>
        <w:tc>
          <w:tcPr>
            <w:tcW w:w="562" w:type="pct"/>
            <w:shd w:val="clear" w:color="auto" w:fill="EFEFEF"/>
            <w:tcMar>
              <w:top w:w="28" w:type="dxa"/>
              <w:left w:w="28" w:type="dxa"/>
              <w:bottom w:w="28" w:type="dxa"/>
              <w:right w:w="28" w:type="dxa"/>
            </w:tcMar>
            <w:vAlign w:val="center"/>
          </w:tcPr>
          <w:p>
            <w:pPr>
              <w:pStyle w:val="0"/>
              <w:jc w:val="center"/>
              <w:rPr>
                <w:rFonts w:hint="default"/>
                <w:b w:val="1"/>
                <w:color w:val="000000"/>
              </w:rPr>
            </w:pPr>
            <w:r>
              <w:rPr>
                <w:rFonts w:hint="eastAsia"/>
                <w:b w:val="1"/>
                <w:color w:val="000000"/>
              </w:rPr>
              <w:t>事業</w:t>
            </w:r>
          </w:p>
          <w:p>
            <w:pPr>
              <w:pStyle w:val="0"/>
              <w:jc w:val="center"/>
              <w:rPr>
                <w:rFonts w:hint="default"/>
              </w:rPr>
            </w:pPr>
            <w:r>
              <w:rPr>
                <w:rFonts w:hint="eastAsia"/>
                <w:b w:val="1"/>
                <w:color w:val="000000"/>
              </w:rPr>
              <w:t>アウトカム</w:t>
            </w:r>
          </w:p>
        </w:tc>
        <w:tc>
          <w:tcPr>
            <w:tcW w:w="1486"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7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4"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B</w:t>
            </w:r>
          </w:p>
        </w:tc>
        <w:tc>
          <w:tcPr>
            <w:tcW w:w="562" w:type="pct"/>
            <w:tcMar>
              <w:top w:w="28" w:type="dxa"/>
              <w:left w:w="28" w:type="dxa"/>
              <w:bottom w:w="28" w:type="dxa"/>
              <w:right w:w="28" w:type="dxa"/>
            </w:tcMar>
            <w:vAlign w:val="center"/>
          </w:tcPr>
          <w:p>
            <w:pPr>
              <w:pStyle w:val="0"/>
              <w:snapToGrid w:val="0"/>
              <w:jc w:val="both"/>
              <w:rPr>
                <w:rFonts w:hint="default"/>
              </w:rPr>
            </w:pPr>
            <w:r>
              <w:rPr>
                <w:rFonts w:hint="eastAsia"/>
              </w:rPr>
              <w:t>メタボ該当者の割合</w:t>
            </w:r>
          </w:p>
        </w:tc>
        <w:tc>
          <w:tcPr>
            <w:tcW w:w="1486" w:type="pct"/>
            <w:tcMar>
              <w:top w:w="28" w:type="dxa"/>
              <w:left w:w="28" w:type="dxa"/>
              <w:bottom w:w="28" w:type="dxa"/>
              <w:right w:w="28" w:type="dxa"/>
            </w:tcMar>
            <w:vAlign w:val="center"/>
          </w:tcPr>
          <w:p>
            <w:pPr>
              <w:pStyle w:val="0"/>
              <w:jc w:val="both"/>
              <w:rPr>
                <w:rFonts w:hint="default"/>
              </w:rPr>
            </w:pPr>
            <w:r>
              <w:rPr>
                <w:rFonts w:hint="eastAsia"/>
              </w:rPr>
              <w:t>特定保健指導</w:t>
            </w:r>
          </w:p>
        </w:tc>
        <w:tc>
          <w:tcPr>
            <w:tcW w:w="2475" w:type="pct"/>
            <w:tcMar>
              <w:top w:w="28" w:type="dxa"/>
              <w:left w:w="28" w:type="dxa"/>
              <w:bottom w:w="28" w:type="dxa"/>
              <w:right w:w="28" w:type="dxa"/>
            </w:tcMar>
            <w:vAlign w:val="center"/>
          </w:tcPr>
          <w:p>
            <w:pPr>
              <w:pStyle w:val="0"/>
              <w:tabs>
                <w:tab w:val="left" w:leader="none" w:pos="847"/>
              </w:tabs>
              <w:snapToGrid w:val="0"/>
              <w:jc w:val="both"/>
              <w:rPr>
                <w:rFonts w:hint="default"/>
              </w:rPr>
            </w:pPr>
            <w:r>
              <w:rPr>
                <w:rFonts w:hint="eastAsia"/>
                <w:color w:val="191F2B"/>
              </w:rPr>
              <w:t>対象者が健診結果から自らの健康状態を把握し、生活習慣改善のための行動目標を自ら設定・実施できるよう、医師、保健師等による個々人の特性やリスクに配慮した支援を行う。</w:t>
            </w:r>
            <w:r>
              <w:rPr>
                <w:rFonts w:hint="eastAsia"/>
                <w:color w:val="191F2B"/>
              </w:rPr>
              <w:br w:type="textWrapping" w:clear="none"/>
            </w:r>
            <w:r>
              <w:rPr>
                <w:rFonts w:hint="eastAsia"/>
                <w:color w:val="191F2B"/>
              </w:rPr>
              <w:t>特定保健指導対象者の選定方法により「動機付け支援」「積極的支援」に該当した方に対し実施する。</w:t>
            </w:r>
          </w:p>
        </w:tc>
      </w:tr>
    </w:tbl>
    <w:p>
      <w:pPr>
        <w:pStyle w:val="0"/>
        <w:jc w:val="center"/>
        <w:rPr>
          <w:rFonts w:hint="default"/>
          <w:b w:val="1"/>
          <w:color w:val="1D1C1D"/>
          <w:sz w:val="18"/>
        </w:rPr>
      </w:pPr>
      <w:r>
        <w:rPr>
          <w:rFonts w:hint="default"/>
          <w:b w:val="1"/>
          <w:color w:val="1D1C1D"/>
          <w:sz w:val="18"/>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9375"/>
      </w:tblGrid>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w:t>
            </w:r>
            <w:r>
              <w:rPr>
                <w:rFonts w:hint="default"/>
                <w:b w:val="1"/>
                <w:color w:val="000000"/>
                <w:sz w:val="20"/>
              </w:rPr>
              <w:t>生活習慣病発症予防・保健指導</w:t>
            </w:r>
            <w:r>
              <w:rPr>
                <w:rFonts w:hint="eastAsia"/>
                <w:b w:val="1"/>
                <w:color w:val="000000"/>
                <w:sz w:val="20"/>
              </w:rPr>
              <w:t>に関連する健康課題</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sz w:val="18"/>
              </w:rPr>
            </w:pPr>
            <w:r>
              <w:rPr>
                <w:rFonts w:hint="eastAsia"/>
                <w:sz w:val="16"/>
              </w:rPr>
              <w:t>#2</w:t>
            </w:r>
            <w:r>
              <w:rPr>
                <w:rFonts w:hint="eastAsia"/>
                <w:sz w:val="16"/>
              </w:rPr>
              <w:t>　メタボ該当者・予備群該当者の悪化を防ぎ、減少させることを目的に、特定保健指導実施率の維持・向上が必要。</w:t>
            </w:r>
          </w:p>
        </w:tc>
      </w:tr>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期計画における生活習慣病発症予防・保健指導に関連するデータヘルス計画の目標</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sz w:val="16"/>
              </w:rPr>
            </w:pPr>
            <w:r>
              <w:rPr>
                <w:rFonts w:hint="eastAsia"/>
                <w:sz w:val="16"/>
              </w:rPr>
              <w:t>特定健診受診者の内、</w:t>
            </w:r>
          </w:p>
          <w:p>
            <w:pPr>
              <w:pStyle w:val="59"/>
              <w:snapToGrid w:val="0"/>
              <w:rPr>
                <w:rFonts w:hint="default"/>
                <w:sz w:val="16"/>
              </w:rPr>
            </w:pPr>
            <w:r>
              <w:rPr>
                <w:rFonts w:hint="eastAsia"/>
                <w:sz w:val="16"/>
              </w:rPr>
              <w:t>メタボ該当者の割合の減少</w:t>
            </w:r>
          </w:p>
          <w:p>
            <w:pPr>
              <w:pStyle w:val="59"/>
              <w:snapToGrid w:val="0"/>
              <w:rPr>
                <w:rFonts w:hint="default"/>
                <w:sz w:val="16"/>
              </w:rPr>
            </w:pPr>
            <w:r>
              <w:rPr>
                <w:rFonts w:hint="eastAsia"/>
                <w:sz w:val="16"/>
              </w:rPr>
              <w:t>メタボ予備群該当者の割合の減少</w:t>
            </w:r>
          </w:p>
          <w:p>
            <w:pPr>
              <w:pStyle w:val="59"/>
              <w:rPr>
                <w:rFonts w:hint="default"/>
              </w:rPr>
            </w:pPr>
            <w:r>
              <w:rPr>
                <w:rFonts w:hint="eastAsia"/>
                <w:sz w:val="16"/>
              </w:rPr>
              <w:t>特定保健指導実施率の上昇</w:t>
            </w:r>
          </w:p>
        </w:tc>
      </w:tr>
    </w:tbl>
    <w:p>
      <w:pPr>
        <w:pStyle w:val="0"/>
        <w:jc w:val="center"/>
        <w:rPr>
          <w:rFonts w:hint="default"/>
          <w:b w:val="1"/>
          <w:color w:val="1D1C1D"/>
          <w:sz w:val="18"/>
        </w:rPr>
      </w:pPr>
      <w:r>
        <w:rPr>
          <w:rFonts w:hint="default"/>
          <w:b w:val="1"/>
          <w:color w:val="1D1C1D"/>
          <w:sz w:val="18"/>
        </w:rPr>
        <w:t>▼</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98"/>
        <w:gridCol w:w="1108"/>
        <w:gridCol w:w="2109"/>
        <w:gridCol w:w="4560"/>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期計画における生活習慣病発症予防・保健指導に関連する保健事業</w:t>
            </w:r>
          </w:p>
        </w:tc>
      </w:tr>
      <w:tr>
        <w:trPr>
          <w:trHeight w:val="20" w:hRule="atLeast"/>
        </w:trPr>
        <w:tc>
          <w:tcPr>
            <w:tcW w:w="5000" w:type="pct"/>
            <w:gridSpan w:val="4"/>
            <w:shd w:val="clear" w:color="auto" w:fill="EFEFEF"/>
            <w:tcMar>
              <w:top w:w="28" w:type="dxa"/>
              <w:left w:w="28" w:type="dxa"/>
              <w:bottom w:w="28" w:type="dxa"/>
              <w:right w:w="28" w:type="dxa"/>
            </w:tcMar>
            <w:vAlign w:val="center"/>
          </w:tcPr>
          <w:p>
            <w:pPr>
              <w:pStyle w:val="0"/>
              <w:rPr>
                <w:rFonts w:hint="default"/>
              </w:rPr>
            </w:pPr>
            <w:r>
              <w:rPr>
                <w:rFonts w:hint="eastAsia"/>
                <w:b w:val="1"/>
                <w:color w:val="000000"/>
              </w:rPr>
              <w:t>保健事業の方向性</w:t>
            </w:r>
          </w:p>
        </w:tc>
      </w:tr>
      <w:tr>
        <w:tblPrEx>
          <w:jc w:val="left"/>
        </w:tblPrEx>
        <w:trPr>
          <w:trHeight w:val="20" w:hRule="atLeast"/>
        </w:trPr>
        <w:tc>
          <w:tcPr>
            <w:tcW w:w="5000" w:type="pct"/>
            <w:gridSpan w:val="4"/>
            <w:tcMar>
              <w:top w:w="28" w:type="dxa"/>
              <w:left w:w="28" w:type="dxa"/>
              <w:bottom w:w="28" w:type="dxa"/>
              <w:right w:w="28" w:type="dxa"/>
            </w:tcMar>
            <w:vAlign w:val="center"/>
          </w:tcPr>
          <w:p>
            <w:pPr>
              <w:pStyle w:val="0"/>
              <w:rPr>
                <w:rFonts w:hint="default"/>
              </w:rPr>
            </w:pPr>
            <w:r>
              <w:rPr>
                <w:rFonts w:hint="default"/>
              </w:rPr>
              <w:t>第</w:t>
            </w:r>
            <w:r>
              <w:rPr>
                <w:rFonts w:hint="default"/>
              </w:rPr>
              <w:t>2</w:t>
            </w:r>
            <w:r>
              <w:rPr>
                <w:rFonts w:hint="default"/>
              </w:rPr>
              <w:t>期計画期間で実施していた事業では</w:t>
            </w:r>
            <w:r>
              <w:rPr>
                <w:rFonts w:hint="eastAsia"/>
              </w:rPr>
              <w:t>、特定保健指導実施率の向上を</w:t>
            </w:r>
            <w:r>
              <w:rPr>
                <w:rFonts w:hint="default"/>
              </w:rPr>
              <w:t>目標に実施し、</w:t>
            </w:r>
            <w:r>
              <w:rPr>
                <w:rFonts w:hint="eastAsia"/>
              </w:rPr>
              <w:t>年々上昇し、県と比較し</w:t>
            </w:r>
            <w:r>
              <w:rPr>
                <w:rFonts w:hint="default"/>
              </w:rPr>
              <w:t>目標を達成している。</w:t>
            </w:r>
          </w:p>
          <w:p>
            <w:pPr>
              <w:pStyle w:val="0"/>
              <w:rPr>
                <w:rFonts w:hint="default"/>
              </w:rPr>
            </w:pPr>
            <w:r>
              <w:rPr>
                <w:rFonts w:hint="default"/>
              </w:rPr>
              <w:t>第</w:t>
            </w:r>
            <w:r>
              <w:rPr>
                <w:rFonts w:hint="default"/>
              </w:rPr>
              <w:t>3</w:t>
            </w:r>
            <w:r>
              <w:rPr>
                <w:rFonts w:hint="default"/>
              </w:rPr>
              <w:t>期計画においては引き続き</w:t>
            </w:r>
            <w:r>
              <w:rPr>
                <w:rFonts w:hint="eastAsia"/>
              </w:rPr>
              <w:t>、メタボ該当者の割合の減少を目標としつつ、特定保健指導実施率のさらなる向上を目指し、さらには生活習慣病の発症･悪化を抑制する。</w:t>
            </w:r>
          </w:p>
        </w:tc>
      </w:tr>
      <w:tr>
        <w:trPr>
          <w:trHeight w:val="20" w:hRule="atLeast"/>
        </w:trPr>
        <w:tc>
          <w:tcPr>
            <w:tcW w:w="85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健康課題</w:t>
            </w:r>
          </w:p>
        </w:tc>
        <w:tc>
          <w:tcPr>
            <w:tcW w:w="591"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継続</w:t>
            </w:r>
            <w:r>
              <w:rPr>
                <w:rFonts w:hint="eastAsia"/>
                <w:b w:val="1"/>
                <w:color w:val="000000"/>
              </w:rPr>
              <w:t>/</w:t>
            </w:r>
            <w:r>
              <w:rPr>
                <w:rFonts w:hint="eastAsia"/>
                <w:b w:val="1"/>
                <w:color w:val="000000"/>
              </w:rPr>
              <w:t>新規</w:t>
            </w:r>
          </w:p>
        </w:tc>
        <w:tc>
          <w:tcPr>
            <w:tcW w:w="112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3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0" w:hRule="atLeast"/>
        </w:trPr>
        <w:tc>
          <w:tcPr>
            <w:tcW w:w="852"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w:t>
            </w:r>
            <w:r>
              <w:rPr>
                <w:rFonts w:hint="default"/>
              </w:rPr>
              <w:t>2</w:t>
            </w:r>
          </w:p>
        </w:tc>
        <w:tc>
          <w:tcPr>
            <w:tcW w:w="591"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継続</w:t>
            </w:r>
          </w:p>
        </w:tc>
        <w:tc>
          <w:tcPr>
            <w:tcW w:w="1125"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特定保健指導</w:t>
            </w:r>
          </w:p>
        </w:tc>
        <w:tc>
          <w:tcPr>
            <w:tcW w:w="2432" w:type="pct"/>
            <w:shd w:val="clear" w:color="auto" w:fill="auto"/>
            <w:tcMar>
              <w:top w:w="28" w:type="dxa"/>
              <w:left w:w="28" w:type="dxa"/>
              <w:bottom w:w="28" w:type="dxa"/>
              <w:right w:w="28" w:type="dxa"/>
            </w:tcMar>
            <w:vAlign w:val="center"/>
          </w:tcPr>
          <w:p>
            <w:pPr>
              <w:pStyle w:val="0"/>
              <w:jc w:val="center"/>
              <w:rPr>
                <w:rFonts w:hint="default"/>
                <w:b w:val="1"/>
                <w:color w:val="000000"/>
              </w:rPr>
            </w:pPr>
            <w:r>
              <w:rPr>
                <w:rFonts w:hint="eastAsia"/>
              </w:rPr>
              <w:t>保健指導基準により該当した者に通知および電話勧奨を行い、内臓脂肪型肥満に着目し、その要因となっている生活習慣を改善するための保健指導を電話または面接（</w:t>
            </w:r>
            <w:r>
              <w:rPr>
                <w:rFonts w:hint="eastAsia"/>
              </w:rPr>
              <w:t>ICT</w:t>
            </w:r>
            <w:r>
              <w:rPr>
                <w:rFonts w:hint="eastAsia"/>
              </w:rPr>
              <w:t>を含む）で行い、糖尿病等の生活習慣病の有病者・予備群を減少させる。</w:t>
            </w:r>
          </w:p>
        </w:tc>
      </w:tr>
    </w:tbl>
    <w:p>
      <w:pPr>
        <w:pStyle w:val="0"/>
        <w:rPr>
          <w:rFonts w:hint="default"/>
        </w:rPr>
      </w:pPr>
      <w:r>
        <w:rPr>
          <w:rFonts w:hint="default"/>
        </w:rPr>
        <w:br w:type="page"/>
      </w:r>
    </w:p>
    <w:p>
      <w:pPr>
        <w:pStyle w:val="4"/>
        <w:rPr>
          <w:rFonts w:hint="default"/>
        </w:rPr>
      </w:pPr>
      <w:r>
        <w:rPr>
          <w:rFonts w:hint="eastAsia"/>
        </w:rPr>
        <w:t>特定保健指導</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color w:val="191F2B"/>
              </w:rPr>
              <w:t>メタボリックシンドローム（内臓脂肪症候群）の予防と改善</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color w:val="191F2B"/>
              </w:rPr>
              <w:t>対象者が健診結果から自らの健康状態を把握し、生活習慣改善のための行動目標を自ら設定・実施できるよう、医師、保健師等による個々人の特性やリスクに配慮した支援を行います。</w:t>
            </w:r>
            <w:r>
              <w:rPr>
                <w:rFonts w:hint="eastAsia"/>
                <w:color w:val="191F2B"/>
              </w:rPr>
              <w:br w:type="textWrapping" w:clear="none"/>
            </w:r>
            <w:r>
              <w:rPr>
                <w:rFonts w:hint="eastAsia"/>
                <w:color w:val="191F2B"/>
              </w:rPr>
              <w:t>特定保健指導対象者の選定方法により「動機付け支援」「積極的支援」に該当した方に対し実施されます。</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color w:val="191F2B"/>
              </w:rPr>
              <w:t>特定保健指導対象者の選定方法により「動機付け支援」「積極的支援」に該当した方</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集団健診時の初回面接同時実施</w:t>
            </w:r>
          </w:p>
          <w:p>
            <w:pPr>
              <w:pStyle w:val="0"/>
              <w:rPr>
                <w:rFonts w:hint="default"/>
              </w:rPr>
            </w:pPr>
            <w:r>
              <w:rPr>
                <w:rFonts w:hint="eastAsia"/>
              </w:rPr>
              <w:t>該当者への参加勧奨資材の工夫</w:t>
            </w:r>
            <w:r>
              <w:rPr>
                <w:rFonts w:hint="default"/>
              </w:rPr>
              <w:t>(</w:t>
            </w:r>
            <w:r>
              <w:rPr>
                <w:rFonts w:hint="default"/>
              </w:rPr>
              <w:t>見直し</w:t>
            </w:r>
            <w:r>
              <w:rPr>
                <w:rFonts w:hint="default"/>
              </w:rPr>
              <w:t>)</w:t>
            </w:r>
          </w:p>
          <w:p>
            <w:pPr>
              <w:pStyle w:val="0"/>
              <w:rPr>
                <w:rFonts w:hint="default"/>
              </w:rPr>
            </w:pPr>
            <w:r>
              <w:rPr>
                <w:rFonts w:hint="eastAsia"/>
              </w:rPr>
              <w:t>通知後の電話勧奨の実施</w:t>
            </w:r>
          </w:p>
          <w:p>
            <w:pPr>
              <w:pStyle w:val="0"/>
              <w:rPr>
                <w:rFonts w:hint="default"/>
              </w:rPr>
            </w:pPr>
            <w:r>
              <w:rPr>
                <w:rFonts w:hint="eastAsia"/>
              </w:rPr>
              <w:t>参加者アンケートの実施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特定保健指導実施率：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color w:val="FF0000"/>
                    </w:rPr>
                  </w:pPr>
                  <w:r>
                    <w:rPr>
                      <w:rFonts w:hint="eastAsia"/>
                    </w:rPr>
                    <w:t>27.0%</w:t>
                  </w:r>
                </w:p>
              </w:tc>
              <w:tc>
                <w:tcPr>
                  <w:tcW w:w="1108" w:type="dxa"/>
                  <w:tcMar>
                    <w:top w:w="28" w:type="dxa"/>
                    <w:left w:w="28" w:type="dxa"/>
                    <w:bottom w:w="28" w:type="dxa"/>
                    <w:right w:w="28" w:type="dxa"/>
                  </w:tcMar>
                  <w:vAlign w:val="top"/>
                </w:tcPr>
                <w:p>
                  <w:pPr>
                    <w:pStyle w:val="0"/>
                    <w:jc w:val="center"/>
                    <w:rPr>
                      <w:rFonts w:hint="default"/>
                    </w:rPr>
                  </w:pPr>
                  <w:r>
                    <w:rPr>
                      <w:rFonts w:hint="eastAsia"/>
                    </w:rPr>
                    <w:t>35%</w:t>
                  </w:r>
                </w:p>
              </w:tc>
              <w:tc>
                <w:tcPr>
                  <w:tcW w:w="1108" w:type="dxa"/>
                  <w:tcMar>
                    <w:top w:w="28" w:type="dxa"/>
                    <w:left w:w="28" w:type="dxa"/>
                    <w:bottom w:w="28" w:type="dxa"/>
                    <w:right w:w="28" w:type="dxa"/>
                  </w:tcMar>
                  <w:vAlign w:val="top"/>
                </w:tcPr>
                <w:p>
                  <w:pPr>
                    <w:pStyle w:val="0"/>
                    <w:jc w:val="center"/>
                    <w:rPr>
                      <w:rFonts w:hint="default"/>
                    </w:rPr>
                  </w:pPr>
                  <w:r>
                    <w:rPr>
                      <w:rFonts w:hint="eastAsia"/>
                    </w:rPr>
                    <w:t>38%</w:t>
                  </w:r>
                </w:p>
              </w:tc>
              <w:tc>
                <w:tcPr>
                  <w:tcW w:w="1108" w:type="dxa"/>
                  <w:tcMar>
                    <w:top w:w="28" w:type="dxa"/>
                    <w:left w:w="28" w:type="dxa"/>
                    <w:bottom w:w="28" w:type="dxa"/>
                    <w:right w:w="28" w:type="dxa"/>
                  </w:tcMar>
                  <w:vAlign w:val="top"/>
                </w:tcPr>
                <w:p>
                  <w:pPr>
                    <w:pStyle w:val="0"/>
                    <w:jc w:val="center"/>
                    <w:rPr>
                      <w:rFonts w:hint="default"/>
                    </w:rPr>
                  </w:pPr>
                  <w:r>
                    <w:rPr>
                      <w:rFonts w:hint="eastAsia"/>
                    </w:rPr>
                    <w:t>41%</w:t>
                  </w:r>
                </w:p>
              </w:tc>
              <w:tc>
                <w:tcPr>
                  <w:tcW w:w="1109" w:type="dxa"/>
                  <w:tcMar>
                    <w:top w:w="28" w:type="dxa"/>
                    <w:left w:w="28" w:type="dxa"/>
                    <w:bottom w:w="28" w:type="dxa"/>
                    <w:right w:w="28" w:type="dxa"/>
                  </w:tcMar>
                  <w:vAlign w:val="top"/>
                </w:tcPr>
                <w:p>
                  <w:pPr>
                    <w:pStyle w:val="0"/>
                    <w:jc w:val="center"/>
                    <w:rPr>
                      <w:rFonts w:hint="default"/>
                    </w:rPr>
                  </w:pPr>
                  <w:r>
                    <w:rPr>
                      <w:rFonts w:hint="eastAsia"/>
                    </w:rPr>
                    <w:t>44%</w:t>
                  </w:r>
                </w:p>
              </w:tc>
              <w:tc>
                <w:tcPr>
                  <w:tcW w:w="1109" w:type="dxa"/>
                  <w:tcMar>
                    <w:top w:w="28" w:type="dxa"/>
                    <w:left w:w="28" w:type="dxa"/>
                    <w:bottom w:w="28" w:type="dxa"/>
                    <w:right w:w="28" w:type="dxa"/>
                  </w:tcMar>
                  <w:vAlign w:val="top"/>
                </w:tcPr>
                <w:p>
                  <w:pPr>
                    <w:pStyle w:val="0"/>
                    <w:jc w:val="center"/>
                    <w:rPr>
                      <w:rFonts w:hint="default"/>
                    </w:rPr>
                  </w:pPr>
                  <w:r>
                    <w:rPr>
                      <w:rFonts w:hint="eastAsia"/>
                    </w:rPr>
                    <w:t>47%</w:t>
                  </w:r>
                </w:p>
              </w:tc>
              <w:tc>
                <w:tcPr>
                  <w:tcW w:w="1109" w:type="dxa"/>
                  <w:tcMar>
                    <w:top w:w="28" w:type="dxa"/>
                    <w:left w:w="28" w:type="dxa"/>
                    <w:bottom w:w="28" w:type="dxa"/>
                    <w:right w:w="28" w:type="dxa"/>
                  </w:tcMar>
                  <w:vAlign w:val="top"/>
                </w:tcPr>
                <w:p>
                  <w:pPr>
                    <w:pStyle w:val="0"/>
                    <w:jc w:val="center"/>
                    <w:rPr>
                      <w:rFonts w:hint="default"/>
                      <w:color w:val="FF0000"/>
                    </w:rPr>
                  </w:pPr>
                  <w:r>
                    <w:rPr>
                      <w:rFonts w:hint="eastAsia"/>
                    </w:rPr>
                    <w:t>50%</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メタボ該当者の割合：</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19%</w:t>
                  </w:r>
                </w:p>
              </w:tc>
              <w:tc>
                <w:tcPr>
                  <w:tcW w:w="1108" w:type="dxa"/>
                  <w:tcMar>
                    <w:top w:w="28" w:type="dxa"/>
                    <w:left w:w="28" w:type="dxa"/>
                    <w:bottom w:w="28" w:type="dxa"/>
                    <w:right w:w="28" w:type="dxa"/>
                  </w:tcMar>
                  <w:vAlign w:val="top"/>
                </w:tcPr>
                <w:p>
                  <w:pPr>
                    <w:pStyle w:val="0"/>
                    <w:jc w:val="center"/>
                    <w:rPr>
                      <w:rFonts w:hint="default"/>
                    </w:rPr>
                  </w:pPr>
                  <w:r>
                    <w:rPr>
                      <w:rFonts w:hint="eastAsia"/>
                    </w:rPr>
                    <w:t>18%</w:t>
                  </w:r>
                </w:p>
              </w:tc>
              <w:tc>
                <w:tcPr>
                  <w:tcW w:w="1108" w:type="dxa"/>
                  <w:tcMar>
                    <w:top w:w="28" w:type="dxa"/>
                    <w:left w:w="28" w:type="dxa"/>
                    <w:bottom w:w="28" w:type="dxa"/>
                    <w:right w:w="28" w:type="dxa"/>
                  </w:tcMar>
                  <w:vAlign w:val="top"/>
                </w:tcPr>
                <w:p>
                  <w:pPr>
                    <w:pStyle w:val="0"/>
                    <w:jc w:val="center"/>
                    <w:rPr>
                      <w:rFonts w:hint="default"/>
                    </w:rPr>
                  </w:pPr>
                  <w:r>
                    <w:rPr>
                      <w:rFonts w:hint="eastAsia"/>
                    </w:rPr>
                    <w:t>17%</w:t>
                  </w:r>
                </w:p>
              </w:tc>
              <w:tc>
                <w:tcPr>
                  <w:tcW w:w="1108" w:type="dxa"/>
                  <w:tcMar>
                    <w:top w:w="28" w:type="dxa"/>
                    <w:left w:w="28" w:type="dxa"/>
                    <w:bottom w:w="28" w:type="dxa"/>
                    <w:right w:w="28" w:type="dxa"/>
                  </w:tcMar>
                  <w:vAlign w:val="top"/>
                </w:tcPr>
                <w:p>
                  <w:pPr>
                    <w:pStyle w:val="0"/>
                    <w:jc w:val="center"/>
                    <w:rPr>
                      <w:rFonts w:hint="default"/>
                    </w:rPr>
                  </w:pPr>
                  <w:r>
                    <w:rPr>
                      <w:rFonts w:hint="eastAsia"/>
                    </w:rPr>
                    <w:t>16%</w:t>
                  </w:r>
                </w:p>
              </w:tc>
              <w:tc>
                <w:tcPr>
                  <w:tcW w:w="1109" w:type="dxa"/>
                  <w:tcMar>
                    <w:top w:w="28" w:type="dxa"/>
                    <w:left w:w="28" w:type="dxa"/>
                    <w:bottom w:w="28" w:type="dxa"/>
                    <w:right w:w="28" w:type="dxa"/>
                  </w:tcMar>
                  <w:vAlign w:val="top"/>
                </w:tcPr>
                <w:p>
                  <w:pPr>
                    <w:pStyle w:val="0"/>
                    <w:jc w:val="center"/>
                    <w:rPr>
                      <w:rFonts w:hint="default"/>
                    </w:rPr>
                  </w:pPr>
                  <w:r>
                    <w:rPr>
                      <w:rFonts w:hint="eastAsia"/>
                    </w:rPr>
                    <w:t>15%</w:t>
                  </w:r>
                </w:p>
              </w:tc>
              <w:tc>
                <w:tcPr>
                  <w:tcW w:w="1109" w:type="dxa"/>
                  <w:tcMar>
                    <w:top w:w="28" w:type="dxa"/>
                    <w:left w:w="28" w:type="dxa"/>
                    <w:bottom w:w="28" w:type="dxa"/>
                    <w:right w:w="28" w:type="dxa"/>
                  </w:tcMar>
                  <w:vAlign w:val="top"/>
                </w:tcPr>
                <w:p>
                  <w:pPr>
                    <w:pStyle w:val="0"/>
                    <w:jc w:val="center"/>
                    <w:rPr>
                      <w:rFonts w:hint="default"/>
                    </w:rPr>
                  </w:pPr>
                  <w:r>
                    <w:rPr>
                      <w:rFonts w:hint="eastAsia"/>
                    </w:rPr>
                    <w:t>14%</w:t>
                  </w:r>
                </w:p>
              </w:tc>
              <w:tc>
                <w:tcPr>
                  <w:tcW w:w="1109" w:type="dxa"/>
                  <w:tcMar>
                    <w:top w:w="28" w:type="dxa"/>
                    <w:left w:w="28" w:type="dxa"/>
                    <w:bottom w:w="28" w:type="dxa"/>
                    <w:right w:w="28" w:type="dxa"/>
                  </w:tcMar>
                  <w:vAlign w:val="top"/>
                </w:tcPr>
                <w:p>
                  <w:pPr>
                    <w:pStyle w:val="0"/>
                    <w:jc w:val="center"/>
                    <w:rPr>
                      <w:rFonts w:hint="default"/>
                    </w:rPr>
                  </w:pPr>
                  <w:r>
                    <w:rPr>
                      <w:rFonts w:hint="eastAsia"/>
                    </w:rPr>
                    <w:t>13%</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p>
        </w:tc>
        <w:tc>
          <w:tcPr>
            <w:tcW w:w="4183" w:type="pct"/>
            <w:tcMar>
              <w:top w:w="28" w:type="dxa"/>
              <w:left w:w="28" w:type="dxa"/>
              <w:bottom w:w="28" w:type="dxa"/>
              <w:right w:w="28" w:type="dxa"/>
            </w:tcMar>
            <w:vAlign w:val="center"/>
          </w:tcPr>
          <w:p>
            <w:pPr>
              <w:pStyle w:val="0"/>
              <w:rPr>
                <w:rFonts w:hint="default"/>
              </w:rPr>
            </w:pPr>
            <w:r>
              <w:rPr>
                <w:rFonts w:hint="eastAsia"/>
              </w:rPr>
              <w:t>メタボ予備群該当者の割合：</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12.5%</w:t>
                  </w:r>
                </w:p>
              </w:tc>
              <w:tc>
                <w:tcPr>
                  <w:tcW w:w="1108" w:type="dxa"/>
                  <w:tcMar>
                    <w:top w:w="28" w:type="dxa"/>
                    <w:left w:w="28" w:type="dxa"/>
                    <w:bottom w:w="28" w:type="dxa"/>
                    <w:right w:w="28" w:type="dxa"/>
                  </w:tcMar>
                  <w:vAlign w:val="top"/>
                </w:tcPr>
                <w:p>
                  <w:pPr>
                    <w:pStyle w:val="0"/>
                    <w:jc w:val="center"/>
                    <w:rPr>
                      <w:rFonts w:hint="default"/>
                    </w:rPr>
                  </w:pPr>
                  <w:r>
                    <w:rPr>
                      <w:rFonts w:hint="eastAsia"/>
                    </w:rPr>
                    <w:t>11%</w:t>
                  </w:r>
                </w:p>
              </w:tc>
              <w:tc>
                <w:tcPr>
                  <w:tcW w:w="1108" w:type="dxa"/>
                  <w:tcMar>
                    <w:top w:w="28" w:type="dxa"/>
                    <w:left w:w="28" w:type="dxa"/>
                    <w:bottom w:w="28" w:type="dxa"/>
                    <w:right w:w="28" w:type="dxa"/>
                  </w:tcMar>
                  <w:vAlign w:val="top"/>
                </w:tcPr>
                <w:p>
                  <w:pPr>
                    <w:pStyle w:val="0"/>
                    <w:jc w:val="center"/>
                    <w:rPr>
                      <w:rFonts w:hint="default"/>
                    </w:rPr>
                  </w:pPr>
                  <w:r>
                    <w:rPr>
                      <w:rFonts w:hint="eastAsia"/>
                    </w:rPr>
                    <w:t>10%</w:t>
                  </w:r>
                </w:p>
              </w:tc>
              <w:tc>
                <w:tcPr>
                  <w:tcW w:w="1108" w:type="dxa"/>
                  <w:tcMar>
                    <w:top w:w="28" w:type="dxa"/>
                    <w:left w:w="28" w:type="dxa"/>
                    <w:bottom w:w="28" w:type="dxa"/>
                    <w:right w:w="28" w:type="dxa"/>
                  </w:tcMar>
                  <w:vAlign w:val="top"/>
                </w:tcPr>
                <w:p>
                  <w:pPr>
                    <w:pStyle w:val="0"/>
                    <w:jc w:val="center"/>
                    <w:rPr>
                      <w:rFonts w:hint="default"/>
                    </w:rPr>
                  </w:pPr>
                  <w:r>
                    <w:rPr>
                      <w:rFonts w:hint="eastAsia"/>
                    </w:rPr>
                    <w:t>9%</w:t>
                  </w:r>
                </w:p>
              </w:tc>
              <w:tc>
                <w:tcPr>
                  <w:tcW w:w="1109" w:type="dxa"/>
                  <w:tcMar>
                    <w:top w:w="28" w:type="dxa"/>
                    <w:left w:w="28" w:type="dxa"/>
                    <w:bottom w:w="28" w:type="dxa"/>
                    <w:right w:w="28" w:type="dxa"/>
                  </w:tcMar>
                  <w:vAlign w:val="top"/>
                </w:tcPr>
                <w:p>
                  <w:pPr>
                    <w:pStyle w:val="0"/>
                    <w:jc w:val="center"/>
                    <w:rPr>
                      <w:rFonts w:hint="default"/>
                    </w:rPr>
                  </w:pPr>
                  <w:r>
                    <w:rPr>
                      <w:rFonts w:hint="eastAsia"/>
                    </w:rPr>
                    <w:t>8%</w:t>
                  </w:r>
                </w:p>
              </w:tc>
              <w:tc>
                <w:tcPr>
                  <w:tcW w:w="1109" w:type="dxa"/>
                  <w:tcMar>
                    <w:top w:w="28" w:type="dxa"/>
                    <w:left w:w="28" w:type="dxa"/>
                    <w:bottom w:w="28" w:type="dxa"/>
                    <w:right w:w="28" w:type="dxa"/>
                  </w:tcMar>
                  <w:vAlign w:val="top"/>
                </w:tcPr>
                <w:p>
                  <w:pPr>
                    <w:pStyle w:val="0"/>
                    <w:jc w:val="center"/>
                    <w:rPr>
                      <w:rFonts w:hint="default"/>
                    </w:rPr>
                  </w:pPr>
                  <w:r>
                    <w:rPr>
                      <w:rFonts w:hint="eastAsia"/>
                    </w:rPr>
                    <w:t>7%</w:t>
                  </w:r>
                </w:p>
              </w:tc>
              <w:tc>
                <w:tcPr>
                  <w:tcW w:w="1109" w:type="dxa"/>
                  <w:tcMar>
                    <w:top w:w="28" w:type="dxa"/>
                    <w:left w:w="28" w:type="dxa"/>
                    <w:bottom w:w="28" w:type="dxa"/>
                    <w:right w:w="28" w:type="dxa"/>
                  </w:tcMar>
                  <w:vAlign w:val="top"/>
                </w:tcPr>
                <w:p>
                  <w:pPr>
                    <w:pStyle w:val="0"/>
                    <w:jc w:val="center"/>
                    <w:rPr>
                      <w:rFonts w:hint="default"/>
                    </w:rPr>
                  </w:pPr>
                  <w:r>
                    <w:rPr>
                      <w:rFonts w:hint="eastAsia"/>
                    </w:rPr>
                    <w:t>6%</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sz w:val="18"/>
        </w:rPr>
      </w:pPr>
    </w:p>
    <w:p>
      <w:pPr>
        <w:pStyle w:val="0"/>
        <w:rPr>
          <w:rFonts w:hint="default"/>
          <w:sz w:val="18"/>
        </w:rPr>
      </w:pPr>
      <w:r>
        <w:rPr>
          <w:rFonts w:hint="default"/>
          <w:sz w:val="18"/>
        </w:rPr>
        <w:br w:type="page"/>
      </w:r>
    </w:p>
    <w:p>
      <w:pPr>
        <w:pStyle w:val="3"/>
        <w:rPr>
          <w:rFonts w:hint="default"/>
        </w:rPr>
      </w:pPr>
      <w:bookmarkStart w:id="209" w:name="_Toc152851369"/>
      <w:bookmarkStart w:id="210" w:name="_Toc162548727"/>
      <w:r>
        <w:rPr>
          <w:rFonts w:hint="eastAsia"/>
        </w:rPr>
        <w:t>健康づくり</w:t>
      </w:r>
      <w:bookmarkEnd w:id="209"/>
      <w:bookmarkEnd w:id="210"/>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894"/>
        <w:gridCol w:w="1054"/>
        <w:gridCol w:w="2786"/>
        <w:gridCol w:w="4641"/>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2</w:t>
            </w:r>
            <w:r>
              <w:rPr>
                <w:rFonts w:hint="eastAsia"/>
                <w:b w:val="1"/>
                <w:color w:val="000000"/>
                <w:sz w:val="20"/>
              </w:rPr>
              <w:t>期計画における取組と評価</w:t>
            </w:r>
          </w:p>
        </w:tc>
      </w:tr>
      <w:tr>
        <w:trPr>
          <w:trHeight w:val="20"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目標分類</w:t>
            </w:r>
          </w:p>
        </w:tc>
        <w:tc>
          <w:tcPr>
            <w:tcW w:w="56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評価</w:t>
            </w:r>
          </w:p>
        </w:tc>
        <w:tc>
          <w:tcPr>
            <w:tcW w:w="3961" w:type="pct"/>
            <w:gridSpan w:val="2"/>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健康づくりに関連するデータヘルス計画の目標</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長期</w:t>
            </w:r>
          </w:p>
        </w:tc>
        <w:tc>
          <w:tcPr>
            <w:tcW w:w="562" w:type="pct"/>
            <w:tcMar>
              <w:top w:w="28" w:type="dxa"/>
              <w:left w:w="28" w:type="dxa"/>
              <w:bottom w:w="28" w:type="dxa"/>
              <w:right w:w="28" w:type="dxa"/>
            </w:tcMar>
            <w:vAlign w:val="center"/>
          </w:tcPr>
          <w:p>
            <w:pPr>
              <w:pStyle w:val="0"/>
              <w:jc w:val="center"/>
              <w:rPr>
                <w:rFonts w:hint="default"/>
              </w:rPr>
            </w:pPr>
            <w:r>
              <w:rPr>
                <w:rFonts w:hint="eastAsia"/>
              </w:rPr>
              <w:t>B</w:t>
            </w:r>
          </w:p>
        </w:tc>
        <w:tc>
          <w:tcPr>
            <w:tcW w:w="3961" w:type="pct"/>
            <w:gridSpan w:val="2"/>
            <w:tcMar>
              <w:top w:w="28" w:type="dxa"/>
              <w:left w:w="28" w:type="dxa"/>
              <w:bottom w:w="28" w:type="dxa"/>
              <w:right w:w="28" w:type="dxa"/>
            </w:tcMar>
            <w:vAlign w:val="center"/>
          </w:tcPr>
          <w:p>
            <w:pPr>
              <w:pStyle w:val="0"/>
              <w:snapToGrid w:val="0"/>
              <w:jc w:val="both"/>
              <w:rPr>
                <w:rFonts w:hint="default"/>
              </w:rPr>
            </w:pPr>
            <w:r>
              <w:rPr>
                <w:rFonts w:hint="eastAsia"/>
                <w:color w:val="191F2B"/>
              </w:rPr>
              <w:t>対象者が教室を通じて、健診を機に自身の生活を振り返り、望ましい健康状態や生活習慣について理解し、行動変容をすることで、生活習慣病の予防や重症化を防ぐ。</w:t>
            </w:r>
          </w:p>
        </w:tc>
      </w:tr>
      <w:tr>
        <w:trPr>
          <w:trHeight w:val="24"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事業評価</w:t>
            </w:r>
          </w:p>
        </w:tc>
        <w:tc>
          <w:tcPr>
            <w:tcW w:w="562" w:type="pct"/>
            <w:shd w:val="clear" w:color="auto" w:fill="EFEFEF"/>
            <w:tcMar>
              <w:top w:w="28" w:type="dxa"/>
              <w:left w:w="28" w:type="dxa"/>
              <w:bottom w:w="28" w:type="dxa"/>
              <w:right w:w="28" w:type="dxa"/>
            </w:tcMar>
            <w:vAlign w:val="center"/>
          </w:tcPr>
          <w:p>
            <w:pPr>
              <w:pStyle w:val="0"/>
              <w:jc w:val="center"/>
              <w:rPr>
                <w:rFonts w:hint="default"/>
                <w:b w:val="1"/>
                <w:color w:val="000000"/>
              </w:rPr>
            </w:pPr>
            <w:r>
              <w:rPr>
                <w:rFonts w:hint="eastAsia"/>
                <w:b w:val="1"/>
                <w:color w:val="000000"/>
              </w:rPr>
              <w:t>事業</w:t>
            </w:r>
          </w:p>
          <w:p>
            <w:pPr>
              <w:pStyle w:val="0"/>
              <w:jc w:val="center"/>
              <w:rPr>
                <w:rFonts w:hint="default"/>
              </w:rPr>
            </w:pPr>
            <w:r>
              <w:rPr>
                <w:rFonts w:hint="eastAsia"/>
                <w:b w:val="1"/>
                <w:color w:val="000000"/>
              </w:rPr>
              <w:t>アウトカム</w:t>
            </w:r>
          </w:p>
        </w:tc>
        <w:tc>
          <w:tcPr>
            <w:tcW w:w="1486"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7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4" w:hRule="atLeast"/>
        </w:trPr>
        <w:tc>
          <w:tcPr>
            <w:tcW w:w="477" w:type="pct"/>
            <w:tcMar>
              <w:top w:w="28" w:type="dxa"/>
              <w:left w:w="28" w:type="dxa"/>
              <w:bottom w:w="28" w:type="dxa"/>
              <w:right w:w="28" w:type="dxa"/>
            </w:tcMar>
            <w:vAlign w:val="center"/>
          </w:tcPr>
          <w:p>
            <w:pPr>
              <w:pStyle w:val="0"/>
              <w:snapToGrid w:val="0"/>
              <w:jc w:val="center"/>
              <w:rPr>
                <w:rFonts w:hint="default"/>
              </w:rPr>
            </w:pPr>
            <w:r>
              <w:rPr>
                <w:rFonts w:hint="eastAsia"/>
              </w:rPr>
              <w:t>B</w:t>
            </w:r>
          </w:p>
        </w:tc>
        <w:tc>
          <w:tcPr>
            <w:tcW w:w="562" w:type="pct"/>
            <w:tcMar>
              <w:top w:w="28" w:type="dxa"/>
              <w:left w:w="28" w:type="dxa"/>
              <w:bottom w:w="28" w:type="dxa"/>
              <w:right w:w="28" w:type="dxa"/>
            </w:tcMar>
            <w:vAlign w:val="center"/>
          </w:tcPr>
          <w:p>
            <w:pPr>
              <w:pStyle w:val="0"/>
              <w:jc w:val="center"/>
              <w:rPr>
                <w:rFonts w:hint="default"/>
              </w:rPr>
            </w:pPr>
            <w:r>
              <w:rPr>
                <w:rFonts w:hint="eastAsia"/>
              </w:rPr>
              <w:t>特定健診受診勧奨対象者率</w:t>
            </w:r>
          </w:p>
        </w:tc>
        <w:tc>
          <w:tcPr>
            <w:tcW w:w="1486" w:type="pct"/>
            <w:tcMar>
              <w:top w:w="28" w:type="dxa"/>
              <w:left w:w="28" w:type="dxa"/>
              <w:bottom w:w="28" w:type="dxa"/>
              <w:right w:w="28" w:type="dxa"/>
            </w:tcMar>
            <w:vAlign w:val="center"/>
          </w:tcPr>
          <w:p>
            <w:pPr>
              <w:pStyle w:val="0"/>
              <w:snapToGrid w:val="0"/>
              <w:jc w:val="both"/>
              <w:rPr>
                <w:rFonts w:hint="default"/>
              </w:rPr>
            </w:pPr>
            <w:r>
              <w:rPr>
                <w:rFonts w:hint="eastAsia"/>
              </w:rPr>
              <w:t>「からだチェンジ･私がかわる！生活習慣病予防教室」</w:t>
            </w:r>
          </w:p>
          <w:p>
            <w:pPr>
              <w:pStyle w:val="0"/>
              <w:jc w:val="both"/>
              <w:rPr>
                <w:rFonts w:hint="default"/>
              </w:rPr>
            </w:pPr>
          </w:p>
        </w:tc>
        <w:tc>
          <w:tcPr>
            <w:tcW w:w="2475" w:type="pct"/>
            <w:tcMar>
              <w:top w:w="28" w:type="dxa"/>
              <w:left w:w="28" w:type="dxa"/>
              <w:bottom w:w="28" w:type="dxa"/>
              <w:right w:w="28" w:type="dxa"/>
            </w:tcMar>
            <w:vAlign w:val="center"/>
          </w:tcPr>
          <w:p>
            <w:pPr>
              <w:pStyle w:val="0"/>
              <w:snapToGrid w:val="0"/>
              <w:jc w:val="both"/>
              <w:rPr>
                <w:rFonts w:hint="default"/>
              </w:rPr>
            </w:pPr>
            <w:r>
              <w:rPr>
                <w:rFonts w:hint="eastAsia"/>
              </w:rPr>
              <w:t>特定健診の結果で血圧･脂質･血糖で基準値を超える数値の方を対象に、行動・食生活の記録票を取りながら自身の生活課題を見つけ、食事･運動・歯の健康について講義や実技を通じて行動変容を促す。</w:t>
            </w:r>
          </w:p>
        </w:tc>
      </w:tr>
    </w:tbl>
    <w:p>
      <w:pPr>
        <w:pStyle w:val="0"/>
        <w:jc w:val="center"/>
        <w:rPr>
          <w:rFonts w:hint="default"/>
          <w:b w:val="1"/>
          <w:color w:val="1D1C1D"/>
          <w:sz w:val="18"/>
        </w:rPr>
      </w:pPr>
      <w:r>
        <w:rPr>
          <w:rFonts w:hint="default"/>
          <w:b w:val="1"/>
          <w:color w:val="1D1C1D"/>
          <w:sz w:val="18"/>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9375"/>
      </w:tblGrid>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期計画における健康づくりに関連する健康課題</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rPr>
            </w:pPr>
            <w:r>
              <w:rPr>
                <w:rFonts w:hint="eastAsia"/>
                <w:sz w:val="16"/>
              </w:rPr>
              <w:t>#</w:t>
            </w:r>
            <w:r>
              <w:rPr>
                <w:rFonts w:hint="default"/>
                <w:sz w:val="16"/>
              </w:rPr>
              <w:t>3</w:t>
            </w:r>
            <w:r>
              <w:rPr>
                <w:rFonts w:hint="eastAsia"/>
                <w:sz w:val="16"/>
              </w:rPr>
              <w:t>　生活習慣病の発症・進行、重篤疾患の発症を防ぐことを目的に、被保険者における食習慣・生活習慣の改善が必要。</w:t>
            </w:r>
          </w:p>
        </w:tc>
      </w:tr>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期計画における健康づくりに関連するデータヘルス計画の目標</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color w:val="FF0000"/>
              </w:rPr>
            </w:pPr>
            <w:r>
              <w:rPr>
                <w:rFonts w:hint="eastAsia"/>
                <w:sz w:val="16"/>
              </w:rPr>
              <w:t>特定健診受診勧奨対象者率の減少</w:t>
            </w:r>
          </w:p>
        </w:tc>
      </w:tr>
    </w:tbl>
    <w:p>
      <w:pPr>
        <w:pStyle w:val="0"/>
        <w:jc w:val="center"/>
        <w:rPr>
          <w:rFonts w:hint="default"/>
          <w:b w:val="1"/>
          <w:color w:val="1D1C1D"/>
          <w:sz w:val="18"/>
        </w:rPr>
      </w:pPr>
      <w:r>
        <w:rPr>
          <w:rFonts w:hint="default"/>
          <w:b w:val="1"/>
          <w:color w:val="1D1C1D"/>
          <w:sz w:val="18"/>
        </w:rPr>
        <w:t>▼</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98"/>
        <w:gridCol w:w="1108"/>
        <w:gridCol w:w="2109"/>
        <w:gridCol w:w="4560"/>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期計画における健康づくりに関連する保健事業</w:t>
            </w:r>
          </w:p>
        </w:tc>
      </w:tr>
      <w:tr>
        <w:trPr>
          <w:trHeight w:val="20" w:hRule="atLeast"/>
        </w:trPr>
        <w:tc>
          <w:tcPr>
            <w:tcW w:w="5000" w:type="pct"/>
            <w:gridSpan w:val="4"/>
            <w:shd w:val="clear" w:color="auto" w:fill="EFEFEF"/>
            <w:tcMar>
              <w:top w:w="28" w:type="dxa"/>
              <w:left w:w="28" w:type="dxa"/>
              <w:bottom w:w="28" w:type="dxa"/>
              <w:right w:w="28" w:type="dxa"/>
            </w:tcMar>
            <w:vAlign w:val="center"/>
          </w:tcPr>
          <w:p>
            <w:pPr>
              <w:pStyle w:val="0"/>
              <w:rPr>
                <w:rFonts w:hint="default"/>
              </w:rPr>
            </w:pPr>
            <w:r>
              <w:rPr>
                <w:rFonts w:hint="eastAsia"/>
                <w:b w:val="1"/>
                <w:color w:val="000000"/>
              </w:rPr>
              <w:t>保健事業の方向性</w:t>
            </w:r>
          </w:p>
        </w:tc>
      </w:tr>
      <w:tr>
        <w:tblPrEx>
          <w:jc w:val="left"/>
        </w:tblPrEx>
        <w:trPr>
          <w:trHeight w:val="20" w:hRule="atLeast"/>
        </w:trPr>
        <w:tc>
          <w:tcPr>
            <w:tcW w:w="5000" w:type="pct"/>
            <w:gridSpan w:val="4"/>
            <w:tcMar>
              <w:top w:w="28" w:type="dxa"/>
              <w:left w:w="28" w:type="dxa"/>
              <w:bottom w:w="28" w:type="dxa"/>
              <w:right w:w="28" w:type="dxa"/>
            </w:tcMar>
            <w:vAlign w:val="center"/>
          </w:tcPr>
          <w:p>
            <w:pPr>
              <w:pStyle w:val="0"/>
              <w:rPr>
                <w:rFonts w:hint="default"/>
              </w:rPr>
            </w:pPr>
            <w:r>
              <w:rPr>
                <w:rFonts w:hint="default"/>
              </w:rPr>
              <w:t>第</w:t>
            </w:r>
            <w:r>
              <w:rPr>
                <w:rFonts w:hint="default"/>
              </w:rPr>
              <w:t>2</w:t>
            </w:r>
            <w:r>
              <w:rPr>
                <w:rFonts w:hint="default"/>
              </w:rPr>
              <w:t>期計画期間で実施していた事業では</w:t>
            </w:r>
            <w:r>
              <w:rPr>
                <w:rFonts w:hint="eastAsia"/>
              </w:rPr>
              <w:t>、健診数値が基準値を超えた被保険者を対象に、生活習慣病予防教室を実施し、受診勧奨対象者率は年々減少傾向であり、国・県と比較しても低く</w:t>
            </w:r>
            <w:r>
              <w:rPr>
                <w:rFonts w:hint="default"/>
              </w:rPr>
              <w:t>目標</w:t>
            </w:r>
            <w:r>
              <w:rPr>
                <w:rFonts w:hint="eastAsia"/>
              </w:rPr>
              <w:t>は達成できている。</w:t>
            </w:r>
          </w:p>
          <w:p>
            <w:pPr>
              <w:pStyle w:val="0"/>
              <w:rPr>
                <w:rFonts w:hint="default"/>
              </w:rPr>
            </w:pPr>
            <w:r>
              <w:rPr>
                <w:rFonts w:hint="default"/>
              </w:rPr>
              <w:t>第</w:t>
            </w:r>
            <w:r>
              <w:rPr>
                <w:rFonts w:hint="default"/>
              </w:rPr>
              <w:t>3</w:t>
            </w:r>
            <w:r>
              <w:rPr>
                <w:rFonts w:hint="default"/>
              </w:rPr>
              <w:t>期計画においては</w:t>
            </w:r>
            <w:r>
              <w:rPr>
                <w:rFonts w:hint="eastAsia"/>
              </w:rPr>
              <w:t>、生活習慣病改善を目的に実施する教室の参加者数を増やし、健康への関心を高め「就寝前の夕食」や「朝食の欠食」を解消し、「喫煙率」を下げる取組を実施し、さらなる特定健診の受診勧奨対象者率を低下させ、医療費の抑制を目指す。</w:t>
            </w:r>
          </w:p>
        </w:tc>
      </w:tr>
      <w:tr>
        <w:trPr>
          <w:trHeight w:val="20" w:hRule="atLeast"/>
        </w:trPr>
        <w:tc>
          <w:tcPr>
            <w:tcW w:w="85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健康課題</w:t>
            </w:r>
          </w:p>
        </w:tc>
        <w:tc>
          <w:tcPr>
            <w:tcW w:w="591"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継続</w:t>
            </w:r>
            <w:r>
              <w:rPr>
                <w:rFonts w:hint="eastAsia"/>
                <w:b w:val="1"/>
                <w:color w:val="000000"/>
              </w:rPr>
              <w:t>/</w:t>
            </w:r>
            <w:r>
              <w:rPr>
                <w:rFonts w:hint="eastAsia"/>
                <w:b w:val="1"/>
                <w:color w:val="000000"/>
              </w:rPr>
              <w:t>新規</w:t>
            </w:r>
          </w:p>
        </w:tc>
        <w:tc>
          <w:tcPr>
            <w:tcW w:w="112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3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0" w:hRule="atLeast"/>
        </w:trPr>
        <w:tc>
          <w:tcPr>
            <w:tcW w:w="852" w:type="pct"/>
            <w:tcMar>
              <w:top w:w="28" w:type="dxa"/>
              <w:left w:w="28" w:type="dxa"/>
              <w:bottom w:w="28" w:type="dxa"/>
              <w:right w:w="28" w:type="dxa"/>
            </w:tcMar>
            <w:vAlign w:val="center"/>
          </w:tcPr>
          <w:p>
            <w:pPr>
              <w:pStyle w:val="59"/>
              <w:snapToGrid w:val="0"/>
              <w:jc w:val="center"/>
              <w:rPr>
                <w:rFonts w:hint="default"/>
              </w:rPr>
            </w:pPr>
            <w:r>
              <w:rPr>
                <w:rFonts w:hint="eastAsia"/>
                <w:sz w:val="16"/>
              </w:rPr>
              <w:t>#3</w:t>
            </w:r>
          </w:p>
        </w:tc>
        <w:tc>
          <w:tcPr>
            <w:tcW w:w="591" w:type="pct"/>
            <w:tcMar>
              <w:top w:w="28" w:type="dxa"/>
              <w:left w:w="28" w:type="dxa"/>
              <w:bottom w:w="28" w:type="dxa"/>
              <w:right w:w="28" w:type="dxa"/>
            </w:tcMar>
            <w:vAlign w:val="center"/>
          </w:tcPr>
          <w:p>
            <w:pPr>
              <w:pStyle w:val="0"/>
              <w:jc w:val="center"/>
              <w:rPr>
                <w:rFonts w:hint="default"/>
              </w:rPr>
            </w:pPr>
            <w:r>
              <w:rPr>
                <w:rFonts w:hint="eastAsia"/>
              </w:rPr>
              <w:t>継続</w:t>
            </w:r>
          </w:p>
        </w:tc>
        <w:tc>
          <w:tcPr>
            <w:tcW w:w="1125" w:type="pct"/>
            <w:tcMar>
              <w:top w:w="28" w:type="dxa"/>
              <w:left w:w="28" w:type="dxa"/>
              <w:bottom w:w="28" w:type="dxa"/>
              <w:right w:w="28" w:type="dxa"/>
            </w:tcMar>
            <w:vAlign w:val="center"/>
          </w:tcPr>
          <w:p>
            <w:pPr>
              <w:pStyle w:val="0"/>
              <w:rPr>
                <w:rFonts w:hint="default"/>
              </w:rPr>
            </w:pPr>
            <w:r>
              <w:rPr>
                <w:rFonts w:hint="eastAsia"/>
              </w:rPr>
              <w:t>「からだチェンジ･私がかわる！生活習慣病予防教室」</w:t>
            </w:r>
          </w:p>
        </w:tc>
        <w:tc>
          <w:tcPr>
            <w:tcW w:w="2432" w:type="pct"/>
            <w:tcMar>
              <w:top w:w="28" w:type="dxa"/>
              <w:left w:w="28" w:type="dxa"/>
              <w:bottom w:w="28" w:type="dxa"/>
              <w:right w:w="28" w:type="dxa"/>
            </w:tcMar>
            <w:vAlign w:val="center"/>
          </w:tcPr>
          <w:p>
            <w:pPr>
              <w:pStyle w:val="0"/>
              <w:rPr>
                <w:rFonts w:hint="default"/>
              </w:rPr>
            </w:pPr>
            <w:r>
              <w:rPr>
                <w:rFonts w:hint="eastAsia"/>
              </w:rPr>
              <w:t>特定健診の結果で血圧･脂質･血糖で基準値を超える数値の方を対象に、行動・食生活の記録票を取りながら自身の生活課題を見つけ、食事･運動・歯の健康について講義や実技を通じて行動変容を促す。</w:t>
            </w:r>
          </w:p>
        </w:tc>
      </w:tr>
      <w:tr>
        <w:trPr>
          <w:trHeight w:val="926" w:hRule="atLeast"/>
        </w:trPr>
        <w:tc>
          <w:tcPr>
            <w:tcW w:w="852" w:type="pct"/>
            <w:tcMar>
              <w:top w:w="28" w:type="dxa"/>
              <w:left w:w="28" w:type="dxa"/>
              <w:bottom w:w="28" w:type="dxa"/>
              <w:right w:w="28" w:type="dxa"/>
            </w:tcMar>
            <w:vAlign w:val="center"/>
          </w:tcPr>
          <w:p>
            <w:pPr>
              <w:pStyle w:val="59"/>
              <w:snapToGrid w:val="0"/>
              <w:jc w:val="center"/>
              <w:rPr>
                <w:rFonts w:hint="default"/>
              </w:rPr>
            </w:pPr>
            <w:r>
              <w:rPr>
                <w:rFonts w:hint="eastAsia"/>
                <w:sz w:val="16"/>
              </w:rPr>
              <w:t>#3</w:t>
            </w:r>
          </w:p>
        </w:tc>
        <w:tc>
          <w:tcPr>
            <w:tcW w:w="591" w:type="pct"/>
            <w:tcMar>
              <w:top w:w="28" w:type="dxa"/>
              <w:left w:w="28" w:type="dxa"/>
              <w:bottom w:w="28" w:type="dxa"/>
              <w:right w:w="28" w:type="dxa"/>
            </w:tcMar>
            <w:vAlign w:val="center"/>
          </w:tcPr>
          <w:p>
            <w:pPr>
              <w:pStyle w:val="0"/>
              <w:jc w:val="center"/>
              <w:rPr>
                <w:rFonts w:hint="default"/>
              </w:rPr>
            </w:pPr>
            <w:r>
              <w:rPr>
                <w:rFonts w:hint="eastAsia"/>
              </w:rPr>
              <w:t>継続</w:t>
            </w:r>
          </w:p>
        </w:tc>
        <w:tc>
          <w:tcPr>
            <w:tcW w:w="1125" w:type="pct"/>
            <w:tcBorders>
              <w:top w:val="none" w:color="auto" w:sz="0" w:space="0"/>
              <w:left w:val="none" w:color="auto" w:sz="0"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「見る</w:t>
            </w:r>
            <w:r>
              <w:rPr>
                <w:rFonts w:hint="eastAsia"/>
              </w:rPr>
              <w:t>!</w:t>
            </w:r>
            <w:r>
              <w:rPr>
                <w:rFonts w:hint="eastAsia"/>
              </w:rPr>
              <w:t>知る！わかる！健康講座（健診時結果説明会）」</w:t>
            </w:r>
          </w:p>
        </w:tc>
        <w:tc>
          <w:tcPr>
            <w:tcW w:w="2432" w:type="pct"/>
            <w:tcBorders>
              <w:top w:val="none" w:color="auto" w:sz="0" w:space="0"/>
              <w:left w:val="single" w:color="auto" w:sz="4" w:space="0"/>
              <w:bottom w:val="none" w:color="auto" w:sz="0"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0"/>
              <w:rPr>
                <w:rFonts w:hint="default"/>
              </w:rPr>
            </w:pPr>
            <w:r>
              <w:rPr>
                <w:rFonts w:hint="eastAsia"/>
              </w:rPr>
              <w:t>特定健診等を受診した方を対象に、検査値</w:t>
            </w:r>
            <w:r>
              <w:rPr>
                <w:rFonts w:hint="eastAsia"/>
              </w:rPr>
              <w:t>(</w:t>
            </w:r>
            <w:r>
              <w:rPr>
                <w:rFonts w:hint="eastAsia"/>
              </w:rPr>
              <w:t>腹囲･血圧･血糖など）を測定する理由や、その値が示す意味、</w:t>
            </w:r>
            <w:r>
              <w:rPr>
                <w:rFonts w:hint="eastAsia"/>
              </w:rPr>
              <w:t>BMI</w:t>
            </w:r>
            <w:r>
              <w:rPr>
                <w:rFonts w:hint="eastAsia"/>
              </w:rPr>
              <w:t>・血圧･血糖たばこ等が身体に及ぼす影響を理解し、自分の生活パターンの振り返りができる。</w:t>
            </w:r>
          </w:p>
        </w:tc>
      </w:tr>
      <w:tr>
        <w:trPr>
          <w:trHeight w:val="473" w:hRule="atLeast"/>
        </w:trPr>
        <w:tc>
          <w:tcPr>
            <w:tcW w:w="8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59"/>
              <w:snapToGrid w:val="0"/>
              <w:jc w:val="center"/>
              <w:rPr>
                <w:rFonts w:hint="default"/>
              </w:rPr>
            </w:pPr>
            <w:r>
              <w:rPr>
                <w:rFonts w:hint="eastAsia"/>
                <w:sz w:val="16"/>
              </w:rPr>
              <w:t>#3</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rPr>
            </w:pPr>
            <w:r>
              <w:rPr>
                <w:rFonts w:hint="eastAsia"/>
              </w:rPr>
              <w:t>継続</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rPr>
            </w:pPr>
            <w:r>
              <w:rPr>
                <w:rFonts w:hint="eastAsia"/>
              </w:rPr>
              <w:t>「とっとと糖とおさらば教室（糖尿病予防･改善教室）」（仮称）」</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rPr>
            </w:pPr>
            <w:r>
              <w:rPr>
                <w:rFonts w:hint="eastAsia"/>
              </w:rPr>
              <w:t>健診で</w:t>
            </w:r>
            <w:r>
              <w:rPr>
                <w:rFonts w:hint="eastAsia"/>
              </w:rPr>
              <w:t>HbA1</w:t>
            </w:r>
            <w:r>
              <w:rPr>
                <w:rFonts w:hint="default"/>
              </w:rPr>
              <w:t>c</w:t>
            </w:r>
            <w:r>
              <w:rPr>
                <w:rFonts w:hint="eastAsia"/>
              </w:rPr>
              <w:t>が</w:t>
            </w:r>
            <w:r>
              <w:rPr>
                <w:rFonts w:hint="eastAsia"/>
              </w:rPr>
              <w:t>5.6</w:t>
            </w:r>
            <w:r>
              <w:rPr>
                <w:rFonts w:hint="eastAsia"/>
              </w:rPr>
              <w:t>以上</w:t>
            </w:r>
            <w:r>
              <w:rPr>
                <w:rFonts w:hint="eastAsia"/>
              </w:rPr>
              <w:t>6.5</w:t>
            </w:r>
            <w:r>
              <w:rPr>
                <w:rFonts w:hint="eastAsia"/>
              </w:rPr>
              <w:t>未満の方を対象に、全</w:t>
            </w:r>
            <w:r>
              <w:rPr>
                <w:rFonts w:hint="eastAsia"/>
              </w:rPr>
              <w:t>4</w:t>
            </w:r>
            <w:r>
              <w:rPr>
                <w:rFonts w:hint="eastAsia"/>
              </w:rPr>
              <w:t>回シリーズで糖尿病療養指導士や健康運動指導士等を講師に栄養･運動･休息についての講話と健康測定会を実施。</w:t>
            </w:r>
          </w:p>
        </w:tc>
      </w:tr>
      <w:tr>
        <w:trPr>
          <w:trHeight w:val="783" w:hRule="atLeast"/>
        </w:trPr>
        <w:tc>
          <w:tcPr>
            <w:tcW w:w="8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59"/>
              <w:snapToGrid w:val="0"/>
              <w:jc w:val="center"/>
              <w:rPr>
                <w:rFonts w:hint="default"/>
              </w:rPr>
            </w:pPr>
            <w:r>
              <w:rPr>
                <w:rFonts w:hint="eastAsia"/>
                <w:sz w:val="16"/>
              </w:rPr>
              <w:t>#3</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rPr>
            </w:pPr>
            <w:r>
              <w:rPr>
                <w:rFonts w:hint="eastAsia"/>
              </w:rPr>
              <w:t>新規</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rPr>
            </w:pPr>
            <w:r>
              <w:rPr>
                <w:rFonts w:hint="eastAsia"/>
              </w:rPr>
              <w:t>「吸わん</w:t>
            </w:r>
            <w:r>
              <w:rPr>
                <w:rFonts w:hint="eastAsia"/>
              </w:rPr>
              <w:t>SWAN(</w:t>
            </w:r>
            <w:r>
              <w:rPr>
                <w:rFonts w:hint="eastAsia"/>
              </w:rPr>
              <w:t>すわん）体験ブースの設置」（仮称）」</w:t>
            </w:r>
          </w:p>
          <w:p>
            <w:pPr>
              <w:pStyle w:val="0"/>
              <w:rPr>
                <w:rFonts w:hint="default"/>
              </w:rPr>
            </w:pP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rPr>
            </w:pPr>
            <w:r>
              <w:rPr>
                <w:rFonts w:hint="eastAsia"/>
              </w:rPr>
              <w:t>特定健診会場に、禁煙・周知体験ブースを設置。健診時にたばこに関するリーフレットの配布、スモーカーライザー体験、禁煙補助薬の展示や禁煙外来の一覧表や補助薬を購入可能薬局等一覧の配布を実施。</w:t>
            </w:r>
          </w:p>
        </w:tc>
      </w:tr>
      <w:tr>
        <w:trPr>
          <w:trHeight w:val="692" w:hRule="atLeast"/>
        </w:trPr>
        <w:tc>
          <w:tcPr>
            <w:tcW w:w="8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28" w:type="dxa"/>
              <w:left w:w="28" w:type="dxa"/>
              <w:bottom w:w="28" w:type="dxa"/>
              <w:right w:w="28" w:type="dxa"/>
            </w:tcMar>
            <w:vAlign w:val="center"/>
          </w:tcPr>
          <w:p>
            <w:pPr>
              <w:pStyle w:val="59"/>
              <w:snapToGrid w:val="0"/>
              <w:jc w:val="center"/>
              <w:rPr>
                <w:rFonts w:hint="default"/>
              </w:rPr>
            </w:pPr>
            <w:r>
              <w:rPr>
                <w:rFonts w:hint="eastAsia"/>
                <w:sz w:val="16"/>
              </w:rPr>
              <w:t>#3</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rPr>
            </w:pPr>
            <w:r>
              <w:rPr>
                <w:rFonts w:hint="eastAsia"/>
              </w:rPr>
              <w:t>新規</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rPr>
            </w:pPr>
            <w:r>
              <w:rPr>
                <w:rFonts w:hint="eastAsia"/>
              </w:rPr>
              <w:t>「コレステ！スッキリ改善教室</w:t>
            </w:r>
            <w:r>
              <w:rPr>
                <w:rFonts w:hint="eastAsia"/>
              </w:rPr>
              <w:t>(</w:t>
            </w:r>
            <w:r>
              <w:rPr>
                <w:rFonts w:hint="eastAsia"/>
              </w:rPr>
              <w:t>脂質異常改善教室）」（仮称）」</w:t>
            </w:r>
          </w:p>
        </w:tc>
        <w:tc>
          <w:tcPr>
            <w:tcW w:w="20"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rPr>
                <w:rFonts w:hint="default"/>
              </w:rPr>
            </w:pPr>
            <w:r>
              <w:rPr>
                <w:rFonts w:hint="eastAsia"/>
              </w:rPr>
              <w:t>特定健診等でコレステロールや中性脂肪の値が保健指導数値を超える方を対象に、全</w:t>
            </w:r>
            <w:r>
              <w:rPr>
                <w:rFonts w:hint="eastAsia"/>
              </w:rPr>
              <w:t>4</w:t>
            </w:r>
            <w:r>
              <w:rPr>
                <w:rFonts w:hint="eastAsia"/>
              </w:rPr>
              <w:t>回シリーズで専門職を講師に栄養･運動･休息についての講話と健康測定会を実施。</w:t>
            </w:r>
          </w:p>
        </w:tc>
      </w:tr>
    </w:tbl>
    <w:p>
      <w:pPr>
        <w:pStyle w:val="0"/>
        <w:rPr>
          <w:rFonts w:hint="default"/>
        </w:rPr>
      </w:pPr>
      <w:r>
        <w:rPr>
          <w:rFonts w:hint="default"/>
        </w:rPr>
        <w:br w:type="page"/>
      </w:r>
    </w:p>
    <w:p>
      <w:pPr>
        <w:pStyle w:val="4"/>
        <w:rPr>
          <w:rFonts w:hint="default"/>
        </w:rPr>
      </w:pPr>
      <w:r>
        <w:rPr>
          <w:rFonts w:hint="eastAsia"/>
        </w:rPr>
        <w:t>「からだチェンジ･私がかわる！生活習慣病予防教室」</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color w:val="191F2B"/>
              </w:rPr>
              <w:t>対象者が教室を通じて、健診を機に自身の生活を振り返り、望ましい健康状態や生活習慣について理解し、行動変容をすることで、生活習慣病の予防や重症化を防ぐ。</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特定健診の結果で血圧･脂質･血糖で基準値を超える数値の方を対象に、行動・食生活の記録票を取りながら自身の生活課題を見つけ、食事･運動・歯の健康について講義や実技を通じて行動変容を促す。</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color w:val="191F2B"/>
              </w:rPr>
              <w:t>特定健診結果で血圧･脂質･血糖のうちいずれかの数値で基準値を超える者</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実施率向上に向けての講師の選定</w:t>
            </w:r>
          </w:p>
          <w:p>
            <w:pPr>
              <w:pStyle w:val="0"/>
              <w:rPr>
                <w:rFonts w:hint="default"/>
              </w:rPr>
            </w:pPr>
            <w:r>
              <w:rPr>
                <w:rFonts w:hint="eastAsia"/>
              </w:rPr>
              <w:t>参加勧奨資材の工夫</w:t>
            </w:r>
            <w:r>
              <w:rPr>
                <w:rFonts w:hint="default"/>
              </w:rPr>
              <w:t>(</w:t>
            </w:r>
            <w:r>
              <w:rPr>
                <w:rFonts w:hint="default"/>
              </w:rPr>
              <w:t>見直し</w:t>
            </w:r>
            <w:r>
              <w:rPr>
                <w:rFonts w:hint="default"/>
              </w:rPr>
              <w:t>)</w:t>
            </w:r>
          </w:p>
          <w:p>
            <w:pPr>
              <w:pStyle w:val="0"/>
              <w:rPr>
                <w:rFonts w:hint="default"/>
              </w:rPr>
            </w:pPr>
            <w:r>
              <w:rPr>
                <w:rFonts w:hint="eastAsia"/>
              </w:rPr>
              <w:t>通知後の電話勧奨の実施</w:t>
            </w:r>
          </w:p>
          <w:p>
            <w:pPr>
              <w:pStyle w:val="0"/>
              <w:rPr>
                <w:rFonts w:hint="default"/>
              </w:rPr>
            </w:pPr>
            <w:r>
              <w:rPr>
                <w:rFonts w:hint="eastAsia"/>
              </w:rPr>
              <w:t>参加者アンケートの実施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定員に対する申込率：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both"/>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70%</w:t>
                  </w:r>
                  <w:r>
                    <w:rPr>
                      <w:rFonts w:hint="eastAsia"/>
                    </w:rPr>
                    <w:t>（見込値）</w:t>
                  </w:r>
                </w:p>
              </w:tc>
              <w:tc>
                <w:tcPr>
                  <w:tcW w:w="1108" w:type="dxa"/>
                  <w:tcMar>
                    <w:top w:w="28" w:type="dxa"/>
                    <w:left w:w="28" w:type="dxa"/>
                    <w:bottom w:w="28" w:type="dxa"/>
                    <w:right w:w="28" w:type="dxa"/>
                  </w:tcMar>
                  <w:vAlign w:val="top"/>
                </w:tcPr>
                <w:p>
                  <w:pPr>
                    <w:pStyle w:val="0"/>
                    <w:jc w:val="center"/>
                    <w:rPr>
                      <w:rFonts w:hint="default"/>
                    </w:rPr>
                  </w:pPr>
                  <w:r>
                    <w:rPr>
                      <w:rFonts w:hint="eastAsia"/>
                    </w:rPr>
                    <w:t>75%</w:t>
                  </w:r>
                </w:p>
              </w:tc>
              <w:tc>
                <w:tcPr>
                  <w:tcW w:w="1108" w:type="dxa"/>
                  <w:tcMar>
                    <w:top w:w="28" w:type="dxa"/>
                    <w:left w:w="28" w:type="dxa"/>
                    <w:bottom w:w="28" w:type="dxa"/>
                    <w:right w:w="28" w:type="dxa"/>
                  </w:tcMar>
                  <w:vAlign w:val="top"/>
                </w:tcPr>
                <w:p>
                  <w:pPr>
                    <w:pStyle w:val="0"/>
                    <w:jc w:val="center"/>
                    <w:rPr>
                      <w:rFonts w:hint="default"/>
                    </w:rPr>
                  </w:pPr>
                  <w:r>
                    <w:rPr>
                      <w:rFonts w:hint="eastAsia"/>
                    </w:rPr>
                    <w:t>80%</w:t>
                  </w:r>
                </w:p>
              </w:tc>
              <w:tc>
                <w:tcPr>
                  <w:tcW w:w="1108" w:type="dxa"/>
                  <w:tcMar>
                    <w:top w:w="28" w:type="dxa"/>
                    <w:left w:w="28" w:type="dxa"/>
                    <w:bottom w:w="28" w:type="dxa"/>
                    <w:right w:w="28" w:type="dxa"/>
                  </w:tcMar>
                  <w:vAlign w:val="top"/>
                </w:tcPr>
                <w:p>
                  <w:pPr>
                    <w:pStyle w:val="0"/>
                    <w:jc w:val="center"/>
                    <w:rPr>
                      <w:rFonts w:hint="default"/>
                    </w:rPr>
                  </w:pPr>
                  <w:r>
                    <w:rPr>
                      <w:rFonts w:hint="eastAsia"/>
                    </w:rPr>
                    <w:t>85%</w:t>
                  </w:r>
                </w:p>
              </w:tc>
              <w:tc>
                <w:tcPr>
                  <w:tcW w:w="1109" w:type="dxa"/>
                  <w:tcMar>
                    <w:top w:w="28" w:type="dxa"/>
                    <w:left w:w="28" w:type="dxa"/>
                    <w:bottom w:w="28" w:type="dxa"/>
                    <w:right w:w="28" w:type="dxa"/>
                  </w:tcMar>
                  <w:vAlign w:val="top"/>
                </w:tcPr>
                <w:p>
                  <w:pPr>
                    <w:pStyle w:val="0"/>
                    <w:jc w:val="center"/>
                    <w:rPr>
                      <w:rFonts w:hint="default"/>
                    </w:rPr>
                  </w:pPr>
                  <w:r>
                    <w:rPr>
                      <w:rFonts w:hint="eastAsia"/>
                    </w:rPr>
                    <w:t>90%</w:t>
                  </w:r>
                </w:p>
              </w:tc>
              <w:tc>
                <w:tcPr>
                  <w:tcW w:w="1109" w:type="dxa"/>
                  <w:tcMar>
                    <w:top w:w="28" w:type="dxa"/>
                    <w:left w:w="28" w:type="dxa"/>
                    <w:bottom w:w="28" w:type="dxa"/>
                    <w:right w:w="28" w:type="dxa"/>
                  </w:tcMar>
                  <w:vAlign w:val="top"/>
                </w:tcPr>
                <w:p>
                  <w:pPr>
                    <w:pStyle w:val="0"/>
                    <w:jc w:val="center"/>
                    <w:rPr>
                      <w:rFonts w:hint="default"/>
                    </w:rPr>
                  </w:pPr>
                  <w:r>
                    <w:rPr>
                      <w:rFonts w:hint="eastAsia"/>
                    </w:rPr>
                    <w:t>95%</w:t>
                  </w:r>
                </w:p>
              </w:tc>
              <w:tc>
                <w:tcPr>
                  <w:tcW w:w="1109" w:type="dxa"/>
                  <w:tcMar>
                    <w:top w:w="28" w:type="dxa"/>
                    <w:left w:w="28" w:type="dxa"/>
                    <w:bottom w:w="28" w:type="dxa"/>
                    <w:right w:w="28" w:type="dxa"/>
                  </w:tcMar>
                  <w:vAlign w:val="top"/>
                </w:tcPr>
                <w:p>
                  <w:pPr>
                    <w:pStyle w:val="0"/>
                    <w:jc w:val="center"/>
                    <w:rPr>
                      <w:rFonts w:hint="default"/>
                    </w:rPr>
                  </w:pPr>
                  <w:r>
                    <w:rPr>
                      <w:rFonts w:hint="eastAsia"/>
                    </w:rPr>
                    <w:t>100%</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特定健診受診勧奨対象者率：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50%</w:t>
                  </w:r>
                  <w:r>
                    <w:rPr>
                      <w:rFonts w:hint="eastAsia"/>
                    </w:rPr>
                    <w:t>（見込値）</w:t>
                  </w:r>
                </w:p>
              </w:tc>
              <w:tc>
                <w:tcPr>
                  <w:tcW w:w="1108" w:type="dxa"/>
                  <w:tcMar>
                    <w:top w:w="28" w:type="dxa"/>
                    <w:left w:w="28" w:type="dxa"/>
                    <w:bottom w:w="28" w:type="dxa"/>
                    <w:right w:w="28" w:type="dxa"/>
                  </w:tcMar>
                  <w:vAlign w:val="top"/>
                </w:tcPr>
                <w:p>
                  <w:pPr>
                    <w:pStyle w:val="0"/>
                    <w:jc w:val="center"/>
                    <w:rPr>
                      <w:rFonts w:hint="default"/>
                    </w:rPr>
                  </w:pPr>
                  <w:r>
                    <w:rPr>
                      <w:rFonts w:hint="eastAsia"/>
                    </w:rPr>
                    <w:t>48%</w:t>
                  </w:r>
                </w:p>
              </w:tc>
              <w:tc>
                <w:tcPr>
                  <w:tcW w:w="1108" w:type="dxa"/>
                  <w:tcMar>
                    <w:top w:w="28" w:type="dxa"/>
                    <w:left w:w="28" w:type="dxa"/>
                    <w:bottom w:w="28" w:type="dxa"/>
                    <w:right w:w="28" w:type="dxa"/>
                  </w:tcMar>
                  <w:vAlign w:val="top"/>
                </w:tcPr>
                <w:p>
                  <w:pPr>
                    <w:pStyle w:val="0"/>
                    <w:jc w:val="center"/>
                    <w:rPr>
                      <w:rFonts w:hint="default"/>
                    </w:rPr>
                  </w:pPr>
                  <w:r>
                    <w:rPr>
                      <w:rFonts w:hint="eastAsia"/>
                    </w:rPr>
                    <w:t>46%</w:t>
                  </w:r>
                </w:p>
              </w:tc>
              <w:tc>
                <w:tcPr>
                  <w:tcW w:w="1108" w:type="dxa"/>
                  <w:tcMar>
                    <w:top w:w="28" w:type="dxa"/>
                    <w:left w:w="28" w:type="dxa"/>
                    <w:bottom w:w="28" w:type="dxa"/>
                    <w:right w:w="28" w:type="dxa"/>
                  </w:tcMar>
                  <w:vAlign w:val="top"/>
                </w:tcPr>
                <w:p>
                  <w:pPr>
                    <w:pStyle w:val="0"/>
                    <w:jc w:val="center"/>
                    <w:rPr>
                      <w:rFonts w:hint="default"/>
                    </w:rPr>
                  </w:pPr>
                  <w:r>
                    <w:rPr>
                      <w:rFonts w:hint="eastAsia"/>
                    </w:rPr>
                    <w:t>44%</w:t>
                  </w:r>
                </w:p>
              </w:tc>
              <w:tc>
                <w:tcPr>
                  <w:tcW w:w="1109" w:type="dxa"/>
                  <w:tcMar>
                    <w:top w:w="28" w:type="dxa"/>
                    <w:left w:w="28" w:type="dxa"/>
                    <w:bottom w:w="28" w:type="dxa"/>
                    <w:right w:w="28" w:type="dxa"/>
                  </w:tcMar>
                  <w:vAlign w:val="top"/>
                </w:tcPr>
                <w:p>
                  <w:pPr>
                    <w:pStyle w:val="0"/>
                    <w:jc w:val="center"/>
                    <w:rPr>
                      <w:rFonts w:hint="default"/>
                    </w:rPr>
                  </w:pPr>
                  <w:r>
                    <w:rPr>
                      <w:rFonts w:hint="eastAsia"/>
                    </w:rPr>
                    <w:t>42%</w:t>
                  </w:r>
                </w:p>
              </w:tc>
              <w:tc>
                <w:tcPr>
                  <w:tcW w:w="1109" w:type="dxa"/>
                  <w:tcMar>
                    <w:top w:w="28" w:type="dxa"/>
                    <w:left w:w="28" w:type="dxa"/>
                    <w:bottom w:w="28" w:type="dxa"/>
                    <w:right w:w="28" w:type="dxa"/>
                  </w:tcMar>
                  <w:vAlign w:val="top"/>
                </w:tcPr>
                <w:p>
                  <w:pPr>
                    <w:pStyle w:val="0"/>
                    <w:jc w:val="center"/>
                    <w:rPr>
                      <w:rFonts w:hint="default"/>
                    </w:rPr>
                  </w:pPr>
                  <w:r>
                    <w:rPr>
                      <w:rFonts w:hint="eastAsia"/>
                    </w:rPr>
                    <w:t>40%</w:t>
                  </w:r>
                </w:p>
              </w:tc>
              <w:tc>
                <w:tcPr>
                  <w:tcW w:w="1109" w:type="dxa"/>
                  <w:tcMar>
                    <w:top w:w="28" w:type="dxa"/>
                    <w:left w:w="28" w:type="dxa"/>
                    <w:bottom w:w="28" w:type="dxa"/>
                    <w:right w:w="28" w:type="dxa"/>
                  </w:tcMar>
                  <w:vAlign w:val="top"/>
                </w:tcPr>
                <w:p>
                  <w:pPr>
                    <w:pStyle w:val="0"/>
                    <w:jc w:val="center"/>
                    <w:rPr>
                      <w:rFonts w:hint="default"/>
                    </w:rPr>
                  </w:pPr>
                  <w:r>
                    <w:rPr>
                      <w:rFonts w:hint="eastAsia"/>
                    </w:rPr>
                    <w:t>38%</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sz w:val="18"/>
        </w:rPr>
      </w:pPr>
    </w:p>
    <w:p>
      <w:pPr>
        <w:pStyle w:val="0"/>
        <w:rPr>
          <w:rFonts w:hint="default"/>
          <w:sz w:val="18"/>
        </w:rPr>
      </w:pPr>
      <w:r>
        <w:rPr>
          <w:rFonts w:hint="default"/>
          <w:sz w:val="18"/>
        </w:rPr>
        <w:br w:type="page"/>
      </w:r>
    </w:p>
    <w:p>
      <w:pPr>
        <w:pStyle w:val="4"/>
        <w:rPr>
          <w:rFonts w:hint="default"/>
        </w:rPr>
      </w:pPr>
      <w:r>
        <w:rPr>
          <w:rFonts w:hint="eastAsia"/>
        </w:rPr>
        <w:t>「見る</w:t>
      </w:r>
      <w:r>
        <w:rPr>
          <w:rFonts w:hint="eastAsia"/>
        </w:rPr>
        <w:t>!</w:t>
      </w:r>
      <w:r>
        <w:rPr>
          <w:rFonts w:hint="eastAsia"/>
        </w:rPr>
        <w:t>知る！わかる！健康講座（健診時結果説明会）」</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特定健診等を受診した方を対象に、検査値</w:t>
            </w:r>
            <w:r>
              <w:rPr>
                <w:rFonts w:hint="eastAsia"/>
              </w:rPr>
              <w:t>(</w:t>
            </w:r>
            <w:r>
              <w:rPr>
                <w:rFonts w:hint="eastAsia"/>
              </w:rPr>
              <w:t>腹囲･血圧･血糖など）を測定する理由や、その値が示す意味、</w:t>
            </w:r>
            <w:r>
              <w:rPr>
                <w:rFonts w:hint="eastAsia"/>
              </w:rPr>
              <w:t>BMI</w:t>
            </w:r>
            <w:r>
              <w:rPr>
                <w:rFonts w:hint="eastAsia"/>
              </w:rPr>
              <w:t>・血圧･血糖たばこ等が身体に及ぼす影響を理解し、自分の生活パターンの振り返りができる。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color w:val="FF0000"/>
              </w:rPr>
            </w:pPr>
            <w:r>
              <w:rPr>
                <w:rFonts w:hint="eastAsia"/>
              </w:rPr>
              <w:t>専門職を招いての講話と脳年齢測定や骨密度測定、血管年齢測定などの健康測定等の体験会を実施。</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color w:val="191F2B"/>
              </w:rPr>
              <w:t>特定健診等を受診した方</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参加者数増加に向けての業者の選定</w:t>
            </w:r>
          </w:p>
          <w:p>
            <w:pPr>
              <w:pStyle w:val="0"/>
              <w:rPr>
                <w:rFonts w:hint="default"/>
              </w:rPr>
            </w:pPr>
            <w:r>
              <w:rPr>
                <w:rFonts w:hint="eastAsia"/>
              </w:rPr>
              <w:t>展示やリーフレットの選定</w:t>
            </w:r>
          </w:p>
          <w:p>
            <w:pPr>
              <w:pStyle w:val="0"/>
              <w:rPr>
                <w:rFonts w:hint="default"/>
              </w:rPr>
            </w:pPr>
            <w:r>
              <w:rPr>
                <w:rFonts w:hint="eastAsia"/>
              </w:rPr>
              <w:t>健康測定や配布物をニーズに合わせて準備</w:t>
            </w:r>
          </w:p>
          <w:p>
            <w:pPr>
              <w:pStyle w:val="0"/>
              <w:rPr>
                <w:rFonts w:hint="default"/>
              </w:rPr>
            </w:pPr>
            <w:r>
              <w:rPr>
                <w:rFonts w:hint="eastAsia"/>
              </w:rPr>
              <w:t>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健診結果説明会の参加者数：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50</w:t>
                  </w:r>
                </w:p>
              </w:tc>
              <w:tc>
                <w:tcPr>
                  <w:tcW w:w="1108" w:type="dxa"/>
                  <w:tcMar>
                    <w:top w:w="28" w:type="dxa"/>
                    <w:left w:w="28" w:type="dxa"/>
                    <w:bottom w:w="28" w:type="dxa"/>
                    <w:right w:w="28" w:type="dxa"/>
                  </w:tcMar>
                  <w:vAlign w:val="top"/>
                </w:tcPr>
                <w:p>
                  <w:pPr>
                    <w:pStyle w:val="0"/>
                    <w:jc w:val="center"/>
                    <w:rPr>
                      <w:rFonts w:hint="default"/>
                    </w:rPr>
                  </w:pPr>
                  <w:r>
                    <w:rPr>
                      <w:rFonts w:hint="eastAsia"/>
                    </w:rPr>
                    <w:t>55</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60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65</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70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75</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80</w:t>
                  </w:r>
                  <w:r>
                    <w:rPr>
                      <w:rFonts w:hint="eastAsia"/>
                    </w:rPr>
                    <w:t>人</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健診の新規受診者数：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550</w:t>
                  </w:r>
                  <w:r>
                    <w:rPr>
                      <w:rFonts w:hint="eastAsia"/>
                    </w:rPr>
                    <w:t>人</w:t>
                  </w:r>
                  <w:r>
                    <w:rPr>
                      <w:rFonts w:hint="eastAsia"/>
                    </w:rPr>
                    <w:t>(</w:t>
                  </w:r>
                  <w:r>
                    <w:rPr>
                      <w:rFonts w:hint="eastAsia"/>
                    </w:rPr>
                    <w:t>推定）</w:t>
                  </w:r>
                </w:p>
              </w:tc>
              <w:tc>
                <w:tcPr>
                  <w:tcW w:w="1108" w:type="dxa"/>
                  <w:tcMar>
                    <w:top w:w="28" w:type="dxa"/>
                    <w:left w:w="28" w:type="dxa"/>
                    <w:bottom w:w="28" w:type="dxa"/>
                    <w:right w:w="28" w:type="dxa"/>
                  </w:tcMar>
                  <w:vAlign w:val="top"/>
                </w:tcPr>
                <w:p>
                  <w:pPr>
                    <w:pStyle w:val="0"/>
                    <w:jc w:val="center"/>
                    <w:rPr>
                      <w:rFonts w:hint="default"/>
                    </w:rPr>
                  </w:pPr>
                  <w:r>
                    <w:rPr>
                      <w:rFonts w:hint="eastAsia"/>
                    </w:rPr>
                    <w:t>600</w:t>
                  </w:r>
                  <w:r>
                    <w:rPr>
                      <w:rFonts w:hint="eastAsia"/>
                    </w:rPr>
                    <w:t>人</w:t>
                  </w:r>
                </w:p>
              </w:tc>
              <w:tc>
                <w:tcPr>
                  <w:tcW w:w="1108" w:type="dxa"/>
                  <w:tcMar>
                    <w:top w:w="28" w:type="dxa"/>
                    <w:left w:w="28" w:type="dxa"/>
                    <w:bottom w:w="28" w:type="dxa"/>
                    <w:right w:w="28" w:type="dxa"/>
                  </w:tcMar>
                  <w:vAlign w:val="top"/>
                </w:tcPr>
                <w:p>
                  <w:pPr>
                    <w:pStyle w:val="0"/>
                    <w:ind w:firstLine="320" w:firstLineChars="200"/>
                    <w:jc w:val="both"/>
                    <w:rPr>
                      <w:rFonts w:hint="default"/>
                    </w:rPr>
                  </w:pPr>
                  <w:r>
                    <w:rPr>
                      <w:rFonts w:hint="eastAsia"/>
                    </w:rPr>
                    <w:t>700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800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900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1,000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1,100</w:t>
                  </w:r>
                  <w:r>
                    <w:rPr>
                      <w:rFonts w:hint="eastAsia"/>
                    </w:rPr>
                    <w:t>人</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b w:val="1"/>
          <w:color w:val="FF0000"/>
          <w:sz w:val="20"/>
        </w:rPr>
      </w:pPr>
      <w:r>
        <w:rPr>
          <w:rFonts w:hint="default"/>
          <w:color w:val="FF0000"/>
        </w:rPr>
        <w:br w:type="page"/>
      </w:r>
    </w:p>
    <w:p>
      <w:pPr>
        <w:pStyle w:val="4"/>
        <w:rPr>
          <w:rFonts w:hint="default"/>
        </w:rPr>
      </w:pPr>
      <w:r>
        <w:rPr>
          <w:rFonts w:hint="eastAsia"/>
        </w:rPr>
        <w:t>「とっとと糖とおさらば教室（糖尿病予防･改善教室）」（仮称）」</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糖尿病の指標となる数値（</w:t>
            </w:r>
            <w:r>
              <w:rPr>
                <w:rFonts w:hint="eastAsia"/>
              </w:rPr>
              <w:t>HbA1</w:t>
            </w:r>
            <w:r>
              <w:rPr>
                <w:rFonts w:hint="default"/>
              </w:rPr>
              <w:t>c</w:t>
            </w:r>
            <w:r>
              <w:rPr>
                <w:rFonts w:hint="eastAsia"/>
              </w:rPr>
              <w:t>）の改善のための適切な食事･運動･休養のとりかたを理解する。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健診で</w:t>
            </w:r>
            <w:r>
              <w:rPr>
                <w:rFonts w:hint="eastAsia"/>
              </w:rPr>
              <w:t>HbA1</w:t>
            </w:r>
            <w:r>
              <w:rPr>
                <w:rFonts w:hint="default"/>
              </w:rPr>
              <w:t>c</w:t>
            </w:r>
            <w:r>
              <w:rPr>
                <w:rFonts w:hint="eastAsia"/>
              </w:rPr>
              <w:t>が</w:t>
            </w:r>
            <w:r>
              <w:rPr>
                <w:rFonts w:hint="eastAsia"/>
              </w:rPr>
              <w:t>5.6</w:t>
            </w:r>
            <w:r>
              <w:rPr>
                <w:rFonts w:hint="eastAsia"/>
              </w:rPr>
              <w:t>以上</w:t>
            </w:r>
            <w:r>
              <w:rPr>
                <w:rFonts w:hint="eastAsia"/>
              </w:rPr>
              <w:t>6.5</w:t>
            </w:r>
            <w:r>
              <w:rPr>
                <w:rFonts w:hint="eastAsia"/>
              </w:rPr>
              <w:t>未満の方を対象に、全</w:t>
            </w:r>
            <w:r>
              <w:rPr>
                <w:rFonts w:hint="eastAsia"/>
              </w:rPr>
              <w:t>4</w:t>
            </w:r>
            <w:r>
              <w:rPr>
                <w:rFonts w:hint="eastAsia"/>
              </w:rPr>
              <w:t>回シリーズで糖尿病療養指導士や健康運動指導士等を講師に栄養･運動･休息についての講話と健康測定会を実施。</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color w:val="191F2B"/>
              </w:rPr>
              <w:t>特定健診で</w:t>
            </w:r>
            <w:r>
              <w:rPr>
                <w:rFonts w:hint="eastAsia"/>
              </w:rPr>
              <w:t>HbA1</w:t>
            </w:r>
            <w:r>
              <w:rPr>
                <w:rFonts w:hint="default"/>
              </w:rPr>
              <w:t>c</w:t>
            </w:r>
            <w:r>
              <w:rPr>
                <w:rFonts w:hint="eastAsia"/>
                <w:color w:val="191F2B"/>
              </w:rPr>
              <w:t>が</w:t>
            </w:r>
            <w:r>
              <w:rPr>
                <w:rFonts w:hint="eastAsia"/>
                <w:color w:val="191F2B"/>
              </w:rPr>
              <w:t>5.6</w:t>
            </w:r>
            <w:r>
              <w:rPr>
                <w:rFonts w:hint="eastAsia"/>
                <w:color w:val="191F2B"/>
              </w:rPr>
              <w:t>以上</w:t>
            </w:r>
            <w:r>
              <w:rPr>
                <w:rFonts w:hint="eastAsia"/>
                <w:color w:val="191F2B"/>
              </w:rPr>
              <w:t>6.5</w:t>
            </w:r>
            <w:r>
              <w:rPr>
                <w:rFonts w:hint="eastAsia"/>
                <w:color w:val="191F2B"/>
              </w:rPr>
              <w:t>未満の方</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参加率向上に向けての業者の選定</w:t>
            </w:r>
          </w:p>
          <w:p>
            <w:pPr>
              <w:pStyle w:val="0"/>
              <w:rPr>
                <w:rFonts w:hint="default"/>
              </w:rPr>
            </w:pPr>
            <w:r>
              <w:rPr>
                <w:rFonts w:hint="eastAsia"/>
              </w:rPr>
              <w:t>展示やリーフレット、シリーズ内容の工夫</w:t>
            </w:r>
          </w:p>
          <w:p>
            <w:pPr>
              <w:pStyle w:val="0"/>
              <w:rPr>
                <w:rFonts w:hint="default"/>
              </w:rPr>
            </w:pPr>
            <w:r>
              <w:rPr>
                <w:rFonts w:hint="eastAsia"/>
              </w:rPr>
              <w:t>周知方法</w:t>
            </w:r>
          </w:p>
          <w:p>
            <w:pPr>
              <w:pStyle w:val="0"/>
              <w:rPr>
                <w:rFonts w:hint="default"/>
              </w:rPr>
            </w:pPr>
            <w:r>
              <w:rPr>
                <w:rFonts w:hint="eastAsia"/>
              </w:rPr>
              <w:t>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教室の参加者数：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未実施</w:t>
                  </w:r>
                </w:p>
              </w:tc>
              <w:tc>
                <w:tcPr>
                  <w:tcW w:w="1108" w:type="dxa"/>
                  <w:tcMar>
                    <w:top w:w="28" w:type="dxa"/>
                    <w:left w:w="28" w:type="dxa"/>
                    <w:bottom w:w="28" w:type="dxa"/>
                    <w:right w:w="28" w:type="dxa"/>
                  </w:tcMar>
                  <w:vAlign w:val="top"/>
                </w:tcPr>
                <w:p>
                  <w:pPr>
                    <w:pStyle w:val="0"/>
                    <w:jc w:val="center"/>
                    <w:rPr>
                      <w:rFonts w:hint="default"/>
                    </w:rPr>
                  </w:pPr>
                  <w:r>
                    <w:rPr>
                      <w:rFonts w:hint="eastAsia"/>
                    </w:rPr>
                    <w:t>10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20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30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40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50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60</w:t>
                  </w:r>
                  <w:r>
                    <w:rPr>
                      <w:rFonts w:hint="eastAsia"/>
                    </w:rPr>
                    <w:t>人</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健診</w:t>
            </w:r>
            <w:r>
              <w:rPr>
                <w:rFonts w:hint="eastAsia"/>
              </w:rPr>
              <w:t>1</w:t>
            </w:r>
            <w:r>
              <w:rPr>
                <w:rFonts w:hint="eastAsia"/>
              </w:rPr>
              <w:t>年度の</w:t>
            </w:r>
            <w:r>
              <w:rPr>
                <w:rFonts w:hint="eastAsia"/>
              </w:rPr>
              <w:t>HbA1</w:t>
            </w:r>
            <w:r>
              <w:rPr>
                <w:rFonts w:hint="default"/>
              </w:rPr>
              <w:t>c</w:t>
            </w:r>
            <w:r>
              <w:rPr>
                <w:rFonts w:hint="eastAsia"/>
              </w:rPr>
              <w:t>が基準値内の者の割合：</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5</w:t>
                  </w:r>
                  <w:r>
                    <w:rPr>
                      <w:rFonts w:hint="default"/>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7</w:t>
                  </w:r>
                  <w:r>
                    <w:rPr>
                      <w:rFonts w:hint="default"/>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9</w:t>
                  </w:r>
                  <w:r>
                    <w:rPr>
                      <w:rFonts w:hint="default"/>
                    </w:rPr>
                    <w:t>%</w:t>
                  </w:r>
                </w:p>
              </w:tc>
              <w:tc>
                <w:tcPr>
                  <w:tcW w:w="1109" w:type="dxa"/>
                  <w:tcMar>
                    <w:top w:w="28" w:type="dxa"/>
                    <w:left w:w="28" w:type="dxa"/>
                    <w:bottom w:w="28" w:type="dxa"/>
                    <w:right w:w="28" w:type="dxa"/>
                  </w:tcMar>
                  <w:vAlign w:val="top"/>
                </w:tcPr>
                <w:p>
                  <w:pPr>
                    <w:pStyle w:val="0"/>
                    <w:jc w:val="center"/>
                    <w:rPr>
                      <w:rFonts w:hint="default"/>
                    </w:rPr>
                  </w:pPr>
                  <w:r>
                    <w:rPr>
                      <w:rFonts w:hint="eastAsia"/>
                    </w:rPr>
                    <w:t>11</w:t>
                  </w:r>
                  <w:r>
                    <w:rPr>
                      <w:rFonts w:hint="default"/>
                    </w:rPr>
                    <w:t>%</w:t>
                  </w:r>
                </w:p>
              </w:tc>
              <w:tc>
                <w:tcPr>
                  <w:tcW w:w="1109" w:type="dxa"/>
                  <w:tcMar>
                    <w:top w:w="28" w:type="dxa"/>
                    <w:left w:w="28" w:type="dxa"/>
                    <w:bottom w:w="28" w:type="dxa"/>
                    <w:right w:w="28" w:type="dxa"/>
                  </w:tcMar>
                  <w:vAlign w:val="top"/>
                </w:tcPr>
                <w:p>
                  <w:pPr>
                    <w:pStyle w:val="0"/>
                    <w:jc w:val="center"/>
                    <w:rPr>
                      <w:rFonts w:hint="default"/>
                    </w:rPr>
                  </w:pPr>
                  <w:r>
                    <w:rPr>
                      <w:rFonts w:hint="eastAsia"/>
                    </w:rPr>
                    <w:t>13%</w:t>
                  </w:r>
                </w:p>
              </w:tc>
              <w:tc>
                <w:tcPr>
                  <w:tcW w:w="1109" w:type="dxa"/>
                  <w:tcMar>
                    <w:top w:w="28" w:type="dxa"/>
                    <w:left w:w="28" w:type="dxa"/>
                    <w:bottom w:w="28" w:type="dxa"/>
                    <w:right w:w="28" w:type="dxa"/>
                  </w:tcMar>
                  <w:vAlign w:val="top"/>
                </w:tcPr>
                <w:p>
                  <w:pPr>
                    <w:pStyle w:val="0"/>
                    <w:jc w:val="center"/>
                    <w:rPr>
                      <w:rFonts w:hint="default"/>
                    </w:rPr>
                  </w:pPr>
                  <w:r>
                    <w:rPr>
                      <w:rFonts w:hint="eastAsia"/>
                    </w:rPr>
                    <w:t>15</w:t>
                  </w:r>
                  <w:r>
                    <w:rPr>
                      <w:rFonts w:hint="default"/>
                    </w:rPr>
                    <w:t>%</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b w:val="1"/>
          <w:color w:val="FF0000"/>
          <w:sz w:val="20"/>
        </w:rPr>
      </w:pPr>
      <w:r>
        <w:rPr>
          <w:rFonts w:hint="default"/>
          <w:color w:val="FF0000"/>
        </w:rPr>
        <w:br w:type="page"/>
      </w:r>
    </w:p>
    <w:p>
      <w:pPr>
        <w:pStyle w:val="4"/>
        <w:rPr>
          <w:rFonts w:hint="default"/>
        </w:rPr>
      </w:pPr>
      <w:r>
        <w:rPr>
          <w:rFonts w:hint="eastAsia"/>
        </w:rPr>
        <w:t>「健診時に（吸わん</w:t>
      </w:r>
      <w:r>
        <w:rPr>
          <w:rFonts w:hint="eastAsia"/>
        </w:rPr>
        <w:t>SWAN</w:t>
      </w:r>
      <w:r>
        <w:rPr>
          <w:rFonts w:hint="eastAsia"/>
        </w:rPr>
        <w:t>（すわん）体験ブースの設置」（仮称）」</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喫煙者が禁煙の必要性を実感し、禁煙行動を促進する。また非喫煙者にも周囲の喫煙者へ助言支援ができるよう正しい理解を得る。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eastAsia"/>
              </w:rPr>
            </w:pPr>
            <w:r>
              <w:rPr>
                <w:rFonts w:hint="eastAsia"/>
                <w:color w:val="191F2B"/>
              </w:rPr>
              <w:t>スモーカーライザー体験で動機付けをし、禁煙補助剤や禁煙外来･禁煙補助剤購入薬局一覧等の資料配布や展示をして禁煙をサポート。禁煙を考えさせる機会を設ける。</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color w:val="191F2B"/>
              </w:rPr>
              <w:t>特定健診で喫煙習慣があると回答した者、また非喫煙者でも受動喫煙の恐れのある者等</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実施率向上に向けての業者の選定</w:t>
            </w:r>
          </w:p>
          <w:p>
            <w:pPr>
              <w:pStyle w:val="0"/>
              <w:rPr>
                <w:rFonts w:hint="default"/>
              </w:rPr>
            </w:pPr>
            <w:r>
              <w:rPr>
                <w:rFonts w:hint="eastAsia"/>
              </w:rPr>
              <w:t>展示やリーフレット、設置コーナーの工夫</w:t>
            </w:r>
          </w:p>
          <w:p>
            <w:pPr>
              <w:pStyle w:val="0"/>
              <w:rPr>
                <w:rFonts w:hint="default"/>
              </w:rPr>
            </w:pPr>
            <w:r>
              <w:rPr>
                <w:rFonts w:hint="eastAsia"/>
              </w:rPr>
              <w:t>健診時の呼び込みとその反応</w:t>
            </w:r>
          </w:p>
          <w:p>
            <w:pPr>
              <w:pStyle w:val="0"/>
              <w:rPr>
                <w:rFonts w:hint="default"/>
              </w:rPr>
            </w:pPr>
            <w:r>
              <w:rPr>
                <w:rFonts w:hint="eastAsia"/>
              </w:rPr>
              <w:t>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禁煙体験ブースへの参加者数：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未実施</w:t>
                  </w:r>
                </w:p>
              </w:tc>
              <w:tc>
                <w:tcPr>
                  <w:tcW w:w="1108" w:type="dxa"/>
                  <w:tcMar>
                    <w:top w:w="28" w:type="dxa"/>
                    <w:left w:w="28" w:type="dxa"/>
                    <w:bottom w:w="28" w:type="dxa"/>
                    <w:right w:w="28" w:type="dxa"/>
                  </w:tcMar>
                  <w:vAlign w:val="top"/>
                </w:tcPr>
                <w:p>
                  <w:pPr>
                    <w:pStyle w:val="0"/>
                    <w:jc w:val="center"/>
                    <w:rPr>
                      <w:rFonts w:hint="default"/>
                    </w:rPr>
                  </w:pPr>
                  <w:r>
                    <w:rPr>
                      <w:rFonts w:hint="eastAsia"/>
                    </w:rPr>
                    <w:t>10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20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30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40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50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60</w:t>
                  </w:r>
                  <w:r>
                    <w:rPr>
                      <w:rFonts w:hint="eastAsia"/>
                    </w:rPr>
                    <w:t>人</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翌年度の健診受診者の喫煙者数の減少率：（質問項目から把握）</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未実施</w:t>
                  </w:r>
                </w:p>
              </w:tc>
              <w:tc>
                <w:tcPr>
                  <w:tcW w:w="1108" w:type="dxa"/>
                  <w:tcMar>
                    <w:top w:w="28" w:type="dxa"/>
                    <w:left w:w="28" w:type="dxa"/>
                    <w:bottom w:w="28" w:type="dxa"/>
                    <w:right w:w="28" w:type="dxa"/>
                  </w:tcMar>
                  <w:vAlign w:val="top"/>
                </w:tcPr>
                <w:p>
                  <w:pPr>
                    <w:pStyle w:val="0"/>
                    <w:jc w:val="center"/>
                    <w:rPr>
                      <w:rFonts w:hint="default"/>
                    </w:rPr>
                  </w:pPr>
                  <w:r>
                    <w:rPr>
                      <w:rFonts w:hint="eastAsia"/>
                    </w:rPr>
                    <w:t>5</w:t>
                  </w:r>
                  <w:r>
                    <w:rPr>
                      <w:rFonts w:hint="default"/>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7</w:t>
                  </w:r>
                  <w:r>
                    <w:rPr>
                      <w:rFonts w:hint="default"/>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9</w:t>
                  </w:r>
                  <w:r>
                    <w:rPr>
                      <w:rFonts w:hint="default"/>
                    </w:rPr>
                    <w:t>%</w:t>
                  </w:r>
                </w:p>
              </w:tc>
              <w:tc>
                <w:tcPr>
                  <w:tcW w:w="1109" w:type="dxa"/>
                  <w:tcMar>
                    <w:top w:w="28" w:type="dxa"/>
                    <w:left w:w="28" w:type="dxa"/>
                    <w:bottom w:w="28" w:type="dxa"/>
                    <w:right w:w="28" w:type="dxa"/>
                  </w:tcMar>
                  <w:vAlign w:val="top"/>
                </w:tcPr>
                <w:p>
                  <w:pPr>
                    <w:pStyle w:val="0"/>
                    <w:jc w:val="center"/>
                    <w:rPr>
                      <w:rFonts w:hint="default"/>
                    </w:rPr>
                  </w:pPr>
                  <w:r>
                    <w:rPr>
                      <w:rFonts w:hint="eastAsia"/>
                    </w:rPr>
                    <w:t>11</w:t>
                  </w:r>
                  <w:r>
                    <w:rPr>
                      <w:rFonts w:hint="default"/>
                    </w:rPr>
                    <w:t>%</w:t>
                  </w:r>
                </w:p>
              </w:tc>
              <w:tc>
                <w:tcPr>
                  <w:tcW w:w="1109" w:type="dxa"/>
                  <w:tcMar>
                    <w:top w:w="28" w:type="dxa"/>
                    <w:left w:w="28" w:type="dxa"/>
                    <w:bottom w:w="28" w:type="dxa"/>
                    <w:right w:w="28" w:type="dxa"/>
                  </w:tcMar>
                  <w:vAlign w:val="top"/>
                </w:tcPr>
                <w:p>
                  <w:pPr>
                    <w:pStyle w:val="0"/>
                    <w:jc w:val="center"/>
                    <w:rPr>
                      <w:rFonts w:hint="default"/>
                    </w:rPr>
                  </w:pPr>
                  <w:r>
                    <w:rPr>
                      <w:rFonts w:hint="eastAsia"/>
                    </w:rPr>
                    <w:t>13%</w:t>
                  </w:r>
                </w:p>
              </w:tc>
              <w:tc>
                <w:tcPr>
                  <w:tcW w:w="1109" w:type="dxa"/>
                  <w:tcMar>
                    <w:top w:w="28" w:type="dxa"/>
                    <w:left w:w="28" w:type="dxa"/>
                    <w:bottom w:w="28" w:type="dxa"/>
                    <w:right w:w="28" w:type="dxa"/>
                  </w:tcMar>
                  <w:vAlign w:val="top"/>
                </w:tcPr>
                <w:p>
                  <w:pPr>
                    <w:pStyle w:val="0"/>
                    <w:jc w:val="center"/>
                    <w:rPr>
                      <w:rFonts w:hint="default"/>
                    </w:rPr>
                  </w:pPr>
                  <w:r>
                    <w:rPr>
                      <w:rFonts w:hint="eastAsia"/>
                    </w:rPr>
                    <w:t>15</w:t>
                  </w:r>
                  <w:r>
                    <w:rPr>
                      <w:rFonts w:hint="default"/>
                    </w:rPr>
                    <w:t>%</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b w:val="1"/>
          <w:color w:val="FF0000"/>
          <w:sz w:val="20"/>
        </w:rPr>
      </w:pPr>
      <w:r>
        <w:rPr>
          <w:rFonts w:hint="default"/>
          <w:color w:val="FF0000"/>
        </w:rPr>
        <w:br w:type="page"/>
      </w:r>
    </w:p>
    <w:p>
      <w:pPr>
        <w:pStyle w:val="4"/>
        <w:rPr>
          <w:rFonts w:hint="default"/>
        </w:rPr>
      </w:pPr>
      <w:r>
        <w:rPr>
          <w:rFonts w:hint="eastAsia"/>
        </w:rPr>
        <w:t>「コレステ！スッキリ改善教室</w:t>
      </w:r>
      <w:r>
        <w:rPr>
          <w:rFonts w:hint="eastAsia"/>
        </w:rPr>
        <w:t>(</w:t>
      </w:r>
      <w:r>
        <w:rPr>
          <w:rFonts w:hint="eastAsia"/>
        </w:rPr>
        <w:t>脂質異常改善教室）」（仮称）」</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コレステロールや中性脂肪の数値改善のために適切な栄養や運動等の正しい知識を得て、自身の生活習慣を見直し、運動習慣の定着を目的とする。また必要の応じて医療機関の受診勧奨を行い、適切な受療行動を促す。</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特定健診等でコレステロールや中性脂肪の値が保健指導判定値の方を対象に通知し、全</w:t>
            </w:r>
            <w:r>
              <w:rPr>
                <w:rFonts w:hint="eastAsia"/>
              </w:rPr>
              <w:t>4</w:t>
            </w:r>
            <w:r>
              <w:rPr>
                <w:rFonts w:hint="eastAsia"/>
              </w:rPr>
              <w:t>回シリーズで専門職を講師に栄養･運動等についての講話と運動教室を実施。</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rPr>
              <w:t>特定健診で脂質（中性脂肪、コレステロール等）の異常値のある者</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実施率向上に向けての業者の選定</w:t>
            </w:r>
          </w:p>
          <w:p>
            <w:pPr>
              <w:pStyle w:val="0"/>
              <w:rPr>
                <w:rFonts w:hint="default"/>
              </w:rPr>
            </w:pPr>
            <w:r>
              <w:rPr>
                <w:rFonts w:hint="eastAsia"/>
              </w:rPr>
              <w:t>周知方法と周知資材の工夫</w:t>
            </w:r>
          </w:p>
          <w:p>
            <w:pPr>
              <w:pStyle w:val="0"/>
              <w:rPr>
                <w:rFonts w:hint="default"/>
              </w:rPr>
            </w:pPr>
            <w:r>
              <w:rPr>
                <w:rFonts w:hint="eastAsia"/>
              </w:rPr>
              <w:t>健診時の呼び込みとその反応</w:t>
            </w:r>
          </w:p>
          <w:p>
            <w:pPr>
              <w:pStyle w:val="0"/>
              <w:rPr>
                <w:rFonts w:hint="default"/>
              </w:rPr>
            </w:pPr>
            <w:r>
              <w:rPr>
                <w:rFonts w:hint="eastAsia"/>
              </w:rPr>
              <w:t>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教室の参加者数：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未実施</w:t>
                  </w:r>
                </w:p>
              </w:tc>
              <w:tc>
                <w:tcPr>
                  <w:tcW w:w="1108" w:type="dxa"/>
                  <w:tcMar>
                    <w:top w:w="28" w:type="dxa"/>
                    <w:left w:w="28" w:type="dxa"/>
                    <w:bottom w:w="28" w:type="dxa"/>
                    <w:right w:w="28" w:type="dxa"/>
                  </w:tcMar>
                  <w:vAlign w:val="top"/>
                </w:tcPr>
                <w:p>
                  <w:pPr>
                    <w:pStyle w:val="0"/>
                    <w:jc w:val="center"/>
                    <w:rPr>
                      <w:rFonts w:hint="default"/>
                    </w:rPr>
                  </w:pPr>
                  <w:r>
                    <w:rPr>
                      <w:rFonts w:hint="eastAsia"/>
                    </w:rPr>
                    <w:t>20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30</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40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50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60</w:t>
                  </w:r>
                  <w:r>
                    <w:rPr>
                      <w:rFonts w:hint="eastAsia"/>
                    </w:rPr>
                    <w:t>人　　　</w:t>
                  </w:r>
                </w:p>
              </w:tc>
              <w:tc>
                <w:tcPr>
                  <w:tcW w:w="1109" w:type="dxa"/>
                  <w:tcMar>
                    <w:top w:w="28" w:type="dxa"/>
                    <w:left w:w="28" w:type="dxa"/>
                    <w:bottom w:w="28" w:type="dxa"/>
                    <w:right w:w="28" w:type="dxa"/>
                  </w:tcMar>
                  <w:vAlign w:val="top"/>
                </w:tcPr>
                <w:p>
                  <w:pPr>
                    <w:pStyle w:val="0"/>
                    <w:ind w:firstLine="320" w:firstLineChars="200"/>
                    <w:jc w:val="both"/>
                    <w:rPr>
                      <w:rFonts w:hint="default"/>
                    </w:rPr>
                  </w:pPr>
                  <w:r>
                    <w:rPr>
                      <w:rFonts w:hint="eastAsia"/>
                    </w:rPr>
                    <w:t>　</w:t>
                  </w:r>
                  <w:r>
                    <w:rPr>
                      <w:rFonts w:hint="eastAsia"/>
                    </w:rPr>
                    <w:t>80</w:t>
                  </w:r>
                  <w:r>
                    <w:rPr>
                      <w:rFonts w:hint="eastAsia"/>
                    </w:rPr>
                    <w:t>人</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翌年度健診の</w:t>
            </w:r>
            <w:r>
              <w:rPr>
                <w:rFonts w:hint="default"/>
              </w:rPr>
              <w:t>LDL-C</w:t>
            </w:r>
            <w:r>
              <w:rPr>
                <w:rFonts w:hint="eastAsia"/>
              </w:rPr>
              <w:t>の改善率：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未実施</w:t>
                  </w:r>
                </w:p>
              </w:tc>
              <w:tc>
                <w:tcPr>
                  <w:tcW w:w="1108" w:type="dxa"/>
                  <w:tcMar>
                    <w:top w:w="28" w:type="dxa"/>
                    <w:left w:w="28" w:type="dxa"/>
                    <w:bottom w:w="28" w:type="dxa"/>
                    <w:right w:w="28" w:type="dxa"/>
                  </w:tcMar>
                  <w:vAlign w:val="top"/>
                </w:tcPr>
                <w:p>
                  <w:pPr>
                    <w:pStyle w:val="0"/>
                    <w:jc w:val="center"/>
                    <w:rPr>
                      <w:rFonts w:hint="default"/>
                    </w:rPr>
                  </w:pPr>
                  <w:r>
                    <w:rPr>
                      <w:rFonts w:hint="eastAsia"/>
                    </w:rPr>
                    <w:t>5</w:t>
                  </w:r>
                  <w:r>
                    <w:rPr>
                      <w:rFonts w:hint="default"/>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7</w:t>
                  </w:r>
                  <w:r>
                    <w:rPr>
                      <w:rFonts w:hint="default"/>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9</w:t>
                  </w:r>
                  <w:r>
                    <w:rPr>
                      <w:rFonts w:hint="default"/>
                    </w:rPr>
                    <w:t>%</w:t>
                  </w:r>
                </w:p>
              </w:tc>
              <w:tc>
                <w:tcPr>
                  <w:tcW w:w="1109" w:type="dxa"/>
                  <w:tcMar>
                    <w:top w:w="28" w:type="dxa"/>
                    <w:left w:w="28" w:type="dxa"/>
                    <w:bottom w:w="28" w:type="dxa"/>
                    <w:right w:w="28" w:type="dxa"/>
                  </w:tcMar>
                  <w:vAlign w:val="top"/>
                </w:tcPr>
                <w:p>
                  <w:pPr>
                    <w:pStyle w:val="0"/>
                    <w:jc w:val="center"/>
                    <w:rPr>
                      <w:rFonts w:hint="default"/>
                    </w:rPr>
                  </w:pPr>
                  <w:r>
                    <w:rPr>
                      <w:rFonts w:hint="eastAsia"/>
                    </w:rPr>
                    <w:t>11</w:t>
                  </w:r>
                  <w:r>
                    <w:rPr>
                      <w:rFonts w:hint="default"/>
                    </w:rPr>
                    <w:t>%</w:t>
                  </w:r>
                </w:p>
              </w:tc>
              <w:tc>
                <w:tcPr>
                  <w:tcW w:w="1109" w:type="dxa"/>
                  <w:tcMar>
                    <w:top w:w="28" w:type="dxa"/>
                    <w:left w:w="28" w:type="dxa"/>
                    <w:bottom w:w="28" w:type="dxa"/>
                    <w:right w:w="28" w:type="dxa"/>
                  </w:tcMar>
                  <w:vAlign w:val="top"/>
                </w:tcPr>
                <w:p>
                  <w:pPr>
                    <w:pStyle w:val="0"/>
                    <w:jc w:val="center"/>
                    <w:rPr>
                      <w:rFonts w:hint="default"/>
                    </w:rPr>
                  </w:pPr>
                  <w:r>
                    <w:rPr>
                      <w:rFonts w:hint="eastAsia"/>
                    </w:rPr>
                    <w:t>13%</w:t>
                  </w:r>
                </w:p>
              </w:tc>
              <w:tc>
                <w:tcPr>
                  <w:tcW w:w="1109" w:type="dxa"/>
                  <w:tcMar>
                    <w:top w:w="28" w:type="dxa"/>
                    <w:left w:w="28" w:type="dxa"/>
                    <w:bottom w:w="28" w:type="dxa"/>
                    <w:right w:w="28" w:type="dxa"/>
                  </w:tcMar>
                  <w:vAlign w:val="top"/>
                </w:tcPr>
                <w:p>
                  <w:pPr>
                    <w:pStyle w:val="0"/>
                    <w:jc w:val="center"/>
                    <w:rPr>
                      <w:rFonts w:hint="default"/>
                    </w:rPr>
                  </w:pPr>
                  <w:r>
                    <w:rPr>
                      <w:rFonts w:hint="eastAsia"/>
                    </w:rPr>
                    <w:t>15</w:t>
                  </w:r>
                  <w:r>
                    <w:rPr>
                      <w:rFonts w:hint="default"/>
                    </w:rPr>
                    <w:t>%</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rPr>
      </w:pPr>
      <w:r>
        <w:rPr>
          <w:rFonts w:hint="default"/>
        </w:rPr>
        <w:br w:type="page"/>
      </w:r>
    </w:p>
    <w:p>
      <w:pPr>
        <w:pStyle w:val="3"/>
        <w:rPr>
          <w:rFonts w:hint="default"/>
        </w:rPr>
      </w:pPr>
      <w:bookmarkStart w:id="211" w:name="_Toc152851366"/>
      <w:bookmarkStart w:id="212" w:name="_Toc162548728"/>
      <w:r>
        <w:rPr>
          <w:rFonts w:hint="eastAsia"/>
        </w:rPr>
        <w:t>重症化予防</w:t>
      </w:r>
      <w:bookmarkEnd w:id="211"/>
      <w:bookmarkEnd w:id="212"/>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894"/>
        <w:gridCol w:w="1054"/>
        <w:gridCol w:w="2786"/>
        <w:gridCol w:w="4641"/>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2</w:t>
            </w:r>
            <w:r>
              <w:rPr>
                <w:rFonts w:hint="eastAsia"/>
                <w:b w:val="1"/>
                <w:color w:val="000000"/>
                <w:sz w:val="20"/>
              </w:rPr>
              <w:t>期計画における取組と評価</w:t>
            </w:r>
          </w:p>
        </w:tc>
      </w:tr>
      <w:tr>
        <w:trPr>
          <w:trHeight w:val="20"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目標分類</w:t>
            </w:r>
          </w:p>
        </w:tc>
        <w:tc>
          <w:tcPr>
            <w:tcW w:w="56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評価</w:t>
            </w:r>
          </w:p>
        </w:tc>
        <w:tc>
          <w:tcPr>
            <w:tcW w:w="3961" w:type="pct"/>
            <w:gridSpan w:val="2"/>
            <w:shd w:val="clear" w:color="auto" w:fill="EFEFEF"/>
            <w:tcMar>
              <w:top w:w="28" w:type="dxa"/>
              <w:left w:w="28" w:type="dxa"/>
              <w:bottom w:w="28" w:type="dxa"/>
              <w:right w:w="28" w:type="dxa"/>
            </w:tcMar>
            <w:vAlign w:val="center"/>
          </w:tcPr>
          <w:p>
            <w:pPr>
              <w:pStyle w:val="0"/>
              <w:ind w:firstLine="1920" w:firstLineChars="1200"/>
              <w:jc w:val="both"/>
              <w:rPr>
                <w:rFonts w:hint="default"/>
              </w:rPr>
            </w:pPr>
            <w:r>
              <w:rPr>
                <w:rFonts w:hint="eastAsia"/>
                <w:b w:val="1"/>
                <w:color w:val="000000"/>
              </w:rPr>
              <w:t>重症化予防に関連するデータヘルス計画の目標</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長期</w:t>
            </w:r>
          </w:p>
        </w:tc>
        <w:tc>
          <w:tcPr>
            <w:tcW w:w="562" w:type="pct"/>
            <w:tcMar>
              <w:top w:w="28" w:type="dxa"/>
              <w:left w:w="28" w:type="dxa"/>
              <w:bottom w:w="28" w:type="dxa"/>
              <w:right w:w="28" w:type="dxa"/>
            </w:tcMar>
            <w:vAlign w:val="center"/>
          </w:tcPr>
          <w:p>
            <w:pPr>
              <w:pStyle w:val="0"/>
              <w:jc w:val="center"/>
              <w:rPr>
                <w:rFonts w:hint="default"/>
              </w:rPr>
            </w:pPr>
            <w:r>
              <w:rPr>
                <w:rFonts w:hint="eastAsia"/>
              </w:rPr>
              <w:t>E</w:t>
            </w:r>
          </w:p>
        </w:tc>
        <w:tc>
          <w:tcPr>
            <w:tcW w:w="3961" w:type="pct"/>
            <w:gridSpan w:val="2"/>
            <w:tcMar>
              <w:top w:w="28" w:type="dxa"/>
              <w:left w:w="28" w:type="dxa"/>
              <w:bottom w:w="28" w:type="dxa"/>
              <w:right w:w="28" w:type="dxa"/>
            </w:tcMar>
            <w:vAlign w:val="center"/>
          </w:tcPr>
          <w:p>
            <w:pPr>
              <w:pStyle w:val="0"/>
              <w:snapToGrid w:val="0"/>
              <w:jc w:val="both"/>
              <w:rPr>
                <w:rFonts w:hint="default"/>
              </w:rPr>
            </w:pPr>
            <w:r>
              <w:rPr>
                <w:rFonts w:hint="eastAsia"/>
              </w:rPr>
              <w:t>糖尿病性腎症をはじめとする糖尿病合併症発症予防、新規人工透析導入者ゼロに抑制</w:t>
            </w:r>
          </w:p>
        </w:tc>
      </w:tr>
      <w:tr>
        <w:trPr>
          <w:trHeight w:val="24"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事業評価</w:t>
            </w:r>
          </w:p>
        </w:tc>
        <w:tc>
          <w:tcPr>
            <w:tcW w:w="562" w:type="pct"/>
            <w:shd w:val="clear" w:color="auto" w:fill="EFEFEF"/>
            <w:tcMar>
              <w:top w:w="28" w:type="dxa"/>
              <w:left w:w="28" w:type="dxa"/>
              <w:bottom w:w="28" w:type="dxa"/>
              <w:right w:w="28" w:type="dxa"/>
            </w:tcMar>
            <w:vAlign w:val="center"/>
          </w:tcPr>
          <w:p>
            <w:pPr>
              <w:pStyle w:val="0"/>
              <w:jc w:val="center"/>
              <w:rPr>
                <w:rFonts w:hint="default"/>
                <w:b w:val="1"/>
                <w:color w:val="000000"/>
              </w:rPr>
            </w:pPr>
            <w:r>
              <w:rPr>
                <w:rFonts w:hint="eastAsia"/>
                <w:b w:val="1"/>
                <w:color w:val="000000"/>
              </w:rPr>
              <w:t>事業</w:t>
            </w:r>
          </w:p>
          <w:p>
            <w:pPr>
              <w:pStyle w:val="0"/>
              <w:jc w:val="center"/>
              <w:rPr>
                <w:rFonts w:hint="default"/>
              </w:rPr>
            </w:pPr>
            <w:r>
              <w:rPr>
                <w:rFonts w:hint="eastAsia"/>
                <w:b w:val="1"/>
                <w:color w:val="000000"/>
              </w:rPr>
              <w:t>アウトカム</w:t>
            </w:r>
          </w:p>
        </w:tc>
        <w:tc>
          <w:tcPr>
            <w:tcW w:w="1486"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7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4" w:hRule="atLeast"/>
        </w:trPr>
        <w:tc>
          <w:tcPr>
            <w:tcW w:w="477" w:type="pct"/>
            <w:tcMar>
              <w:top w:w="28" w:type="dxa"/>
              <w:left w:w="28" w:type="dxa"/>
              <w:bottom w:w="28" w:type="dxa"/>
              <w:right w:w="28" w:type="dxa"/>
            </w:tcMar>
            <w:vAlign w:val="center"/>
          </w:tcPr>
          <w:p>
            <w:pPr>
              <w:pStyle w:val="0"/>
              <w:rPr>
                <w:rFonts w:hint="default"/>
              </w:rPr>
            </w:pPr>
            <w:r>
              <w:rPr>
                <w:rFonts w:hint="eastAsia"/>
              </w:rPr>
              <w:t>　　</w:t>
            </w:r>
            <w:r>
              <w:rPr>
                <w:rFonts w:hint="eastAsia"/>
              </w:rPr>
              <w:t>B</w:t>
            </w:r>
          </w:p>
        </w:tc>
        <w:tc>
          <w:tcPr>
            <w:tcW w:w="562" w:type="pct"/>
            <w:tcMar>
              <w:top w:w="28" w:type="dxa"/>
              <w:left w:w="28" w:type="dxa"/>
              <w:bottom w:w="28" w:type="dxa"/>
              <w:right w:w="28" w:type="dxa"/>
            </w:tcMar>
            <w:vAlign w:val="center"/>
          </w:tcPr>
          <w:p>
            <w:pPr>
              <w:pStyle w:val="0"/>
              <w:rPr>
                <w:rFonts w:hint="default"/>
              </w:rPr>
            </w:pPr>
            <w:r>
              <w:rPr>
                <w:rFonts w:hint="eastAsia"/>
              </w:rPr>
              <w:t>翌年度の健診結果の</w:t>
            </w:r>
            <w:r>
              <w:rPr>
                <w:rFonts w:hint="eastAsia"/>
              </w:rPr>
              <w:t>HbA1</w:t>
            </w:r>
            <w:r>
              <w:rPr>
                <w:rFonts w:hint="default"/>
              </w:rPr>
              <w:t>c</w:t>
            </w:r>
            <w:r>
              <w:rPr>
                <w:rFonts w:hint="eastAsia"/>
              </w:rPr>
              <w:t>の検査数値の改善率</w:t>
            </w:r>
          </w:p>
        </w:tc>
        <w:tc>
          <w:tcPr>
            <w:tcW w:w="1486" w:type="pct"/>
            <w:tcMar>
              <w:top w:w="28" w:type="dxa"/>
              <w:left w:w="28" w:type="dxa"/>
              <w:bottom w:w="28" w:type="dxa"/>
              <w:right w:w="28" w:type="dxa"/>
            </w:tcMar>
            <w:vAlign w:val="center"/>
          </w:tcPr>
          <w:p>
            <w:pPr>
              <w:pStyle w:val="0"/>
              <w:snapToGrid w:val="0"/>
              <w:jc w:val="both"/>
              <w:rPr>
                <w:rFonts w:hint="default"/>
              </w:rPr>
            </w:pPr>
            <w:r>
              <w:rPr>
                <w:rFonts w:hint="eastAsia"/>
              </w:rPr>
              <w:t>糖尿病性腎症重症化予防事業</w:t>
            </w:r>
          </w:p>
        </w:tc>
        <w:tc>
          <w:tcPr>
            <w:tcW w:w="2475" w:type="pct"/>
            <w:tcMar>
              <w:top w:w="28" w:type="dxa"/>
              <w:left w:w="28" w:type="dxa"/>
              <w:bottom w:w="28" w:type="dxa"/>
              <w:right w:w="28" w:type="dxa"/>
            </w:tcMar>
            <w:vAlign w:val="center"/>
          </w:tcPr>
          <w:p>
            <w:pPr>
              <w:pStyle w:val="0"/>
              <w:rPr>
                <w:rFonts w:hint="default"/>
              </w:rPr>
            </w:pPr>
            <w:r>
              <w:rPr>
                <w:rFonts w:hint="eastAsia"/>
              </w:rPr>
              <w:t>前年度の特定健診結果データ等を分析し、分析結果をもとに介入対象者を決定し、対象者の状況･重症度に応じて医療機関への受診勧奨や保健指導を通知･電話等により実施する。</w:t>
            </w:r>
          </w:p>
        </w:tc>
      </w:tr>
    </w:tbl>
    <w:p>
      <w:pPr>
        <w:pStyle w:val="0"/>
        <w:jc w:val="center"/>
        <w:rPr>
          <w:rFonts w:hint="default"/>
          <w:b w:val="1"/>
          <w:color w:val="1D1C1D"/>
          <w:sz w:val="18"/>
        </w:rPr>
      </w:pPr>
      <w:r>
        <w:rPr>
          <w:rFonts w:hint="default"/>
          <w:b w:val="1"/>
          <w:color w:val="1D1C1D"/>
          <w:sz w:val="18"/>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9375"/>
      </w:tblGrid>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期計画における重症化予防に関連する健康課題</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sz w:val="16"/>
              </w:rPr>
            </w:pPr>
            <w:r>
              <w:rPr>
                <w:rFonts w:hint="eastAsia"/>
                <w:sz w:val="16"/>
              </w:rPr>
              <w:t>#</w:t>
            </w:r>
            <w:r>
              <w:rPr>
                <w:rFonts w:hint="default"/>
                <w:sz w:val="16"/>
              </w:rPr>
              <w:t>4</w:t>
            </w:r>
            <w:r>
              <w:rPr>
                <w:rFonts w:hint="eastAsia"/>
                <w:sz w:val="16"/>
              </w:rPr>
              <w:t>　重篤な疾患の発症を防ぐことを目的に、健診受診率の向上をはかり、受診の結果「受診勧奨判定値」を超えた人に対して、適切に医療機関の受診につなげることが必要。</w:t>
            </w:r>
          </w:p>
        </w:tc>
      </w:tr>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rPr>
              <w:t>第</w:t>
            </w:r>
            <w:r>
              <w:rPr>
                <w:rFonts w:hint="eastAsia"/>
                <w:b w:val="1"/>
                <w:color w:val="000000"/>
              </w:rPr>
              <w:t>3</w:t>
            </w:r>
            <w:r>
              <w:rPr>
                <w:rFonts w:hint="eastAsia"/>
                <w:b w:val="1"/>
                <w:color w:val="000000"/>
              </w:rPr>
              <w:t>期計画における重症化予防に関連するデータヘルス計画の目標</w:t>
            </w:r>
          </w:p>
        </w:tc>
      </w:tr>
      <w:tr>
        <w:trPr>
          <w:trHeight w:val="20" w:hRule="atLeast"/>
        </w:trPr>
        <w:tc>
          <w:tcPr>
            <w:tcW w:w="5000" w:type="pct"/>
            <w:tcMar>
              <w:top w:w="28" w:type="dxa"/>
              <w:left w:w="28" w:type="dxa"/>
              <w:bottom w:w="28" w:type="dxa"/>
              <w:right w:w="28" w:type="dxa"/>
            </w:tcMar>
            <w:vAlign w:val="center"/>
          </w:tcPr>
          <w:p>
            <w:pPr>
              <w:pStyle w:val="59"/>
              <w:snapToGrid w:val="0"/>
              <w:rPr>
                <w:rFonts w:hint="default"/>
                <w:sz w:val="16"/>
              </w:rPr>
            </w:pPr>
            <w:r>
              <w:rPr>
                <w:rFonts w:hint="eastAsia"/>
                <w:sz w:val="16"/>
              </w:rPr>
              <w:t>特定健診受診者の内、</w:t>
            </w:r>
          </w:p>
          <w:p>
            <w:pPr>
              <w:pStyle w:val="59"/>
              <w:snapToGrid w:val="0"/>
              <w:rPr>
                <w:rFonts w:hint="default"/>
                <w:sz w:val="16"/>
              </w:rPr>
            </w:pPr>
            <w:r>
              <w:rPr>
                <w:rFonts w:hint="default"/>
                <w:sz w:val="16"/>
              </w:rPr>
              <w:t>HbA1C</w:t>
            </w:r>
            <w:r>
              <w:rPr>
                <w:rFonts w:hint="default"/>
                <w:sz w:val="16"/>
              </w:rPr>
              <w:t>が</w:t>
            </w:r>
            <w:r>
              <w:rPr>
                <w:rFonts w:hint="default"/>
                <w:sz w:val="16"/>
              </w:rPr>
              <w:t>6.5%</w:t>
            </w:r>
            <w:r>
              <w:rPr>
                <w:rFonts w:hint="default"/>
                <w:sz w:val="16"/>
              </w:rPr>
              <w:t>以上で治療中の者の</w:t>
            </w:r>
            <w:r>
              <w:rPr>
                <w:rFonts w:hint="eastAsia"/>
                <w:sz w:val="16"/>
              </w:rPr>
              <w:t>割合の増加</w:t>
            </w:r>
          </w:p>
          <w:p>
            <w:pPr>
              <w:pStyle w:val="59"/>
              <w:snapToGrid w:val="0"/>
              <w:rPr>
                <w:rFonts w:hint="default"/>
                <w:sz w:val="16"/>
              </w:rPr>
            </w:pPr>
            <w:r>
              <w:rPr>
                <w:rFonts w:hint="default"/>
                <w:sz w:val="16"/>
              </w:rPr>
              <w:t>血圧が</w:t>
            </w:r>
            <w:r>
              <w:rPr>
                <w:rFonts w:hint="default"/>
                <w:sz w:val="16"/>
              </w:rPr>
              <w:t>Ⅰ</w:t>
            </w:r>
            <w:r>
              <w:rPr>
                <w:rFonts w:hint="default"/>
                <w:sz w:val="16"/>
              </w:rPr>
              <w:t>度高血圧以上で治療中の者の割合</w:t>
            </w:r>
            <w:r>
              <w:rPr>
                <w:rFonts w:hint="eastAsia"/>
                <w:sz w:val="16"/>
              </w:rPr>
              <w:t>の増加</w:t>
            </w:r>
          </w:p>
          <w:p>
            <w:pPr>
              <w:pStyle w:val="59"/>
              <w:rPr>
                <w:rFonts w:hint="default"/>
                <w:sz w:val="16"/>
              </w:rPr>
            </w:pPr>
            <w:r>
              <w:rPr>
                <w:rFonts w:hint="default"/>
                <w:sz w:val="16"/>
              </w:rPr>
              <w:t>LDL-C</w:t>
            </w:r>
            <w:r>
              <w:rPr>
                <w:rFonts w:hint="default"/>
                <w:sz w:val="16"/>
              </w:rPr>
              <w:t>が</w:t>
            </w:r>
            <w:r>
              <w:rPr>
                <w:rFonts w:hint="default"/>
                <w:sz w:val="16"/>
              </w:rPr>
              <w:t>140</w:t>
            </w:r>
            <w:r>
              <w:rPr>
                <w:rFonts w:hint="eastAsia"/>
                <w:sz w:val="16"/>
              </w:rPr>
              <w:t>m</w:t>
            </w:r>
            <w:r>
              <w:rPr>
                <w:rFonts w:hint="default"/>
                <w:sz w:val="16"/>
              </w:rPr>
              <w:t>g/dl</w:t>
            </w:r>
            <w:r>
              <w:rPr>
                <w:rFonts w:hint="default"/>
                <w:sz w:val="16"/>
              </w:rPr>
              <w:t>以上で治療中の者の割合</w:t>
            </w:r>
            <w:r>
              <w:rPr>
                <w:rFonts w:hint="eastAsia"/>
                <w:sz w:val="16"/>
              </w:rPr>
              <w:t>の増加</w:t>
            </w:r>
          </w:p>
          <w:p>
            <w:pPr>
              <w:pStyle w:val="59"/>
              <w:rPr>
                <w:rFonts w:hint="default"/>
                <w:sz w:val="20"/>
              </w:rPr>
            </w:pPr>
            <w:r>
              <w:rPr>
                <w:rFonts w:hint="eastAsia"/>
                <w:sz w:val="16"/>
              </w:rPr>
              <w:t>e</w:t>
            </w:r>
            <w:r>
              <w:rPr>
                <w:rFonts w:hint="default"/>
                <w:sz w:val="16"/>
              </w:rPr>
              <w:t>GFR</w:t>
            </w:r>
            <w:r>
              <w:rPr>
                <w:rFonts w:hint="eastAsia"/>
                <w:sz w:val="16"/>
              </w:rPr>
              <w:t>が</w:t>
            </w:r>
            <w:r>
              <w:rPr>
                <w:rFonts w:hint="eastAsia"/>
                <w:sz w:val="16"/>
              </w:rPr>
              <w:t>4</w:t>
            </w:r>
            <w:r>
              <w:rPr>
                <w:rFonts w:hint="default"/>
                <w:sz w:val="16"/>
              </w:rPr>
              <w:t>5 ml/</w:t>
            </w:r>
            <w:r>
              <w:rPr>
                <w:rFonts w:hint="default"/>
                <w:sz w:val="16"/>
              </w:rPr>
              <w:t>分</w:t>
            </w:r>
            <w:r>
              <w:rPr>
                <w:rFonts w:hint="default"/>
                <w:sz w:val="16"/>
              </w:rPr>
              <w:t>/1.73m</w:t>
            </w:r>
            <w:r>
              <w:rPr>
                <w:rFonts w:hint="default"/>
                <w:sz w:val="16"/>
                <w:vertAlign w:val="superscript"/>
              </w:rPr>
              <w:t>2</w:t>
            </w:r>
            <w:r>
              <w:rPr>
                <w:rFonts w:hint="default"/>
                <w:sz w:val="16"/>
              </w:rPr>
              <w:t>未満</w:t>
            </w:r>
            <w:r>
              <w:rPr>
                <w:rFonts w:hint="eastAsia"/>
                <w:sz w:val="16"/>
              </w:rPr>
              <w:t>で治療中の者の割合の増加</w:t>
            </w:r>
          </w:p>
        </w:tc>
      </w:tr>
    </w:tbl>
    <w:p>
      <w:pPr>
        <w:pStyle w:val="0"/>
        <w:jc w:val="center"/>
        <w:rPr>
          <w:rFonts w:hint="default"/>
          <w:b w:val="1"/>
          <w:color w:val="1D1C1D"/>
          <w:sz w:val="18"/>
        </w:rPr>
      </w:pPr>
      <w:r>
        <w:rPr>
          <w:rFonts w:hint="default"/>
          <w:b w:val="1"/>
          <w:color w:val="1D1C1D"/>
          <w:sz w:val="18"/>
        </w:rPr>
        <w:t>▼</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98"/>
        <w:gridCol w:w="1108"/>
        <w:gridCol w:w="2109"/>
        <w:gridCol w:w="4560"/>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期計画における重症化予防に関連する保健事業</w:t>
            </w:r>
          </w:p>
        </w:tc>
      </w:tr>
      <w:tr>
        <w:trPr>
          <w:trHeight w:val="20" w:hRule="atLeast"/>
        </w:trPr>
        <w:tc>
          <w:tcPr>
            <w:tcW w:w="5000" w:type="pct"/>
            <w:gridSpan w:val="4"/>
            <w:shd w:val="clear" w:color="auto" w:fill="EFEFEF"/>
            <w:tcMar>
              <w:top w:w="28" w:type="dxa"/>
              <w:left w:w="28" w:type="dxa"/>
              <w:bottom w:w="28" w:type="dxa"/>
              <w:right w:w="28" w:type="dxa"/>
            </w:tcMar>
            <w:vAlign w:val="center"/>
          </w:tcPr>
          <w:p>
            <w:pPr>
              <w:pStyle w:val="0"/>
              <w:rPr>
                <w:rFonts w:hint="default"/>
              </w:rPr>
            </w:pPr>
            <w:r>
              <w:rPr>
                <w:rFonts w:hint="eastAsia"/>
                <w:b w:val="1"/>
                <w:color w:val="000000"/>
              </w:rPr>
              <w:t>保健事業の方向性</w:t>
            </w:r>
          </w:p>
        </w:tc>
      </w:tr>
      <w:tr>
        <w:tblPrEx>
          <w:jc w:val="left"/>
        </w:tblPrEx>
        <w:trPr>
          <w:trHeight w:val="20" w:hRule="atLeast"/>
        </w:trPr>
        <w:tc>
          <w:tcPr>
            <w:tcW w:w="5000" w:type="pct"/>
            <w:gridSpan w:val="4"/>
            <w:tcMar>
              <w:top w:w="28" w:type="dxa"/>
              <w:left w:w="28" w:type="dxa"/>
              <w:bottom w:w="28" w:type="dxa"/>
              <w:right w:w="28" w:type="dxa"/>
            </w:tcMar>
            <w:vAlign w:val="center"/>
          </w:tcPr>
          <w:p>
            <w:pPr>
              <w:pStyle w:val="0"/>
              <w:rPr>
                <w:rFonts w:hint="default"/>
              </w:rPr>
            </w:pPr>
            <w:r>
              <w:rPr>
                <w:rFonts w:hint="default"/>
              </w:rPr>
              <w:t>第</w:t>
            </w:r>
            <w:r>
              <w:rPr>
                <w:rFonts w:hint="default"/>
              </w:rPr>
              <w:t>2</w:t>
            </w:r>
            <w:r>
              <w:rPr>
                <w:rFonts w:hint="default"/>
              </w:rPr>
              <w:t>期計画期間で実施していた事業では透析移行患者の抑制を目標に実施し、両事業とも目標を達成している。</w:t>
            </w:r>
          </w:p>
          <w:p>
            <w:pPr>
              <w:pStyle w:val="0"/>
              <w:rPr>
                <w:rFonts w:hint="default"/>
              </w:rPr>
            </w:pPr>
            <w:r>
              <w:rPr>
                <w:rFonts w:hint="default"/>
              </w:rPr>
              <w:t>第</w:t>
            </w:r>
            <w:r>
              <w:rPr>
                <w:rFonts w:hint="default"/>
              </w:rPr>
              <w:t>3</w:t>
            </w:r>
            <w:r>
              <w:rPr>
                <w:rFonts w:hint="default"/>
              </w:rPr>
              <w:t>期計画においては引き続き新規人工透析患者の抑制を目標としつつも、虚血性心疾患・脳血管疾患の発生の抑制も目標とし、血糖・腎機能に加え、血圧・血中脂質に関しても適切な医療機関受診を促進していく。</w:t>
            </w:r>
          </w:p>
        </w:tc>
      </w:tr>
      <w:tr>
        <w:trPr>
          <w:trHeight w:val="20" w:hRule="atLeast"/>
        </w:trPr>
        <w:tc>
          <w:tcPr>
            <w:tcW w:w="85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健康課題</w:t>
            </w:r>
          </w:p>
        </w:tc>
        <w:tc>
          <w:tcPr>
            <w:tcW w:w="591"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継続</w:t>
            </w:r>
            <w:r>
              <w:rPr>
                <w:rFonts w:hint="eastAsia"/>
                <w:b w:val="1"/>
                <w:color w:val="000000"/>
              </w:rPr>
              <w:t>/</w:t>
            </w:r>
            <w:r>
              <w:rPr>
                <w:rFonts w:hint="eastAsia"/>
                <w:b w:val="1"/>
                <w:color w:val="000000"/>
              </w:rPr>
              <w:t>新規</w:t>
            </w:r>
          </w:p>
        </w:tc>
        <w:tc>
          <w:tcPr>
            <w:tcW w:w="112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3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0" w:hRule="atLeast"/>
        </w:trPr>
        <w:tc>
          <w:tcPr>
            <w:tcW w:w="852" w:type="pct"/>
            <w:tcMar>
              <w:top w:w="28" w:type="dxa"/>
              <w:left w:w="28" w:type="dxa"/>
              <w:bottom w:w="28" w:type="dxa"/>
              <w:right w:w="28" w:type="dxa"/>
            </w:tcMar>
            <w:vAlign w:val="center"/>
          </w:tcPr>
          <w:p>
            <w:pPr>
              <w:pStyle w:val="59"/>
              <w:snapToGrid w:val="0"/>
              <w:jc w:val="center"/>
              <w:rPr>
                <w:rFonts w:hint="default"/>
              </w:rPr>
            </w:pPr>
            <w:r>
              <w:rPr>
                <w:rFonts w:hint="eastAsia"/>
                <w:sz w:val="16"/>
              </w:rPr>
              <w:t>#</w:t>
            </w:r>
            <w:r>
              <w:rPr>
                <w:rFonts w:hint="default"/>
                <w:sz w:val="16"/>
              </w:rPr>
              <w:t>1</w:t>
            </w:r>
          </w:p>
        </w:tc>
        <w:tc>
          <w:tcPr>
            <w:tcW w:w="591" w:type="pct"/>
            <w:tcMar>
              <w:top w:w="28" w:type="dxa"/>
              <w:left w:w="28" w:type="dxa"/>
              <w:bottom w:w="28" w:type="dxa"/>
              <w:right w:w="28" w:type="dxa"/>
            </w:tcMar>
            <w:vAlign w:val="center"/>
          </w:tcPr>
          <w:p>
            <w:pPr>
              <w:pStyle w:val="0"/>
              <w:jc w:val="center"/>
              <w:rPr>
                <w:rFonts w:hint="default"/>
              </w:rPr>
            </w:pPr>
            <w:r>
              <w:rPr>
                <w:rFonts w:hint="default"/>
              </w:rPr>
              <w:t>継続</w:t>
            </w:r>
          </w:p>
        </w:tc>
        <w:tc>
          <w:tcPr>
            <w:tcW w:w="1125" w:type="pct"/>
            <w:tcMar>
              <w:top w:w="28" w:type="dxa"/>
              <w:left w:w="28" w:type="dxa"/>
              <w:bottom w:w="28" w:type="dxa"/>
              <w:right w:w="28" w:type="dxa"/>
            </w:tcMar>
            <w:vAlign w:val="center"/>
          </w:tcPr>
          <w:p>
            <w:pPr>
              <w:pStyle w:val="0"/>
              <w:rPr>
                <w:rFonts w:hint="default"/>
              </w:rPr>
            </w:pPr>
            <w:r>
              <w:rPr>
                <w:rFonts w:hint="default"/>
              </w:rPr>
              <w:t>糖尿病性腎</w:t>
            </w:r>
            <w:r>
              <w:rPr>
                <w:rFonts w:hint="eastAsia"/>
              </w:rPr>
              <w:t>重症</w:t>
            </w:r>
            <w:r>
              <w:rPr>
                <w:rFonts w:hint="default"/>
              </w:rPr>
              <w:t>化予防事業</w:t>
            </w:r>
          </w:p>
        </w:tc>
        <w:tc>
          <w:tcPr>
            <w:tcW w:w="2432" w:type="pct"/>
            <w:tcMar>
              <w:top w:w="28" w:type="dxa"/>
              <w:left w:w="28" w:type="dxa"/>
              <w:bottom w:w="28" w:type="dxa"/>
              <w:right w:w="28" w:type="dxa"/>
            </w:tcMar>
            <w:vAlign w:val="center"/>
          </w:tcPr>
          <w:p>
            <w:pPr>
              <w:pStyle w:val="0"/>
              <w:widowControl w:val="0"/>
              <w:rPr>
                <w:rFonts w:hint="default" w:ascii="BIZ UDPゴシック" w:hAnsi="BIZ UDPゴシック" w:eastAsia="BIZ UDPゴシック"/>
              </w:rPr>
            </w:pPr>
            <w:r>
              <w:rPr>
                <w:rFonts w:hint="default" w:ascii="BIZ UDPゴシック" w:hAnsi="BIZ UDPゴシック" w:eastAsia="BIZ UDPゴシック"/>
              </w:rPr>
              <w:t>対象者：</w:t>
            </w:r>
          </w:p>
          <w:p>
            <w:pPr>
              <w:pStyle w:val="0"/>
              <w:widowControl w:val="0"/>
              <w:rPr>
                <w:rFonts w:hint="default" w:ascii="BIZ UDPゴシック" w:hAnsi="BIZ UDPゴシック" w:eastAsia="BIZ UDPゴシック"/>
              </w:rPr>
            </w:pPr>
            <w:r>
              <w:rPr>
                <w:rFonts w:hint="default" w:ascii="BIZ UDPゴシック" w:hAnsi="BIZ UDPゴシック" w:eastAsia="BIZ UDPゴシック"/>
              </w:rPr>
              <w:t>特定健診結果により高血糖かつ腎機能もしくは腎機能の低下が強く疑われる者</w:t>
            </w:r>
          </w:p>
          <w:p>
            <w:pPr>
              <w:pStyle w:val="0"/>
              <w:widowControl w:val="0"/>
              <w:rPr>
                <w:rFonts w:hint="default" w:ascii="BIZ UDPゴシック" w:hAnsi="BIZ UDPゴシック" w:eastAsia="BIZ UDPゴシック"/>
              </w:rPr>
            </w:pPr>
            <w:r>
              <w:rPr>
                <w:rFonts w:hint="default" w:ascii="BIZ UDPゴシック" w:hAnsi="BIZ UDPゴシック" w:eastAsia="BIZ UDPゴシック"/>
              </w:rPr>
              <w:t>方法：</w:t>
            </w:r>
          </w:p>
          <w:p>
            <w:pPr>
              <w:pStyle w:val="0"/>
              <w:widowControl w:val="0"/>
              <w:rPr>
                <w:rFonts w:hint="default" w:ascii="BIZ UDPゴシック" w:hAnsi="BIZ UDPゴシック" w:eastAsia="BIZ UDPゴシック"/>
              </w:rPr>
            </w:pPr>
            <w:r>
              <w:rPr>
                <w:rFonts w:hint="default" w:ascii="BIZ UDPゴシック" w:hAnsi="BIZ UDPゴシック" w:eastAsia="BIZ UDPゴシック"/>
              </w:rPr>
              <w:t>①</w:t>
            </w:r>
            <w:r>
              <w:rPr>
                <w:rFonts w:hint="default" w:ascii="BIZ UDPゴシック" w:hAnsi="BIZ UDPゴシック" w:eastAsia="BIZ UDPゴシック"/>
              </w:rPr>
              <w:t>医療機関への受診勧奨（電話、訪問等）</w:t>
            </w:r>
          </w:p>
          <w:p>
            <w:pPr>
              <w:pStyle w:val="0"/>
              <w:rPr>
                <w:rFonts w:hint="default"/>
              </w:rPr>
            </w:pPr>
            <w:r>
              <w:rPr>
                <w:rFonts w:hint="default" w:ascii="BIZ UDPゴシック" w:hAnsi="BIZ UDPゴシック" w:eastAsia="BIZ UDPゴシック"/>
              </w:rPr>
              <w:t>②</w:t>
            </w:r>
            <w:r>
              <w:rPr>
                <w:rFonts w:hint="default" w:ascii="BIZ UDPゴシック" w:hAnsi="BIZ UDPゴシック" w:eastAsia="BIZ UDPゴシック"/>
              </w:rPr>
              <w:t>医療機関との連携による受診勧奨後の経過観察及び多職種による介入</w:t>
            </w:r>
          </w:p>
        </w:tc>
      </w:tr>
      <w:tr>
        <w:trPr>
          <w:trHeight w:val="20" w:hRule="atLeast"/>
        </w:trPr>
        <w:tc>
          <w:tcPr>
            <w:tcW w:w="852" w:type="pct"/>
            <w:tcMar>
              <w:top w:w="28" w:type="dxa"/>
              <w:left w:w="28" w:type="dxa"/>
              <w:bottom w:w="28" w:type="dxa"/>
              <w:right w:w="28" w:type="dxa"/>
            </w:tcMar>
            <w:vAlign w:val="center"/>
          </w:tcPr>
          <w:p>
            <w:pPr>
              <w:pStyle w:val="59"/>
              <w:snapToGrid w:val="0"/>
              <w:jc w:val="center"/>
              <w:rPr>
                <w:rFonts w:hint="eastAsia"/>
              </w:rPr>
            </w:pPr>
            <w:r>
              <w:rPr>
                <w:rFonts w:hint="eastAsia"/>
                <w:sz w:val="16"/>
              </w:rPr>
              <w:t>#</w:t>
            </w:r>
            <w:r>
              <w:rPr>
                <w:rFonts w:hint="default"/>
                <w:sz w:val="16"/>
              </w:rPr>
              <w:t>1</w:t>
            </w:r>
          </w:p>
        </w:tc>
        <w:tc>
          <w:tcPr>
            <w:tcW w:w="591" w:type="pct"/>
            <w:tcMar>
              <w:top w:w="28" w:type="dxa"/>
              <w:left w:w="28" w:type="dxa"/>
              <w:bottom w:w="28" w:type="dxa"/>
              <w:right w:w="28" w:type="dxa"/>
            </w:tcMar>
            <w:vAlign w:val="center"/>
          </w:tcPr>
          <w:p>
            <w:pPr>
              <w:pStyle w:val="0"/>
              <w:rPr>
                <w:rFonts w:hint="default"/>
              </w:rPr>
            </w:pPr>
            <w:r>
              <w:rPr>
                <w:rFonts w:hint="eastAsia"/>
              </w:rPr>
              <w:t>　　</w:t>
            </w:r>
            <w:r>
              <w:rPr>
                <w:rFonts w:hint="eastAsia"/>
              </w:rPr>
              <w:t xml:space="preserve"> </w:t>
            </w:r>
            <w:r>
              <w:rPr>
                <w:rFonts w:hint="eastAsia"/>
              </w:rPr>
              <w:t>新規</w:t>
            </w:r>
          </w:p>
        </w:tc>
        <w:tc>
          <w:tcPr>
            <w:tcW w:w="1125" w:type="pct"/>
            <w:tcMar>
              <w:top w:w="28" w:type="dxa"/>
              <w:left w:w="28" w:type="dxa"/>
              <w:bottom w:w="28" w:type="dxa"/>
              <w:right w:w="28" w:type="dxa"/>
            </w:tcMar>
            <w:vAlign w:val="center"/>
          </w:tcPr>
          <w:p>
            <w:pPr>
              <w:pStyle w:val="0"/>
              <w:rPr>
                <w:rFonts w:hint="default"/>
              </w:rPr>
            </w:pPr>
            <w:r>
              <w:rPr>
                <w:rFonts w:hint="eastAsia"/>
              </w:rPr>
              <w:t>生活習慣病重症化予防事業</w:t>
            </w:r>
          </w:p>
        </w:tc>
        <w:tc>
          <w:tcPr>
            <w:tcW w:w="2432" w:type="pct"/>
            <w:tcMar>
              <w:top w:w="28" w:type="dxa"/>
              <w:left w:w="28" w:type="dxa"/>
              <w:bottom w:w="28" w:type="dxa"/>
              <w:right w:w="28" w:type="dxa"/>
            </w:tcMar>
            <w:vAlign w:val="center"/>
          </w:tcPr>
          <w:p>
            <w:pPr>
              <w:pStyle w:val="0"/>
              <w:widowControl w:val="0"/>
              <w:rPr>
                <w:rFonts w:hint="default" w:ascii="BIZ UDPゴシック" w:hAnsi="BIZ UDPゴシック" w:eastAsia="BIZ UDPゴシック"/>
              </w:rPr>
            </w:pPr>
            <w:r>
              <w:rPr>
                <w:rFonts w:hint="default" w:ascii="BIZ UDPゴシック" w:hAnsi="BIZ UDPゴシック" w:eastAsia="BIZ UDPゴシック"/>
              </w:rPr>
              <w:t>対象者：</w:t>
            </w:r>
            <w:r>
              <w:rPr>
                <w:rFonts w:hint="eastAsia"/>
              </w:rPr>
              <w:t>当該年度の特定健診の結果で受診勧奨判定値の者</w:t>
            </w:r>
          </w:p>
          <w:p>
            <w:pPr>
              <w:pStyle w:val="0"/>
              <w:widowControl w:val="0"/>
              <w:rPr>
                <w:rFonts w:hint="default" w:ascii="BIZ UDPゴシック" w:hAnsi="BIZ UDPゴシック" w:eastAsia="BIZ UDPゴシック"/>
              </w:rPr>
            </w:pPr>
            <w:r>
              <w:rPr>
                <w:rFonts w:hint="default" w:ascii="BIZ UDPゴシック" w:hAnsi="BIZ UDPゴシック" w:eastAsia="BIZ UDPゴシック"/>
              </w:rPr>
              <w:t>方法：</w:t>
            </w:r>
          </w:p>
          <w:p>
            <w:pPr>
              <w:pStyle w:val="0"/>
              <w:rPr>
                <w:rFonts w:hint="default"/>
              </w:rPr>
            </w:pPr>
            <w:r>
              <w:rPr>
                <w:rFonts w:hint="eastAsia"/>
              </w:rPr>
              <w:t>受診履歴や特定健診の問診票の解答結果等のデータを分析し、分析結果をもとに介入対象者を決定し、対象者の状況･重症度に応じて医療機関への受診勧奨や保健指導を通知により実施する。</w:t>
            </w:r>
          </w:p>
        </w:tc>
      </w:tr>
    </w:tbl>
    <w:p>
      <w:pPr>
        <w:pStyle w:val="0"/>
        <w:rPr>
          <w:rFonts w:hint="default"/>
          <w:b w:val="1"/>
          <w:sz w:val="20"/>
        </w:rPr>
      </w:pPr>
      <w:r>
        <w:rPr>
          <w:rFonts w:hint="default"/>
        </w:rPr>
        <w:br w:type="page"/>
      </w:r>
    </w:p>
    <w:p>
      <w:pPr>
        <w:pStyle w:val="4"/>
        <w:rPr>
          <w:rFonts w:hint="default"/>
        </w:rPr>
      </w:pPr>
      <w:r>
        <w:rPr>
          <w:rFonts w:hint="eastAsia"/>
        </w:rPr>
        <w:t>糖尿病性腎症重症化予防事業</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糖尿病性腎症をはじめとする糖尿病合併症発症予防、新規人工透析導入者ゼロに抑制。</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前年度の特定健診結果データ等を分析し、分析結果をもとに介入対象者を決定し、対象者の状況･重症度に応じて医療機関への受診勧奨や保健指導を通知･電話等により実施する。</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jc w:val="both"/>
              <w:rPr>
                <w:rFonts w:hint="default"/>
              </w:rPr>
            </w:pPr>
            <w:r>
              <w:rPr>
                <w:rFonts w:hint="eastAsia"/>
              </w:rPr>
              <w:t>前年度の特定健診の結果で</w:t>
            </w:r>
            <w:r>
              <w:rPr>
                <w:rFonts w:hint="eastAsia"/>
              </w:rPr>
              <w:t>HbA1</w:t>
            </w:r>
            <w:r>
              <w:rPr>
                <w:rFonts w:hint="default"/>
              </w:rPr>
              <w:t>c</w:t>
            </w:r>
            <w:r>
              <w:rPr>
                <w:rFonts w:hint="eastAsia"/>
              </w:rPr>
              <w:t>6.5</w:t>
            </w:r>
            <w:r>
              <w:rPr>
                <w:rFonts w:hint="eastAsia"/>
              </w:rPr>
              <w:t>以上の方</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実施率向上に向けての講師の選定</w:t>
            </w:r>
          </w:p>
          <w:p>
            <w:pPr>
              <w:pStyle w:val="0"/>
              <w:rPr>
                <w:rFonts w:hint="default"/>
              </w:rPr>
            </w:pPr>
            <w:r>
              <w:rPr>
                <w:rFonts w:hint="eastAsia"/>
              </w:rPr>
              <w:t>参加勧奨資材の工夫</w:t>
            </w:r>
            <w:r>
              <w:rPr>
                <w:rFonts w:hint="default"/>
              </w:rPr>
              <w:t>(</w:t>
            </w:r>
            <w:r>
              <w:rPr>
                <w:rFonts w:hint="default"/>
              </w:rPr>
              <w:t>見直し</w:t>
            </w:r>
            <w:r>
              <w:rPr>
                <w:rFonts w:hint="default"/>
              </w:rPr>
              <w:t>)</w:t>
            </w:r>
          </w:p>
          <w:p>
            <w:pPr>
              <w:pStyle w:val="0"/>
              <w:rPr>
                <w:rFonts w:hint="default"/>
              </w:rPr>
            </w:pPr>
            <w:r>
              <w:rPr>
                <w:rFonts w:hint="eastAsia"/>
              </w:rPr>
              <w:t>通知後の電話勧奨の実施</w:t>
            </w:r>
          </w:p>
          <w:p>
            <w:pPr>
              <w:pStyle w:val="0"/>
              <w:rPr>
                <w:rFonts w:hint="default"/>
              </w:rPr>
            </w:pPr>
            <w:r>
              <w:rPr>
                <w:rFonts w:hint="eastAsia"/>
              </w:rPr>
              <w:t>参加者アンケートの実施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保健指導プログラム参加率：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12.8%</w:t>
                  </w:r>
                </w:p>
              </w:tc>
              <w:tc>
                <w:tcPr>
                  <w:tcW w:w="1108" w:type="dxa"/>
                  <w:tcMar>
                    <w:top w:w="28" w:type="dxa"/>
                    <w:left w:w="28" w:type="dxa"/>
                    <w:bottom w:w="28" w:type="dxa"/>
                    <w:right w:w="28" w:type="dxa"/>
                  </w:tcMar>
                  <w:vAlign w:val="top"/>
                </w:tcPr>
                <w:p>
                  <w:pPr>
                    <w:pStyle w:val="0"/>
                    <w:jc w:val="center"/>
                    <w:rPr>
                      <w:rFonts w:hint="default"/>
                    </w:rPr>
                  </w:pPr>
                  <w:r>
                    <w:rPr>
                      <w:rFonts w:hint="eastAsia"/>
                    </w:rPr>
                    <w:t>15%</w:t>
                  </w:r>
                </w:p>
              </w:tc>
              <w:tc>
                <w:tcPr>
                  <w:tcW w:w="1108" w:type="dxa"/>
                  <w:tcMar>
                    <w:top w:w="28" w:type="dxa"/>
                    <w:left w:w="28" w:type="dxa"/>
                    <w:bottom w:w="28" w:type="dxa"/>
                    <w:right w:w="28" w:type="dxa"/>
                  </w:tcMar>
                  <w:vAlign w:val="top"/>
                </w:tcPr>
                <w:p>
                  <w:pPr>
                    <w:pStyle w:val="0"/>
                    <w:jc w:val="center"/>
                    <w:rPr>
                      <w:rFonts w:hint="default"/>
                    </w:rPr>
                  </w:pPr>
                  <w:r>
                    <w:rPr>
                      <w:rFonts w:hint="eastAsia"/>
                    </w:rPr>
                    <w:t>18%</w:t>
                  </w:r>
                </w:p>
              </w:tc>
              <w:tc>
                <w:tcPr>
                  <w:tcW w:w="1108" w:type="dxa"/>
                  <w:tcMar>
                    <w:top w:w="28" w:type="dxa"/>
                    <w:left w:w="28" w:type="dxa"/>
                    <w:bottom w:w="28" w:type="dxa"/>
                    <w:right w:w="28" w:type="dxa"/>
                  </w:tcMar>
                  <w:vAlign w:val="top"/>
                </w:tcPr>
                <w:p>
                  <w:pPr>
                    <w:pStyle w:val="0"/>
                    <w:jc w:val="center"/>
                    <w:rPr>
                      <w:rFonts w:hint="default"/>
                    </w:rPr>
                  </w:pPr>
                  <w:r>
                    <w:rPr>
                      <w:rFonts w:hint="eastAsia"/>
                    </w:rPr>
                    <w:t>21%</w:t>
                  </w:r>
                </w:p>
              </w:tc>
              <w:tc>
                <w:tcPr>
                  <w:tcW w:w="1109" w:type="dxa"/>
                  <w:tcMar>
                    <w:top w:w="28" w:type="dxa"/>
                    <w:left w:w="28" w:type="dxa"/>
                    <w:bottom w:w="28" w:type="dxa"/>
                    <w:right w:w="28" w:type="dxa"/>
                  </w:tcMar>
                  <w:vAlign w:val="top"/>
                </w:tcPr>
                <w:p>
                  <w:pPr>
                    <w:pStyle w:val="0"/>
                    <w:jc w:val="center"/>
                    <w:rPr>
                      <w:rFonts w:hint="default"/>
                    </w:rPr>
                  </w:pPr>
                  <w:r>
                    <w:rPr>
                      <w:rFonts w:hint="eastAsia"/>
                    </w:rPr>
                    <w:t>24%</w:t>
                  </w:r>
                </w:p>
              </w:tc>
              <w:tc>
                <w:tcPr>
                  <w:tcW w:w="1109" w:type="dxa"/>
                  <w:tcMar>
                    <w:top w:w="28" w:type="dxa"/>
                    <w:left w:w="28" w:type="dxa"/>
                    <w:bottom w:w="28" w:type="dxa"/>
                    <w:right w:w="28" w:type="dxa"/>
                  </w:tcMar>
                  <w:vAlign w:val="top"/>
                </w:tcPr>
                <w:p>
                  <w:pPr>
                    <w:pStyle w:val="0"/>
                    <w:jc w:val="center"/>
                    <w:rPr>
                      <w:rFonts w:hint="default"/>
                    </w:rPr>
                  </w:pPr>
                  <w:r>
                    <w:rPr>
                      <w:rFonts w:hint="eastAsia"/>
                    </w:rPr>
                    <w:t>27%</w:t>
                  </w:r>
                </w:p>
              </w:tc>
              <w:tc>
                <w:tcPr>
                  <w:tcW w:w="1109" w:type="dxa"/>
                  <w:tcMar>
                    <w:top w:w="28" w:type="dxa"/>
                    <w:left w:w="28" w:type="dxa"/>
                    <w:bottom w:w="28" w:type="dxa"/>
                    <w:right w:w="28" w:type="dxa"/>
                  </w:tcMar>
                  <w:vAlign w:val="top"/>
                </w:tcPr>
                <w:p>
                  <w:pPr>
                    <w:pStyle w:val="0"/>
                    <w:jc w:val="center"/>
                    <w:rPr>
                      <w:rFonts w:hint="default"/>
                    </w:rPr>
                  </w:pPr>
                  <w:r>
                    <w:rPr>
                      <w:rFonts w:hint="eastAsia"/>
                    </w:rPr>
                    <w:t>30%</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翌年度の健診結果の</w:t>
            </w:r>
            <w:r>
              <w:rPr>
                <w:rFonts w:hint="eastAsia"/>
              </w:rPr>
              <w:t>HbA1</w:t>
            </w:r>
            <w:r>
              <w:rPr>
                <w:rFonts w:hint="default"/>
              </w:rPr>
              <w:t>c</w:t>
            </w:r>
            <w:r>
              <w:rPr>
                <w:rFonts w:hint="eastAsia"/>
              </w:rPr>
              <w:t>の検査数値の改善率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6%</w:t>
                  </w:r>
                  <w:r>
                    <w:rPr>
                      <w:rFonts w:hint="eastAsia"/>
                    </w:rPr>
                    <w:t>（見込値）</w:t>
                  </w:r>
                </w:p>
              </w:tc>
              <w:tc>
                <w:tcPr>
                  <w:tcW w:w="1108" w:type="dxa"/>
                  <w:tcMar>
                    <w:top w:w="28" w:type="dxa"/>
                    <w:left w:w="28" w:type="dxa"/>
                    <w:bottom w:w="28" w:type="dxa"/>
                    <w:right w:w="28" w:type="dxa"/>
                  </w:tcMar>
                  <w:vAlign w:val="top"/>
                </w:tcPr>
                <w:p>
                  <w:pPr>
                    <w:pStyle w:val="0"/>
                    <w:jc w:val="center"/>
                    <w:rPr>
                      <w:rFonts w:hint="default"/>
                    </w:rPr>
                  </w:pPr>
                  <w:r>
                    <w:rPr>
                      <w:rFonts w:hint="eastAsia"/>
                    </w:rPr>
                    <w:t>8%</w:t>
                  </w:r>
                </w:p>
              </w:tc>
              <w:tc>
                <w:tcPr>
                  <w:tcW w:w="1108" w:type="dxa"/>
                  <w:tcMar>
                    <w:top w:w="28" w:type="dxa"/>
                    <w:left w:w="28" w:type="dxa"/>
                    <w:bottom w:w="28" w:type="dxa"/>
                    <w:right w:w="28" w:type="dxa"/>
                  </w:tcMar>
                  <w:vAlign w:val="top"/>
                </w:tcPr>
                <w:p>
                  <w:pPr>
                    <w:pStyle w:val="0"/>
                    <w:jc w:val="center"/>
                    <w:rPr>
                      <w:rFonts w:hint="default"/>
                    </w:rPr>
                  </w:pPr>
                  <w:r>
                    <w:rPr>
                      <w:rFonts w:hint="eastAsia"/>
                    </w:rPr>
                    <w:t>10%</w:t>
                  </w:r>
                </w:p>
              </w:tc>
              <w:tc>
                <w:tcPr>
                  <w:tcW w:w="1108" w:type="dxa"/>
                  <w:tcMar>
                    <w:top w:w="28" w:type="dxa"/>
                    <w:left w:w="28" w:type="dxa"/>
                    <w:bottom w:w="28" w:type="dxa"/>
                    <w:right w:w="28" w:type="dxa"/>
                  </w:tcMar>
                  <w:vAlign w:val="top"/>
                </w:tcPr>
                <w:p>
                  <w:pPr>
                    <w:pStyle w:val="0"/>
                    <w:jc w:val="center"/>
                    <w:rPr>
                      <w:rFonts w:hint="default"/>
                    </w:rPr>
                  </w:pPr>
                  <w:r>
                    <w:rPr>
                      <w:rFonts w:hint="eastAsia"/>
                    </w:rPr>
                    <w:t>12%</w:t>
                  </w:r>
                </w:p>
              </w:tc>
              <w:tc>
                <w:tcPr>
                  <w:tcW w:w="1109" w:type="dxa"/>
                  <w:tcMar>
                    <w:top w:w="28" w:type="dxa"/>
                    <w:left w:w="28" w:type="dxa"/>
                    <w:bottom w:w="28" w:type="dxa"/>
                    <w:right w:w="28" w:type="dxa"/>
                  </w:tcMar>
                  <w:vAlign w:val="top"/>
                </w:tcPr>
                <w:p>
                  <w:pPr>
                    <w:pStyle w:val="0"/>
                    <w:jc w:val="center"/>
                    <w:rPr>
                      <w:rFonts w:hint="default"/>
                    </w:rPr>
                  </w:pPr>
                  <w:r>
                    <w:rPr>
                      <w:rFonts w:hint="eastAsia"/>
                    </w:rPr>
                    <w:t>14%</w:t>
                  </w:r>
                </w:p>
              </w:tc>
              <w:tc>
                <w:tcPr>
                  <w:tcW w:w="1109" w:type="dxa"/>
                  <w:tcMar>
                    <w:top w:w="28" w:type="dxa"/>
                    <w:left w:w="28" w:type="dxa"/>
                    <w:bottom w:w="28" w:type="dxa"/>
                    <w:right w:w="28" w:type="dxa"/>
                  </w:tcMar>
                  <w:vAlign w:val="top"/>
                </w:tcPr>
                <w:p>
                  <w:pPr>
                    <w:pStyle w:val="0"/>
                    <w:jc w:val="center"/>
                    <w:rPr>
                      <w:rFonts w:hint="default"/>
                    </w:rPr>
                  </w:pPr>
                  <w:r>
                    <w:rPr>
                      <w:rFonts w:hint="eastAsia"/>
                    </w:rPr>
                    <w:t>16%</w:t>
                  </w:r>
                </w:p>
              </w:tc>
              <w:tc>
                <w:tcPr>
                  <w:tcW w:w="1109" w:type="dxa"/>
                  <w:tcMar>
                    <w:top w:w="28" w:type="dxa"/>
                    <w:left w:w="28" w:type="dxa"/>
                    <w:bottom w:w="28" w:type="dxa"/>
                    <w:right w:w="28" w:type="dxa"/>
                  </w:tcMar>
                  <w:vAlign w:val="top"/>
                </w:tcPr>
                <w:p>
                  <w:pPr>
                    <w:pStyle w:val="0"/>
                    <w:jc w:val="center"/>
                    <w:rPr>
                      <w:rFonts w:hint="default"/>
                    </w:rPr>
                  </w:pPr>
                  <w:r>
                    <w:rPr>
                      <w:rFonts w:hint="eastAsia"/>
                    </w:rPr>
                    <w:t>18%</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sz w:val="18"/>
        </w:rPr>
      </w:pPr>
    </w:p>
    <w:p>
      <w:pPr>
        <w:pStyle w:val="4"/>
        <w:rPr>
          <w:rFonts w:hint="default"/>
        </w:rPr>
      </w:pPr>
      <w:r>
        <w:rPr>
          <w:rFonts w:hint="eastAsia"/>
        </w:rPr>
        <w:t>生活習慣病重症化予防事業</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健診の結果、医療機関受診勧奨値の者に対し、適切な医療機関受診勧奨や保健指導を実施することにより、生活習慣病の重症化を予防し、脳血管疾患･虚血性心疾患・腎不全といった重篤な疾患の発生を抑制す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受診履歴や特定健診の問診票の解答結果等のデータを分析し、分析結果をもとに介入対象者を決定し、対象者の状況･重症度に応じて医療機関への受診勧奨や保健指導を通知により実施する。</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jc w:val="both"/>
              <w:rPr>
                <w:rFonts w:hint="default"/>
              </w:rPr>
            </w:pPr>
            <w:r>
              <w:rPr>
                <w:rFonts w:hint="eastAsia"/>
              </w:rPr>
              <w:t>当該年度の特定健診の結果で受診勧奨判定値の者</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介入対象者の選定</w:t>
            </w:r>
          </w:p>
          <w:p>
            <w:pPr>
              <w:pStyle w:val="0"/>
              <w:rPr>
                <w:rFonts w:hint="default"/>
              </w:rPr>
            </w:pPr>
            <w:r>
              <w:rPr>
                <w:rFonts w:hint="eastAsia"/>
              </w:rPr>
              <w:t>勧奨資材の工夫</w:t>
            </w:r>
          </w:p>
          <w:p>
            <w:pPr>
              <w:pStyle w:val="0"/>
              <w:rPr>
                <w:rFonts w:hint="default"/>
              </w:rPr>
            </w:pPr>
            <w:r>
              <w:rPr>
                <w:rFonts w:hint="eastAsia"/>
              </w:rPr>
              <w:t>通知後の電話勧奨の実施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受診勧奨実施率：</w:t>
            </w:r>
            <w:r>
              <w:rPr>
                <w:rFonts w:hint="eastAsia"/>
              </w:rPr>
              <w:t>100%</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医療機関受診率：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color w:val="FF0000"/>
                    </w:rPr>
                  </w:pPr>
                  <w:r>
                    <w:rPr>
                      <w:rFonts w:hint="eastAsia"/>
                    </w:rPr>
                    <w:t>－</w:t>
                  </w:r>
                </w:p>
              </w:tc>
              <w:tc>
                <w:tcPr>
                  <w:tcW w:w="1108" w:type="dxa"/>
                  <w:tcMar>
                    <w:top w:w="28" w:type="dxa"/>
                    <w:left w:w="28" w:type="dxa"/>
                    <w:bottom w:w="28" w:type="dxa"/>
                    <w:right w:w="28" w:type="dxa"/>
                  </w:tcMar>
                  <w:vAlign w:val="top"/>
                </w:tcPr>
                <w:p>
                  <w:pPr>
                    <w:pStyle w:val="0"/>
                    <w:jc w:val="center"/>
                    <w:rPr>
                      <w:rFonts w:hint="default"/>
                    </w:rPr>
                  </w:pPr>
                  <w:r>
                    <w:rPr>
                      <w:rFonts w:hint="eastAsia"/>
                    </w:rPr>
                    <w:t>60%</w:t>
                  </w:r>
                </w:p>
              </w:tc>
              <w:tc>
                <w:tcPr>
                  <w:tcW w:w="1108" w:type="dxa"/>
                  <w:tcMar>
                    <w:top w:w="28" w:type="dxa"/>
                    <w:left w:w="28" w:type="dxa"/>
                    <w:bottom w:w="28" w:type="dxa"/>
                    <w:right w:w="28" w:type="dxa"/>
                  </w:tcMar>
                  <w:vAlign w:val="top"/>
                </w:tcPr>
                <w:p>
                  <w:pPr>
                    <w:pStyle w:val="0"/>
                    <w:jc w:val="center"/>
                    <w:rPr>
                      <w:rFonts w:hint="default"/>
                    </w:rPr>
                  </w:pPr>
                  <w:r>
                    <w:rPr>
                      <w:rFonts w:hint="eastAsia"/>
                    </w:rPr>
                    <w:t>62%</w:t>
                  </w:r>
                </w:p>
              </w:tc>
              <w:tc>
                <w:tcPr>
                  <w:tcW w:w="1108" w:type="dxa"/>
                  <w:tcMar>
                    <w:top w:w="28" w:type="dxa"/>
                    <w:left w:w="28" w:type="dxa"/>
                    <w:bottom w:w="28" w:type="dxa"/>
                    <w:right w:w="28" w:type="dxa"/>
                  </w:tcMar>
                  <w:vAlign w:val="top"/>
                </w:tcPr>
                <w:p>
                  <w:pPr>
                    <w:pStyle w:val="0"/>
                    <w:jc w:val="center"/>
                    <w:rPr>
                      <w:rFonts w:hint="default"/>
                    </w:rPr>
                  </w:pPr>
                  <w:r>
                    <w:rPr>
                      <w:rFonts w:hint="eastAsia"/>
                    </w:rPr>
                    <w:t>64%</w:t>
                  </w:r>
                </w:p>
              </w:tc>
              <w:tc>
                <w:tcPr>
                  <w:tcW w:w="1109" w:type="dxa"/>
                  <w:tcMar>
                    <w:top w:w="28" w:type="dxa"/>
                    <w:left w:w="28" w:type="dxa"/>
                    <w:bottom w:w="28" w:type="dxa"/>
                    <w:right w:w="28" w:type="dxa"/>
                  </w:tcMar>
                  <w:vAlign w:val="top"/>
                </w:tcPr>
                <w:p>
                  <w:pPr>
                    <w:pStyle w:val="0"/>
                    <w:jc w:val="center"/>
                    <w:rPr>
                      <w:rFonts w:hint="default"/>
                    </w:rPr>
                  </w:pPr>
                  <w:r>
                    <w:rPr>
                      <w:rFonts w:hint="eastAsia"/>
                    </w:rPr>
                    <w:t>66%</w:t>
                  </w:r>
                </w:p>
              </w:tc>
              <w:tc>
                <w:tcPr>
                  <w:tcW w:w="1109" w:type="dxa"/>
                  <w:tcMar>
                    <w:top w:w="28" w:type="dxa"/>
                    <w:left w:w="28" w:type="dxa"/>
                    <w:bottom w:w="28" w:type="dxa"/>
                    <w:right w:w="28" w:type="dxa"/>
                  </w:tcMar>
                  <w:vAlign w:val="top"/>
                </w:tcPr>
                <w:p>
                  <w:pPr>
                    <w:pStyle w:val="0"/>
                    <w:jc w:val="center"/>
                    <w:rPr>
                      <w:rFonts w:hint="default"/>
                    </w:rPr>
                  </w:pPr>
                  <w:r>
                    <w:rPr>
                      <w:rFonts w:hint="eastAsia"/>
                    </w:rPr>
                    <w:t>68%</w:t>
                  </w:r>
                </w:p>
              </w:tc>
              <w:tc>
                <w:tcPr>
                  <w:tcW w:w="1109" w:type="dxa"/>
                  <w:tcMar>
                    <w:top w:w="28" w:type="dxa"/>
                    <w:left w:w="28" w:type="dxa"/>
                    <w:bottom w:w="28" w:type="dxa"/>
                    <w:right w:w="28" w:type="dxa"/>
                  </w:tcMar>
                  <w:vAlign w:val="top"/>
                </w:tcPr>
                <w:p>
                  <w:pPr>
                    <w:pStyle w:val="0"/>
                    <w:jc w:val="center"/>
                    <w:rPr>
                      <w:rFonts w:hint="default"/>
                    </w:rPr>
                  </w:pPr>
                  <w:r>
                    <w:rPr>
                      <w:rFonts w:hint="eastAsia"/>
                    </w:rPr>
                    <w:t>70%</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rPr>
      </w:pPr>
      <w:r>
        <w:rPr>
          <w:rFonts w:hint="default"/>
        </w:rPr>
        <w:br w:type="page"/>
      </w:r>
    </w:p>
    <w:p>
      <w:pPr>
        <w:pStyle w:val="3"/>
        <w:rPr>
          <w:rFonts w:hint="default"/>
        </w:rPr>
      </w:pPr>
      <w:bookmarkStart w:id="213" w:name="_Toc152851370"/>
      <w:bookmarkStart w:id="214" w:name="_Toc162548729"/>
      <w:r>
        <w:rPr>
          <w:rFonts w:hint="eastAsia"/>
        </w:rPr>
        <w:t>介護予防・一体的実施</w:t>
      </w:r>
      <w:bookmarkEnd w:id="213"/>
      <w:bookmarkEnd w:id="214"/>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894"/>
        <w:gridCol w:w="1054"/>
        <w:gridCol w:w="2786"/>
        <w:gridCol w:w="4641"/>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2</w:t>
            </w:r>
            <w:r>
              <w:rPr>
                <w:rFonts w:hint="eastAsia"/>
                <w:b w:val="1"/>
                <w:color w:val="000000"/>
                <w:sz w:val="20"/>
              </w:rPr>
              <w:t>期計画における取組と評価</w:t>
            </w:r>
          </w:p>
        </w:tc>
      </w:tr>
      <w:tr>
        <w:trPr>
          <w:trHeight w:val="20"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目標分類</w:t>
            </w:r>
          </w:p>
        </w:tc>
        <w:tc>
          <w:tcPr>
            <w:tcW w:w="56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評価</w:t>
            </w:r>
          </w:p>
        </w:tc>
        <w:tc>
          <w:tcPr>
            <w:tcW w:w="3961" w:type="pct"/>
            <w:gridSpan w:val="2"/>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介護予防・一体的実施に関連するデータヘルス計画の目標</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短期</w:t>
            </w:r>
          </w:p>
        </w:tc>
        <w:tc>
          <w:tcPr>
            <w:tcW w:w="562" w:type="pct"/>
            <w:tcMar>
              <w:top w:w="28" w:type="dxa"/>
              <w:left w:w="28" w:type="dxa"/>
              <w:bottom w:w="28" w:type="dxa"/>
              <w:right w:w="28" w:type="dxa"/>
            </w:tcMar>
            <w:vAlign w:val="center"/>
          </w:tcPr>
          <w:p>
            <w:pPr>
              <w:pStyle w:val="0"/>
              <w:jc w:val="center"/>
              <w:rPr>
                <w:rFonts w:hint="default"/>
              </w:rPr>
            </w:pPr>
            <w:r>
              <w:rPr>
                <w:rFonts w:hint="eastAsia"/>
              </w:rPr>
              <w:t>E</w:t>
            </w:r>
          </w:p>
        </w:tc>
        <w:tc>
          <w:tcPr>
            <w:tcW w:w="3961" w:type="pct"/>
            <w:gridSpan w:val="2"/>
            <w:tcMar>
              <w:top w:w="28" w:type="dxa"/>
              <w:left w:w="28" w:type="dxa"/>
              <w:bottom w:w="28" w:type="dxa"/>
              <w:right w:w="28" w:type="dxa"/>
            </w:tcMar>
            <w:vAlign w:val="center"/>
          </w:tcPr>
          <w:p>
            <w:pPr>
              <w:pStyle w:val="0"/>
              <w:rPr>
                <w:rFonts w:hint="default"/>
              </w:rPr>
            </w:pPr>
            <w:r>
              <w:rPr>
                <w:rFonts w:hint="eastAsia"/>
              </w:rPr>
              <w:t>健康状態等が不明な者を把握し、必要に応じて訪問等を行い、適切な支援につなげ、孤立を防ぐ。</w:t>
            </w:r>
          </w:p>
        </w:tc>
      </w:tr>
      <w:tr>
        <w:trPr>
          <w:trHeight w:val="24"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事業評価</w:t>
            </w:r>
          </w:p>
        </w:tc>
        <w:tc>
          <w:tcPr>
            <w:tcW w:w="562" w:type="pct"/>
            <w:shd w:val="clear" w:color="auto" w:fill="EFEFEF"/>
            <w:tcMar>
              <w:top w:w="28" w:type="dxa"/>
              <w:left w:w="28" w:type="dxa"/>
              <w:bottom w:w="28" w:type="dxa"/>
              <w:right w:w="28" w:type="dxa"/>
            </w:tcMar>
            <w:vAlign w:val="center"/>
          </w:tcPr>
          <w:p>
            <w:pPr>
              <w:pStyle w:val="0"/>
              <w:jc w:val="center"/>
              <w:rPr>
                <w:rFonts w:hint="default"/>
                <w:b w:val="1"/>
                <w:color w:val="000000"/>
              </w:rPr>
            </w:pPr>
            <w:r>
              <w:rPr>
                <w:rFonts w:hint="eastAsia"/>
                <w:b w:val="1"/>
                <w:color w:val="000000"/>
              </w:rPr>
              <w:t>事業</w:t>
            </w:r>
          </w:p>
          <w:p>
            <w:pPr>
              <w:pStyle w:val="0"/>
              <w:jc w:val="center"/>
              <w:rPr>
                <w:rFonts w:hint="default"/>
              </w:rPr>
            </w:pPr>
            <w:r>
              <w:rPr>
                <w:rFonts w:hint="eastAsia"/>
                <w:b w:val="1"/>
                <w:color w:val="000000"/>
              </w:rPr>
              <w:t>アウトカム</w:t>
            </w:r>
          </w:p>
        </w:tc>
        <w:tc>
          <w:tcPr>
            <w:tcW w:w="1486"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個別事業名</w:t>
            </w:r>
          </w:p>
        </w:tc>
        <w:tc>
          <w:tcPr>
            <w:tcW w:w="247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事業の概要</w:t>
            </w:r>
          </w:p>
        </w:tc>
      </w:tr>
      <w:tr>
        <w:trPr>
          <w:trHeight w:val="24"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E</w:t>
            </w:r>
          </w:p>
        </w:tc>
        <w:tc>
          <w:tcPr>
            <w:tcW w:w="562" w:type="pct"/>
            <w:tcMar>
              <w:top w:w="28" w:type="dxa"/>
              <w:left w:w="28" w:type="dxa"/>
              <w:bottom w:w="28" w:type="dxa"/>
              <w:right w:w="28" w:type="dxa"/>
            </w:tcMar>
            <w:vAlign w:val="center"/>
          </w:tcPr>
          <w:p>
            <w:pPr>
              <w:pStyle w:val="0"/>
              <w:jc w:val="center"/>
              <w:rPr>
                <w:rFonts w:hint="default"/>
              </w:rPr>
            </w:pPr>
            <w:r>
              <w:rPr>
                <w:rFonts w:hint="eastAsia"/>
              </w:rPr>
              <w:t>後期高齢者健診時の質問票の「健康状態が良くない」割合：</w:t>
            </w:r>
          </w:p>
        </w:tc>
        <w:tc>
          <w:tcPr>
            <w:tcW w:w="1486" w:type="pct"/>
            <w:tcMar>
              <w:top w:w="28" w:type="dxa"/>
              <w:left w:w="28" w:type="dxa"/>
              <w:bottom w:w="28" w:type="dxa"/>
              <w:right w:w="28" w:type="dxa"/>
            </w:tcMar>
            <w:vAlign w:val="center"/>
          </w:tcPr>
          <w:p>
            <w:pPr>
              <w:pStyle w:val="0"/>
              <w:rPr>
                <w:rFonts w:hint="default"/>
              </w:rPr>
            </w:pPr>
            <w:r>
              <w:rPr>
                <w:rFonts w:hint="eastAsia"/>
              </w:rPr>
              <w:t>通いの場等への積極的な関与等（ポピュレーションアプローチ）</w:t>
            </w:r>
          </w:p>
        </w:tc>
        <w:tc>
          <w:tcPr>
            <w:tcW w:w="2475" w:type="pct"/>
            <w:tcMar>
              <w:top w:w="28" w:type="dxa"/>
              <w:left w:w="28" w:type="dxa"/>
              <w:bottom w:w="28" w:type="dxa"/>
              <w:right w:w="28" w:type="dxa"/>
            </w:tcMar>
            <w:vAlign w:val="center"/>
          </w:tcPr>
          <w:p>
            <w:pPr>
              <w:pStyle w:val="0"/>
              <w:jc w:val="both"/>
              <w:rPr>
                <w:rFonts w:hint="default"/>
              </w:rPr>
            </w:pPr>
            <w:r>
              <w:rPr>
                <w:rFonts w:hint="eastAsia"/>
              </w:rPr>
              <w:t>介護予防を目的とした運動指導や体力測定等の運動教室を実施する。</w:t>
            </w:r>
          </w:p>
        </w:tc>
      </w:tr>
    </w:tbl>
    <w:p>
      <w:pPr>
        <w:pStyle w:val="0"/>
        <w:jc w:val="center"/>
        <w:rPr>
          <w:rFonts w:hint="default"/>
          <w:b w:val="1"/>
          <w:color w:val="1D1C1D"/>
          <w:sz w:val="18"/>
        </w:rPr>
      </w:pPr>
      <w:r>
        <w:rPr>
          <w:rFonts w:hint="default"/>
          <w:b w:val="1"/>
          <w:color w:val="1D1C1D"/>
          <w:sz w:val="18"/>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9375"/>
      </w:tblGrid>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期計画における介護予防・一体的実施に関連する健康課題</w:t>
            </w:r>
          </w:p>
        </w:tc>
      </w:tr>
      <w:tr>
        <w:trPr>
          <w:trHeight w:val="20" w:hRule="atLeast"/>
        </w:trPr>
        <w:tc>
          <w:tcPr>
            <w:tcW w:w="5000" w:type="pct"/>
            <w:tcMar>
              <w:top w:w="28" w:type="dxa"/>
              <w:left w:w="28" w:type="dxa"/>
              <w:bottom w:w="28" w:type="dxa"/>
              <w:right w:w="28" w:type="dxa"/>
            </w:tcMar>
            <w:vAlign w:val="center"/>
          </w:tcPr>
          <w:p>
            <w:pPr>
              <w:pStyle w:val="0"/>
              <w:widowControl w:val="0"/>
              <w:rPr>
                <w:rFonts w:hint="default"/>
              </w:rPr>
            </w:pPr>
            <w:r>
              <w:rPr>
                <w:rFonts w:hint="default"/>
                <w:color w:val="000000"/>
                <w:sz w:val="14"/>
              </w:rPr>
              <w:t>#5</w:t>
            </w:r>
            <w:r>
              <w:rPr>
                <w:rFonts w:hint="eastAsia"/>
                <w:color w:val="000000"/>
                <w:sz w:val="14"/>
              </w:rPr>
              <w:t>　</w:t>
            </w:r>
            <w:r>
              <w:rPr>
                <w:rFonts w:hint="default"/>
                <w:color w:val="000000"/>
              </w:rPr>
              <w:t>将来の</w:t>
            </w:r>
            <w:r>
              <w:rPr>
                <w:rFonts w:hint="eastAsia"/>
                <w:color w:val="000000"/>
              </w:rPr>
              <w:t>重篤な疾患の</w:t>
            </w:r>
            <w:r>
              <w:rPr>
                <w:rFonts w:hint="default"/>
                <w:color w:val="000000"/>
              </w:rPr>
              <w:t>予防のために国保世代への重症化予防が必要。</w:t>
            </w:r>
          </w:p>
        </w:tc>
      </w:tr>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期計画における介護予防・一体的実施に関連するデータヘルス計画の目標</w:t>
            </w:r>
          </w:p>
        </w:tc>
      </w:tr>
      <w:tr>
        <w:trPr>
          <w:trHeight w:val="20" w:hRule="atLeast"/>
        </w:trPr>
        <w:tc>
          <w:tcPr>
            <w:tcW w:w="5000" w:type="pct"/>
            <w:tcMar>
              <w:top w:w="28" w:type="dxa"/>
              <w:left w:w="28" w:type="dxa"/>
              <w:bottom w:w="28" w:type="dxa"/>
              <w:right w:w="28" w:type="dxa"/>
            </w:tcMar>
            <w:vAlign w:val="center"/>
          </w:tcPr>
          <w:p>
            <w:pPr>
              <w:pStyle w:val="0"/>
              <w:rPr>
                <w:rFonts w:hint="default"/>
              </w:rPr>
            </w:pPr>
            <w:r>
              <w:rPr>
                <w:rFonts w:hint="eastAsia"/>
              </w:rPr>
              <w:t>国保保健事業と後期高齢者への保健事業、介護予防事業の切れ目のない実施。</w:t>
            </w:r>
          </w:p>
        </w:tc>
      </w:tr>
    </w:tbl>
    <w:p>
      <w:pPr>
        <w:pStyle w:val="0"/>
        <w:jc w:val="center"/>
        <w:rPr>
          <w:rFonts w:hint="default"/>
          <w:b w:val="1"/>
          <w:color w:val="1D1C1D"/>
          <w:sz w:val="18"/>
        </w:rPr>
      </w:pPr>
      <w:r>
        <w:rPr>
          <w:rFonts w:hint="default"/>
          <w:b w:val="1"/>
          <w:color w:val="1D1C1D"/>
          <w:sz w:val="18"/>
        </w:rPr>
        <w:t>▼</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98"/>
        <w:gridCol w:w="1108"/>
        <w:gridCol w:w="2109"/>
        <w:gridCol w:w="4560"/>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color w:val="000000"/>
                <w:sz w:val="20"/>
              </w:rPr>
              <w:t>第</w:t>
            </w:r>
            <w:r>
              <w:rPr>
                <w:rFonts w:hint="eastAsia"/>
                <w:b w:val="1"/>
                <w:color w:val="000000"/>
                <w:sz w:val="20"/>
              </w:rPr>
              <w:t>3</w:t>
            </w:r>
            <w:r>
              <w:rPr>
                <w:rFonts w:hint="eastAsia"/>
                <w:b w:val="1"/>
                <w:color w:val="000000"/>
                <w:sz w:val="20"/>
              </w:rPr>
              <w:t>期計画における介護予防・一体的実施に関連する保健事業</w:t>
            </w:r>
          </w:p>
        </w:tc>
      </w:tr>
      <w:tr>
        <w:trPr>
          <w:trHeight w:val="20" w:hRule="atLeast"/>
        </w:trPr>
        <w:tc>
          <w:tcPr>
            <w:tcW w:w="5000" w:type="pct"/>
            <w:gridSpan w:val="4"/>
            <w:shd w:val="clear" w:color="auto" w:fill="EFEFEF"/>
            <w:tcMar>
              <w:top w:w="28" w:type="dxa"/>
              <w:left w:w="28" w:type="dxa"/>
              <w:bottom w:w="28" w:type="dxa"/>
              <w:right w:w="28" w:type="dxa"/>
            </w:tcMar>
            <w:vAlign w:val="center"/>
          </w:tcPr>
          <w:p>
            <w:pPr>
              <w:pStyle w:val="0"/>
              <w:rPr>
                <w:rFonts w:hint="default"/>
              </w:rPr>
            </w:pPr>
            <w:r>
              <w:rPr>
                <w:rFonts w:hint="eastAsia"/>
                <w:b w:val="1"/>
                <w:color w:val="000000"/>
              </w:rPr>
              <w:t>保健事業の方向性</w:t>
            </w:r>
          </w:p>
        </w:tc>
      </w:tr>
      <w:tr>
        <w:tblPrEx>
          <w:jc w:val="left"/>
        </w:tblPrEx>
        <w:trPr>
          <w:trHeight w:val="20" w:hRule="atLeast"/>
        </w:trPr>
        <w:tc>
          <w:tcPr>
            <w:tcW w:w="5000" w:type="pct"/>
            <w:gridSpan w:val="4"/>
            <w:tcMar>
              <w:top w:w="28" w:type="dxa"/>
              <w:left w:w="28" w:type="dxa"/>
              <w:bottom w:w="28" w:type="dxa"/>
              <w:right w:w="28" w:type="dxa"/>
            </w:tcMar>
            <w:vAlign w:val="center"/>
          </w:tcPr>
          <w:p>
            <w:pPr>
              <w:pStyle w:val="0"/>
              <w:rPr>
                <w:rFonts w:hint="eastAsia"/>
              </w:rPr>
            </w:pPr>
            <w:r>
              <w:rPr>
                <w:rFonts w:hint="default"/>
              </w:rPr>
              <w:t>第</w:t>
            </w:r>
            <w:r>
              <w:rPr>
                <w:rFonts w:hint="default"/>
              </w:rPr>
              <w:t>2</w:t>
            </w:r>
            <w:r>
              <w:rPr>
                <w:rFonts w:hint="default"/>
              </w:rPr>
              <w:t>期計画期間で実施していた事業では</w:t>
            </w:r>
            <w:r>
              <w:rPr>
                <w:rFonts w:hint="eastAsia"/>
              </w:rPr>
              <w:t>、後期高齢者被保険者を対象に、フレイル予防を目的に運動教室を実施し、「以前に比べて歩行速度が遅くなったと思う」「この</w:t>
            </w:r>
            <w:r>
              <w:rPr>
                <w:rFonts w:hint="eastAsia"/>
              </w:rPr>
              <w:t>1</w:t>
            </w:r>
            <w:r>
              <w:rPr>
                <w:rFonts w:hint="eastAsia"/>
              </w:rPr>
              <w:t>年間に転倒したことがある」と回答する者が国に比べて低く、目標は達成できているので維持することが大切である。</w:t>
            </w:r>
          </w:p>
          <w:p>
            <w:pPr>
              <w:pStyle w:val="0"/>
              <w:rPr>
                <w:rFonts w:hint="default"/>
              </w:rPr>
            </w:pPr>
            <w:r>
              <w:rPr>
                <w:rFonts w:hint="default"/>
              </w:rPr>
              <w:t>第</w:t>
            </w:r>
            <w:r>
              <w:rPr>
                <w:rFonts w:hint="default"/>
              </w:rPr>
              <w:t>3</w:t>
            </w:r>
            <w:r>
              <w:rPr>
                <w:rFonts w:hint="default"/>
              </w:rPr>
              <w:t>期計画においては</w:t>
            </w:r>
            <w:r>
              <w:rPr>
                <w:rFonts w:hint="eastAsia"/>
              </w:rPr>
              <w:t>、引き続き個別的支援と通いの場等への積極的な関与等を継続して実施していく。</w:t>
            </w:r>
          </w:p>
        </w:tc>
      </w:tr>
      <w:tr>
        <w:trPr>
          <w:trHeight w:val="20" w:hRule="atLeast"/>
        </w:trPr>
        <w:tc>
          <w:tcPr>
            <w:tcW w:w="85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健康課題</w:t>
            </w:r>
          </w:p>
        </w:tc>
        <w:tc>
          <w:tcPr>
            <w:tcW w:w="591"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color w:val="000000"/>
              </w:rPr>
              <w:t>継続</w:t>
            </w:r>
            <w:r>
              <w:rPr>
                <w:rFonts w:hint="eastAsia"/>
                <w:b w:val="1"/>
                <w:color w:val="000000"/>
              </w:rPr>
              <w:t>/</w:t>
            </w:r>
            <w:r>
              <w:rPr>
                <w:rFonts w:hint="eastAsia"/>
                <w:b w:val="1"/>
                <w:color w:val="000000"/>
              </w:rPr>
              <w:t>新規</w:t>
            </w:r>
          </w:p>
        </w:tc>
        <w:tc>
          <w:tcPr>
            <w:tcW w:w="112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個別事業名</w:t>
            </w:r>
          </w:p>
        </w:tc>
        <w:tc>
          <w:tcPr>
            <w:tcW w:w="243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事業の概要</w:t>
            </w:r>
          </w:p>
        </w:tc>
      </w:tr>
      <w:tr>
        <w:trPr>
          <w:trHeight w:val="20" w:hRule="atLeast"/>
        </w:trPr>
        <w:tc>
          <w:tcPr>
            <w:tcW w:w="852" w:type="pct"/>
            <w:tcMar>
              <w:top w:w="28" w:type="dxa"/>
              <w:left w:w="28" w:type="dxa"/>
              <w:bottom w:w="28" w:type="dxa"/>
              <w:right w:w="28" w:type="dxa"/>
            </w:tcMar>
            <w:vAlign w:val="center"/>
          </w:tcPr>
          <w:p>
            <w:pPr>
              <w:pStyle w:val="0"/>
              <w:widowControl w:val="0"/>
              <w:jc w:val="center"/>
              <w:rPr>
                <w:rFonts w:hint="default"/>
              </w:rPr>
            </w:pPr>
            <w:r>
              <w:rPr>
                <w:rFonts w:hint="default"/>
                <w:color w:val="000000"/>
              </w:rPr>
              <w:t>#5</w:t>
            </w:r>
          </w:p>
        </w:tc>
        <w:tc>
          <w:tcPr>
            <w:tcW w:w="591" w:type="pct"/>
            <w:tcMar>
              <w:top w:w="28" w:type="dxa"/>
              <w:left w:w="28" w:type="dxa"/>
              <w:bottom w:w="28" w:type="dxa"/>
              <w:right w:w="28" w:type="dxa"/>
            </w:tcMar>
            <w:vAlign w:val="center"/>
          </w:tcPr>
          <w:p>
            <w:pPr>
              <w:pStyle w:val="0"/>
              <w:jc w:val="center"/>
              <w:rPr>
                <w:rFonts w:hint="default"/>
              </w:rPr>
            </w:pPr>
            <w:r>
              <w:rPr>
                <w:rFonts w:hint="eastAsia"/>
              </w:rPr>
              <w:t>継続</w:t>
            </w:r>
          </w:p>
        </w:tc>
        <w:tc>
          <w:tcPr>
            <w:tcW w:w="1125" w:type="pct"/>
            <w:tcMar>
              <w:top w:w="28" w:type="dxa"/>
              <w:left w:w="28" w:type="dxa"/>
              <w:bottom w:w="28" w:type="dxa"/>
              <w:right w:w="28" w:type="dxa"/>
            </w:tcMar>
            <w:vAlign w:val="center"/>
          </w:tcPr>
          <w:p>
            <w:pPr>
              <w:pStyle w:val="0"/>
              <w:rPr>
                <w:rFonts w:hint="default"/>
              </w:rPr>
            </w:pPr>
            <w:r>
              <w:rPr>
                <w:rFonts w:hint="eastAsia"/>
              </w:rPr>
              <w:t>個別的支援（ハイリスクアプローチ）</w:t>
            </w:r>
          </w:p>
        </w:tc>
        <w:tc>
          <w:tcPr>
            <w:tcW w:w="2432" w:type="pct"/>
            <w:tcMar>
              <w:top w:w="28" w:type="dxa"/>
              <w:left w:w="28" w:type="dxa"/>
              <w:bottom w:w="28" w:type="dxa"/>
              <w:right w:w="28" w:type="dxa"/>
            </w:tcMar>
            <w:vAlign w:val="center"/>
          </w:tcPr>
          <w:p>
            <w:pPr>
              <w:pStyle w:val="0"/>
              <w:rPr>
                <w:rFonts w:hint="default"/>
              </w:rPr>
            </w:pPr>
            <w:r>
              <w:rPr>
                <w:rFonts w:hint="eastAsia"/>
              </w:rPr>
              <w:t>後期高齢者医療保険被保険者に対して、健康状態不明者の状態把握、糖尿病性腎症等の重症化予防事業等を実施し、国保の保健事業や介護保険の介護予防事業との切れ目のない事業を行う。</w:t>
            </w:r>
          </w:p>
        </w:tc>
      </w:tr>
      <w:tr>
        <w:trPr>
          <w:trHeight w:val="20" w:hRule="atLeast"/>
        </w:trPr>
        <w:tc>
          <w:tcPr>
            <w:tcW w:w="852" w:type="pct"/>
            <w:tcMar>
              <w:top w:w="28" w:type="dxa"/>
              <w:left w:w="28" w:type="dxa"/>
              <w:bottom w:w="28" w:type="dxa"/>
              <w:right w:w="28" w:type="dxa"/>
            </w:tcMar>
            <w:vAlign w:val="center"/>
          </w:tcPr>
          <w:p>
            <w:pPr>
              <w:pStyle w:val="0"/>
              <w:widowControl w:val="0"/>
              <w:jc w:val="center"/>
              <w:rPr>
                <w:rFonts w:hint="default"/>
              </w:rPr>
            </w:pPr>
            <w:r>
              <w:rPr>
                <w:rFonts w:hint="default"/>
                <w:color w:val="000000"/>
              </w:rPr>
              <w:t>#5</w:t>
            </w:r>
          </w:p>
        </w:tc>
        <w:tc>
          <w:tcPr>
            <w:tcW w:w="591" w:type="pct"/>
            <w:tcMar>
              <w:top w:w="28" w:type="dxa"/>
              <w:left w:w="28" w:type="dxa"/>
              <w:bottom w:w="28" w:type="dxa"/>
              <w:right w:w="28" w:type="dxa"/>
            </w:tcMar>
            <w:vAlign w:val="center"/>
          </w:tcPr>
          <w:p>
            <w:pPr>
              <w:pStyle w:val="0"/>
              <w:jc w:val="center"/>
              <w:rPr>
                <w:rFonts w:hint="default"/>
              </w:rPr>
            </w:pPr>
            <w:r>
              <w:rPr>
                <w:rFonts w:hint="eastAsia"/>
              </w:rPr>
              <w:t>継続</w:t>
            </w:r>
          </w:p>
        </w:tc>
        <w:tc>
          <w:tcPr>
            <w:tcW w:w="1125" w:type="pct"/>
            <w:tcMar>
              <w:top w:w="28" w:type="dxa"/>
              <w:left w:w="28" w:type="dxa"/>
              <w:bottom w:w="28" w:type="dxa"/>
              <w:right w:w="28" w:type="dxa"/>
            </w:tcMar>
            <w:vAlign w:val="center"/>
          </w:tcPr>
          <w:p>
            <w:pPr>
              <w:pStyle w:val="0"/>
              <w:rPr>
                <w:rFonts w:hint="default"/>
              </w:rPr>
            </w:pPr>
            <w:r>
              <w:rPr>
                <w:rFonts w:hint="eastAsia"/>
              </w:rPr>
              <w:t>通いの場等への積極的な関与等（ポピュレーションアプローチ）</w:t>
            </w:r>
          </w:p>
        </w:tc>
        <w:tc>
          <w:tcPr>
            <w:tcW w:w="2432" w:type="pct"/>
            <w:tcMar>
              <w:top w:w="28" w:type="dxa"/>
              <w:left w:w="28" w:type="dxa"/>
              <w:bottom w:w="28" w:type="dxa"/>
              <w:right w:w="28" w:type="dxa"/>
            </w:tcMar>
            <w:vAlign w:val="center"/>
          </w:tcPr>
          <w:p>
            <w:pPr>
              <w:pStyle w:val="0"/>
              <w:rPr>
                <w:rFonts w:hint="default"/>
              </w:rPr>
            </w:pPr>
            <w:r>
              <w:rPr>
                <w:rFonts w:hint="eastAsia"/>
              </w:rPr>
              <w:t>通いの場等に、理学療法士等を派遣し、介護予防を目的とした運動指導や体力測定等を実施する。</w:t>
            </w:r>
          </w:p>
        </w:tc>
      </w:tr>
    </w:tbl>
    <w:p>
      <w:pPr>
        <w:pStyle w:val="0"/>
        <w:rPr>
          <w:rFonts w:hint="default"/>
        </w:rPr>
      </w:pPr>
      <w:r>
        <w:rPr>
          <w:rFonts w:hint="default"/>
        </w:rPr>
        <w:br w:type="page"/>
      </w:r>
    </w:p>
    <w:p>
      <w:pPr>
        <w:pStyle w:val="4"/>
        <w:rPr>
          <w:rFonts w:hint="default"/>
        </w:rPr>
      </w:pPr>
      <w:r>
        <w:rPr>
          <w:rFonts w:hint="eastAsia"/>
        </w:rPr>
        <w:t>後期高齢者の個別的支援（ハイリスクアプローチ）</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地域の健康課題を把握し、重症化予防や健康状態不明者の把握等を行うことにより、高齢者の健康増進を図る。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後期高齢者医療被保険者の地域ごとの健康課題に対応して、低栄養防止・生活習慣病等の重症化予防等を行うための訪問相談、訪問指導等を行う。</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rPr>
              <w:t>一体的実施ＫＤＢ活用支援ツールにより抽出。</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実施要領の策定</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事業実施者の選定</w:t>
            </w:r>
          </w:p>
          <w:p>
            <w:pPr>
              <w:pStyle w:val="0"/>
              <w:rPr>
                <w:rFonts w:hint="default"/>
              </w:rPr>
            </w:pPr>
            <w:r>
              <w:rPr>
                <w:rFonts w:hint="eastAsia"/>
              </w:rPr>
              <w:t>参加勧奨資材の工夫</w:t>
            </w:r>
            <w:r>
              <w:rPr>
                <w:rFonts w:hint="default"/>
              </w:rPr>
              <w:t>(</w:t>
            </w:r>
            <w:r>
              <w:rPr>
                <w:rFonts w:hint="default"/>
              </w:rPr>
              <w:t>見直し</w:t>
            </w:r>
            <w:r>
              <w:rPr>
                <w:rFonts w:hint="default"/>
              </w:rPr>
              <w:t>)</w:t>
            </w:r>
          </w:p>
          <w:p>
            <w:pPr>
              <w:pStyle w:val="0"/>
              <w:rPr>
                <w:rFonts w:hint="default"/>
              </w:rPr>
            </w:pPr>
            <w:r>
              <w:rPr>
                <w:rFonts w:hint="eastAsia"/>
              </w:rPr>
              <w:t>参加者アンケートの実施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個別的支援を行った後期高齢者数：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17.1%</w:t>
                  </w:r>
                </w:p>
              </w:tc>
              <w:tc>
                <w:tcPr>
                  <w:tcW w:w="1108" w:type="dxa"/>
                  <w:tcMar>
                    <w:top w:w="28" w:type="dxa"/>
                    <w:left w:w="28" w:type="dxa"/>
                    <w:bottom w:w="28" w:type="dxa"/>
                    <w:right w:w="28" w:type="dxa"/>
                  </w:tcMar>
                  <w:vAlign w:val="top"/>
                </w:tcPr>
                <w:p>
                  <w:pPr>
                    <w:pStyle w:val="0"/>
                    <w:jc w:val="center"/>
                    <w:rPr>
                      <w:rFonts w:hint="default"/>
                    </w:rPr>
                  </w:pPr>
                  <w:r>
                    <w:rPr>
                      <w:rFonts w:hint="eastAsia"/>
                    </w:rPr>
                    <w:t>18%</w:t>
                  </w:r>
                </w:p>
              </w:tc>
              <w:tc>
                <w:tcPr>
                  <w:tcW w:w="1108" w:type="dxa"/>
                  <w:tcMar>
                    <w:top w:w="28" w:type="dxa"/>
                    <w:left w:w="28" w:type="dxa"/>
                    <w:bottom w:w="28" w:type="dxa"/>
                    <w:right w:w="28" w:type="dxa"/>
                  </w:tcMar>
                  <w:vAlign w:val="top"/>
                </w:tcPr>
                <w:p>
                  <w:pPr>
                    <w:pStyle w:val="0"/>
                    <w:jc w:val="center"/>
                    <w:rPr>
                      <w:rFonts w:hint="default"/>
                    </w:rPr>
                  </w:pPr>
                  <w:r>
                    <w:rPr>
                      <w:rFonts w:hint="eastAsia"/>
                    </w:rPr>
                    <w:t>19%</w:t>
                  </w:r>
                </w:p>
              </w:tc>
              <w:tc>
                <w:tcPr>
                  <w:tcW w:w="1108" w:type="dxa"/>
                  <w:tcMar>
                    <w:top w:w="28" w:type="dxa"/>
                    <w:left w:w="28" w:type="dxa"/>
                    <w:bottom w:w="28" w:type="dxa"/>
                    <w:right w:w="28" w:type="dxa"/>
                  </w:tcMar>
                  <w:vAlign w:val="top"/>
                </w:tcPr>
                <w:p>
                  <w:pPr>
                    <w:pStyle w:val="0"/>
                    <w:jc w:val="center"/>
                    <w:rPr>
                      <w:rFonts w:hint="default"/>
                    </w:rPr>
                  </w:pPr>
                  <w:r>
                    <w:rPr>
                      <w:rFonts w:hint="eastAsia"/>
                    </w:rPr>
                    <w:t>20%</w:t>
                  </w:r>
                </w:p>
              </w:tc>
              <w:tc>
                <w:tcPr>
                  <w:tcW w:w="1109" w:type="dxa"/>
                  <w:tcMar>
                    <w:top w:w="28" w:type="dxa"/>
                    <w:left w:w="28" w:type="dxa"/>
                    <w:bottom w:w="28" w:type="dxa"/>
                    <w:right w:w="28" w:type="dxa"/>
                  </w:tcMar>
                  <w:vAlign w:val="top"/>
                </w:tcPr>
                <w:p>
                  <w:pPr>
                    <w:pStyle w:val="0"/>
                    <w:jc w:val="center"/>
                    <w:rPr>
                      <w:rFonts w:hint="default"/>
                    </w:rPr>
                  </w:pPr>
                  <w:r>
                    <w:rPr>
                      <w:rFonts w:hint="eastAsia"/>
                    </w:rPr>
                    <w:t>21%</w:t>
                  </w:r>
                </w:p>
              </w:tc>
              <w:tc>
                <w:tcPr>
                  <w:tcW w:w="1109" w:type="dxa"/>
                  <w:tcMar>
                    <w:top w:w="28" w:type="dxa"/>
                    <w:left w:w="28" w:type="dxa"/>
                    <w:bottom w:w="28" w:type="dxa"/>
                    <w:right w:w="28" w:type="dxa"/>
                  </w:tcMar>
                  <w:vAlign w:val="top"/>
                </w:tcPr>
                <w:p>
                  <w:pPr>
                    <w:pStyle w:val="0"/>
                    <w:jc w:val="center"/>
                    <w:rPr>
                      <w:rFonts w:hint="default"/>
                    </w:rPr>
                  </w:pPr>
                  <w:r>
                    <w:rPr>
                      <w:rFonts w:hint="eastAsia"/>
                    </w:rPr>
                    <w:t>22%</w:t>
                  </w:r>
                </w:p>
              </w:tc>
              <w:tc>
                <w:tcPr>
                  <w:tcW w:w="1109" w:type="dxa"/>
                  <w:tcMar>
                    <w:top w:w="28" w:type="dxa"/>
                    <w:left w:w="28" w:type="dxa"/>
                    <w:bottom w:w="28" w:type="dxa"/>
                    <w:right w:w="28" w:type="dxa"/>
                  </w:tcMar>
                  <w:vAlign w:val="top"/>
                </w:tcPr>
                <w:p>
                  <w:pPr>
                    <w:pStyle w:val="0"/>
                    <w:jc w:val="center"/>
                    <w:rPr>
                      <w:rFonts w:hint="default"/>
                    </w:rPr>
                  </w:pPr>
                  <w:r>
                    <w:rPr>
                      <w:rFonts w:hint="eastAsia"/>
                    </w:rPr>
                    <w:t>23%</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後期高齢者健診時の質問票の「健康状態が良くない」割合：</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0.9%</w:t>
                  </w:r>
                </w:p>
              </w:tc>
              <w:tc>
                <w:tcPr>
                  <w:tcW w:w="1108" w:type="dxa"/>
                  <w:tcMar>
                    <w:top w:w="28" w:type="dxa"/>
                    <w:left w:w="28" w:type="dxa"/>
                    <w:bottom w:w="28" w:type="dxa"/>
                    <w:right w:w="28" w:type="dxa"/>
                  </w:tcMar>
                  <w:vAlign w:val="top"/>
                </w:tcPr>
                <w:p>
                  <w:pPr>
                    <w:pStyle w:val="0"/>
                    <w:jc w:val="center"/>
                    <w:rPr>
                      <w:rFonts w:hint="default"/>
                    </w:rPr>
                  </w:pPr>
                  <w:r>
                    <w:rPr>
                      <w:rFonts w:hint="eastAsia"/>
                    </w:rPr>
                    <w:t>0.8%</w:t>
                  </w:r>
                </w:p>
              </w:tc>
              <w:tc>
                <w:tcPr>
                  <w:tcW w:w="1108" w:type="dxa"/>
                  <w:tcMar>
                    <w:top w:w="28" w:type="dxa"/>
                    <w:left w:w="28" w:type="dxa"/>
                    <w:bottom w:w="28" w:type="dxa"/>
                    <w:right w:w="28" w:type="dxa"/>
                  </w:tcMar>
                  <w:vAlign w:val="top"/>
                </w:tcPr>
                <w:p>
                  <w:pPr>
                    <w:pStyle w:val="0"/>
                    <w:jc w:val="center"/>
                    <w:rPr>
                      <w:rFonts w:hint="default"/>
                    </w:rPr>
                  </w:pPr>
                  <w:r>
                    <w:rPr>
                      <w:rFonts w:hint="eastAsia"/>
                    </w:rPr>
                    <w:t>0.7%</w:t>
                  </w:r>
                </w:p>
              </w:tc>
              <w:tc>
                <w:tcPr>
                  <w:tcW w:w="1108" w:type="dxa"/>
                  <w:tcMar>
                    <w:top w:w="28" w:type="dxa"/>
                    <w:left w:w="28" w:type="dxa"/>
                    <w:bottom w:w="28" w:type="dxa"/>
                    <w:right w:w="28" w:type="dxa"/>
                  </w:tcMar>
                  <w:vAlign w:val="top"/>
                </w:tcPr>
                <w:p>
                  <w:pPr>
                    <w:pStyle w:val="0"/>
                    <w:jc w:val="center"/>
                    <w:rPr>
                      <w:rFonts w:hint="default"/>
                    </w:rPr>
                  </w:pPr>
                  <w:r>
                    <w:rPr>
                      <w:rFonts w:hint="eastAsia"/>
                    </w:rPr>
                    <w:t>0.6%</w:t>
                  </w:r>
                </w:p>
              </w:tc>
              <w:tc>
                <w:tcPr>
                  <w:tcW w:w="1109" w:type="dxa"/>
                  <w:tcMar>
                    <w:top w:w="28" w:type="dxa"/>
                    <w:left w:w="28" w:type="dxa"/>
                    <w:bottom w:w="28" w:type="dxa"/>
                    <w:right w:w="28" w:type="dxa"/>
                  </w:tcMar>
                  <w:vAlign w:val="top"/>
                </w:tcPr>
                <w:p>
                  <w:pPr>
                    <w:pStyle w:val="0"/>
                    <w:jc w:val="center"/>
                    <w:rPr>
                      <w:rFonts w:hint="default"/>
                    </w:rPr>
                  </w:pPr>
                  <w:r>
                    <w:rPr>
                      <w:rFonts w:hint="eastAsia"/>
                    </w:rPr>
                    <w:t>0.5%</w:t>
                  </w:r>
                </w:p>
              </w:tc>
              <w:tc>
                <w:tcPr>
                  <w:tcW w:w="1109" w:type="dxa"/>
                  <w:tcMar>
                    <w:top w:w="28" w:type="dxa"/>
                    <w:left w:w="28" w:type="dxa"/>
                    <w:bottom w:w="28" w:type="dxa"/>
                    <w:right w:w="28" w:type="dxa"/>
                  </w:tcMar>
                  <w:vAlign w:val="top"/>
                </w:tcPr>
                <w:p>
                  <w:pPr>
                    <w:pStyle w:val="0"/>
                    <w:jc w:val="center"/>
                    <w:rPr>
                      <w:rFonts w:hint="default"/>
                    </w:rPr>
                  </w:pPr>
                  <w:r>
                    <w:rPr>
                      <w:rFonts w:hint="eastAsia"/>
                    </w:rPr>
                    <w:t>0.4%</w:t>
                  </w:r>
                </w:p>
              </w:tc>
              <w:tc>
                <w:tcPr>
                  <w:tcW w:w="1109" w:type="dxa"/>
                  <w:tcMar>
                    <w:top w:w="28" w:type="dxa"/>
                    <w:left w:w="28" w:type="dxa"/>
                    <w:bottom w:w="28" w:type="dxa"/>
                    <w:right w:w="28" w:type="dxa"/>
                  </w:tcMar>
                  <w:vAlign w:val="top"/>
                </w:tcPr>
                <w:p>
                  <w:pPr>
                    <w:pStyle w:val="0"/>
                    <w:jc w:val="center"/>
                    <w:rPr>
                      <w:rFonts w:hint="default"/>
                    </w:rPr>
                  </w:pPr>
                  <w:r>
                    <w:rPr>
                      <w:rFonts w:hint="eastAsia"/>
                    </w:rPr>
                    <w:t>0.3%</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sz w:val="18"/>
        </w:rPr>
      </w:pPr>
    </w:p>
    <w:p>
      <w:pPr>
        <w:pStyle w:val="4"/>
        <w:rPr>
          <w:rFonts w:hint="default"/>
        </w:rPr>
      </w:pPr>
      <w:r>
        <w:rPr>
          <w:rFonts w:hint="eastAsia"/>
        </w:rPr>
        <w:t>通いの場等への積極的な関与等（ポピュレーションアプローチ）</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運動指導や体力測定を実施し、介護予防の普及啓発をはかる。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通いの場等に、理学療法士等を派遣し、介護予防を目的とした運動指導や体力測定等を実施する。</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rPr>
              <w:t>後期高齢者等</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実施要領の策定</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事業実施場所の選定</w:t>
            </w:r>
          </w:p>
          <w:p>
            <w:pPr>
              <w:pStyle w:val="0"/>
              <w:rPr>
                <w:rFonts w:hint="default"/>
              </w:rPr>
            </w:pPr>
            <w:r>
              <w:rPr>
                <w:rFonts w:hint="eastAsia"/>
              </w:rPr>
              <w:t>参加勧奨資材の工夫</w:t>
            </w:r>
            <w:r>
              <w:rPr>
                <w:rFonts w:hint="default"/>
              </w:rPr>
              <w:t>(</w:t>
            </w:r>
            <w:r>
              <w:rPr>
                <w:rFonts w:hint="default"/>
              </w:rPr>
              <w:t>見直し</w:t>
            </w:r>
            <w:r>
              <w:rPr>
                <w:rFonts w:hint="default"/>
              </w:rPr>
              <w:t>)</w:t>
            </w:r>
          </w:p>
          <w:p>
            <w:pPr>
              <w:pStyle w:val="0"/>
              <w:rPr>
                <w:rFonts w:hint="default"/>
              </w:rPr>
            </w:pPr>
            <w:r>
              <w:rPr>
                <w:rFonts w:hint="eastAsia"/>
              </w:rPr>
              <w:t>参加者アンケートの実施</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通いの場等への専門職の派遣回数：</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4</w:t>
                  </w:r>
                  <w:r>
                    <w:rPr>
                      <w:rFonts w:hint="eastAsia"/>
                    </w:rPr>
                    <w:t>回</w:t>
                  </w:r>
                </w:p>
              </w:tc>
              <w:tc>
                <w:tcPr>
                  <w:tcW w:w="1108" w:type="dxa"/>
                  <w:tcMar>
                    <w:top w:w="28" w:type="dxa"/>
                    <w:left w:w="28" w:type="dxa"/>
                    <w:bottom w:w="28" w:type="dxa"/>
                    <w:right w:w="28" w:type="dxa"/>
                  </w:tcMar>
                  <w:vAlign w:val="top"/>
                </w:tcPr>
                <w:p>
                  <w:pPr>
                    <w:pStyle w:val="0"/>
                    <w:jc w:val="center"/>
                    <w:rPr>
                      <w:rFonts w:hint="default"/>
                    </w:rPr>
                  </w:pPr>
                  <w:r>
                    <w:rPr>
                      <w:rFonts w:hint="eastAsia"/>
                    </w:rPr>
                    <w:t>8</w:t>
                  </w:r>
                  <w:r>
                    <w:rPr>
                      <w:rFonts w:hint="eastAsia"/>
                    </w:rPr>
                    <w:t>回</w:t>
                  </w:r>
                </w:p>
              </w:tc>
              <w:tc>
                <w:tcPr>
                  <w:tcW w:w="1108" w:type="dxa"/>
                  <w:tcMar>
                    <w:top w:w="28" w:type="dxa"/>
                    <w:left w:w="28" w:type="dxa"/>
                    <w:bottom w:w="28" w:type="dxa"/>
                    <w:right w:w="28" w:type="dxa"/>
                  </w:tcMar>
                  <w:vAlign w:val="top"/>
                </w:tcPr>
                <w:p>
                  <w:pPr>
                    <w:pStyle w:val="0"/>
                    <w:jc w:val="center"/>
                    <w:rPr>
                      <w:rFonts w:hint="default"/>
                    </w:rPr>
                  </w:pPr>
                  <w:r>
                    <w:rPr>
                      <w:rFonts w:hint="eastAsia"/>
                    </w:rPr>
                    <w:t>12</w:t>
                  </w:r>
                  <w:r>
                    <w:rPr>
                      <w:rFonts w:hint="eastAsia"/>
                    </w:rPr>
                    <w:t>回</w:t>
                  </w:r>
                </w:p>
              </w:tc>
              <w:tc>
                <w:tcPr>
                  <w:tcW w:w="1108" w:type="dxa"/>
                  <w:tcMar>
                    <w:top w:w="28" w:type="dxa"/>
                    <w:left w:w="28" w:type="dxa"/>
                    <w:bottom w:w="28" w:type="dxa"/>
                    <w:right w:w="28" w:type="dxa"/>
                  </w:tcMar>
                  <w:vAlign w:val="top"/>
                </w:tcPr>
                <w:p>
                  <w:pPr>
                    <w:pStyle w:val="0"/>
                    <w:jc w:val="center"/>
                    <w:rPr>
                      <w:rFonts w:hint="default"/>
                    </w:rPr>
                  </w:pPr>
                  <w:r>
                    <w:rPr>
                      <w:rFonts w:hint="eastAsia"/>
                    </w:rPr>
                    <w:t>16</w:t>
                  </w:r>
                  <w:r>
                    <w:rPr>
                      <w:rFonts w:hint="eastAsia"/>
                    </w:rPr>
                    <w:t>回</w:t>
                  </w:r>
                </w:p>
              </w:tc>
              <w:tc>
                <w:tcPr>
                  <w:tcW w:w="1109" w:type="dxa"/>
                  <w:tcMar>
                    <w:top w:w="28" w:type="dxa"/>
                    <w:left w:w="28" w:type="dxa"/>
                    <w:bottom w:w="28" w:type="dxa"/>
                    <w:right w:w="28" w:type="dxa"/>
                  </w:tcMar>
                  <w:vAlign w:val="top"/>
                </w:tcPr>
                <w:p>
                  <w:pPr>
                    <w:pStyle w:val="0"/>
                    <w:jc w:val="center"/>
                    <w:rPr>
                      <w:rFonts w:hint="default"/>
                    </w:rPr>
                  </w:pPr>
                  <w:r>
                    <w:rPr>
                      <w:rFonts w:hint="eastAsia"/>
                    </w:rPr>
                    <w:t>20</w:t>
                  </w:r>
                  <w:r>
                    <w:rPr>
                      <w:rFonts w:hint="eastAsia"/>
                    </w:rPr>
                    <w:t>回</w:t>
                  </w:r>
                </w:p>
              </w:tc>
              <w:tc>
                <w:tcPr>
                  <w:tcW w:w="1109" w:type="dxa"/>
                  <w:tcMar>
                    <w:top w:w="28" w:type="dxa"/>
                    <w:left w:w="28" w:type="dxa"/>
                    <w:bottom w:w="28" w:type="dxa"/>
                    <w:right w:w="28" w:type="dxa"/>
                  </w:tcMar>
                  <w:vAlign w:val="top"/>
                </w:tcPr>
                <w:p>
                  <w:pPr>
                    <w:pStyle w:val="0"/>
                    <w:jc w:val="center"/>
                    <w:rPr>
                      <w:rFonts w:hint="default"/>
                    </w:rPr>
                  </w:pPr>
                  <w:r>
                    <w:rPr>
                      <w:rFonts w:hint="eastAsia"/>
                    </w:rPr>
                    <w:t>24</w:t>
                  </w:r>
                  <w:r>
                    <w:rPr>
                      <w:rFonts w:hint="eastAsia"/>
                    </w:rPr>
                    <w:t>回</w:t>
                  </w:r>
                </w:p>
              </w:tc>
              <w:tc>
                <w:tcPr>
                  <w:tcW w:w="1109" w:type="dxa"/>
                  <w:tcMar>
                    <w:top w:w="28" w:type="dxa"/>
                    <w:left w:w="28" w:type="dxa"/>
                    <w:bottom w:w="28" w:type="dxa"/>
                    <w:right w:w="28" w:type="dxa"/>
                  </w:tcMar>
                  <w:vAlign w:val="top"/>
                </w:tcPr>
                <w:p>
                  <w:pPr>
                    <w:pStyle w:val="0"/>
                    <w:jc w:val="center"/>
                    <w:rPr>
                      <w:rFonts w:hint="default"/>
                    </w:rPr>
                  </w:pPr>
                  <w:r>
                    <w:rPr>
                      <w:rFonts w:hint="eastAsia"/>
                    </w:rPr>
                    <w:t>28</w:t>
                  </w:r>
                  <w:r>
                    <w:rPr>
                      <w:rFonts w:hint="eastAsia"/>
                    </w:rPr>
                    <w:t>回</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後期高齢者健診の質問票「体調が悪いときに身近に相談できる人がいない」の割合：</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6.8%</w:t>
                  </w:r>
                </w:p>
              </w:tc>
              <w:tc>
                <w:tcPr>
                  <w:tcW w:w="1108" w:type="dxa"/>
                  <w:tcMar>
                    <w:top w:w="28" w:type="dxa"/>
                    <w:left w:w="28" w:type="dxa"/>
                    <w:bottom w:w="28" w:type="dxa"/>
                    <w:right w:w="28" w:type="dxa"/>
                  </w:tcMar>
                  <w:vAlign w:val="top"/>
                </w:tcPr>
                <w:p>
                  <w:pPr>
                    <w:pStyle w:val="0"/>
                    <w:jc w:val="center"/>
                    <w:rPr>
                      <w:rFonts w:hint="default"/>
                    </w:rPr>
                  </w:pPr>
                  <w:r>
                    <w:rPr>
                      <w:rFonts w:hint="eastAsia"/>
                    </w:rPr>
                    <w:t>6.3%</w:t>
                  </w:r>
                </w:p>
              </w:tc>
              <w:tc>
                <w:tcPr>
                  <w:tcW w:w="1108" w:type="dxa"/>
                  <w:tcMar>
                    <w:top w:w="28" w:type="dxa"/>
                    <w:left w:w="28" w:type="dxa"/>
                    <w:bottom w:w="28" w:type="dxa"/>
                    <w:right w:w="28" w:type="dxa"/>
                  </w:tcMar>
                  <w:vAlign w:val="top"/>
                </w:tcPr>
                <w:p>
                  <w:pPr>
                    <w:pStyle w:val="0"/>
                    <w:jc w:val="center"/>
                    <w:rPr>
                      <w:rFonts w:hint="default"/>
                    </w:rPr>
                  </w:pPr>
                  <w:r>
                    <w:rPr>
                      <w:rFonts w:hint="eastAsia"/>
                    </w:rPr>
                    <w:t>5.8%</w:t>
                  </w:r>
                </w:p>
              </w:tc>
              <w:tc>
                <w:tcPr>
                  <w:tcW w:w="1108" w:type="dxa"/>
                  <w:tcMar>
                    <w:top w:w="28" w:type="dxa"/>
                    <w:left w:w="28" w:type="dxa"/>
                    <w:bottom w:w="28" w:type="dxa"/>
                    <w:right w:w="28" w:type="dxa"/>
                  </w:tcMar>
                  <w:vAlign w:val="top"/>
                </w:tcPr>
                <w:p>
                  <w:pPr>
                    <w:pStyle w:val="0"/>
                    <w:jc w:val="center"/>
                    <w:rPr>
                      <w:rFonts w:hint="default"/>
                    </w:rPr>
                  </w:pPr>
                  <w:r>
                    <w:rPr>
                      <w:rFonts w:hint="eastAsia"/>
                    </w:rPr>
                    <w:t>5.3%</w:t>
                  </w:r>
                </w:p>
              </w:tc>
              <w:tc>
                <w:tcPr>
                  <w:tcW w:w="1109" w:type="dxa"/>
                  <w:tcMar>
                    <w:top w:w="28" w:type="dxa"/>
                    <w:left w:w="28" w:type="dxa"/>
                    <w:bottom w:w="28" w:type="dxa"/>
                    <w:right w:w="28" w:type="dxa"/>
                  </w:tcMar>
                  <w:vAlign w:val="top"/>
                </w:tcPr>
                <w:p>
                  <w:pPr>
                    <w:pStyle w:val="0"/>
                    <w:jc w:val="center"/>
                    <w:rPr>
                      <w:rFonts w:hint="default"/>
                    </w:rPr>
                  </w:pPr>
                  <w:r>
                    <w:rPr>
                      <w:rFonts w:hint="eastAsia"/>
                    </w:rPr>
                    <w:t>4.8%</w:t>
                  </w:r>
                </w:p>
              </w:tc>
              <w:tc>
                <w:tcPr>
                  <w:tcW w:w="1109" w:type="dxa"/>
                  <w:tcMar>
                    <w:top w:w="28" w:type="dxa"/>
                    <w:left w:w="28" w:type="dxa"/>
                    <w:bottom w:w="28" w:type="dxa"/>
                    <w:right w:w="28" w:type="dxa"/>
                  </w:tcMar>
                  <w:vAlign w:val="top"/>
                </w:tcPr>
                <w:p>
                  <w:pPr>
                    <w:pStyle w:val="0"/>
                    <w:jc w:val="center"/>
                    <w:rPr>
                      <w:rFonts w:hint="default"/>
                    </w:rPr>
                  </w:pPr>
                  <w:r>
                    <w:rPr>
                      <w:rFonts w:hint="eastAsia"/>
                    </w:rPr>
                    <w:t>4.3%</w:t>
                  </w:r>
                </w:p>
              </w:tc>
              <w:tc>
                <w:tcPr>
                  <w:tcW w:w="1109" w:type="dxa"/>
                  <w:tcMar>
                    <w:top w:w="28" w:type="dxa"/>
                    <w:left w:w="28" w:type="dxa"/>
                    <w:bottom w:w="28" w:type="dxa"/>
                    <w:right w:w="28" w:type="dxa"/>
                  </w:tcMar>
                  <w:vAlign w:val="top"/>
                </w:tcPr>
                <w:p>
                  <w:pPr>
                    <w:pStyle w:val="0"/>
                    <w:jc w:val="center"/>
                    <w:rPr>
                      <w:rFonts w:hint="default"/>
                    </w:rPr>
                  </w:pPr>
                  <w:r>
                    <w:rPr>
                      <w:rFonts w:hint="eastAsia"/>
                    </w:rPr>
                    <w:t>4.0%</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b w:val="1"/>
          <w:sz w:val="22"/>
        </w:rPr>
      </w:pPr>
    </w:p>
    <w:p>
      <w:pPr>
        <w:pStyle w:val="0"/>
        <w:rPr>
          <w:rFonts w:hint="default"/>
          <w:b w:val="1"/>
          <w:sz w:val="22"/>
        </w:rPr>
      </w:pPr>
      <w:r>
        <w:rPr>
          <w:rFonts w:hint="default"/>
          <w:b w:val="1"/>
          <w:sz w:val="22"/>
        </w:rPr>
        <w:br w:type="page"/>
      </w:r>
    </w:p>
    <w:p>
      <w:pPr>
        <w:pStyle w:val="3"/>
        <w:rPr>
          <w:rFonts w:hint="default"/>
        </w:rPr>
      </w:pPr>
      <w:bookmarkStart w:id="215" w:name="_Toc162548730"/>
      <w:r>
        <w:rPr>
          <w:rFonts w:hint="eastAsia"/>
        </w:rPr>
        <w:t>その他</w:t>
      </w:r>
      <w:r>
        <w:rPr>
          <w:rFonts w:hint="eastAsia"/>
        </w:rPr>
        <w:t>(</w:t>
      </w:r>
      <w:r>
        <w:rPr>
          <w:rFonts w:hint="eastAsia"/>
        </w:rPr>
        <w:t>医療費適正化</w:t>
      </w:r>
      <w:r>
        <w:rPr>
          <w:rFonts w:hint="eastAsia"/>
        </w:rPr>
        <w:t>)</w:t>
      </w:r>
      <w:bookmarkEnd w:id="215"/>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894"/>
        <w:gridCol w:w="1054"/>
        <w:gridCol w:w="2786"/>
        <w:gridCol w:w="4641"/>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sz w:val="20"/>
              </w:rPr>
              <w:t>第</w:t>
            </w:r>
            <w:r>
              <w:rPr>
                <w:rFonts w:hint="eastAsia"/>
                <w:b w:val="1"/>
                <w:sz w:val="20"/>
              </w:rPr>
              <w:t>2</w:t>
            </w:r>
            <w:r>
              <w:rPr>
                <w:rFonts w:hint="eastAsia"/>
                <w:b w:val="1"/>
                <w:sz w:val="20"/>
              </w:rPr>
              <w:t>期計画における取組と評価</w:t>
            </w:r>
          </w:p>
        </w:tc>
      </w:tr>
      <w:tr>
        <w:trPr>
          <w:trHeight w:val="20"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目標分類</w:t>
            </w:r>
          </w:p>
        </w:tc>
        <w:tc>
          <w:tcPr>
            <w:tcW w:w="56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評価</w:t>
            </w:r>
          </w:p>
        </w:tc>
        <w:tc>
          <w:tcPr>
            <w:tcW w:w="3961" w:type="pct"/>
            <w:gridSpan w:val="2"/>
            <w:shd w:val="clear" w:color="auto" w:fill="EFEFEF"/>
            <w:tcMar>
              <w:top w:w="28" w:type="dxa"/>
              <w:left w:w="28" w:type="dxa"/>
              <w:bottom w:w="28" w:type="dxa"/>
              <w:right w:w="28" w:type="dxa"/>
            </w:tcMar>
            <w:vAlign w:val="center"/>
          </w:tcPr>
          <w:p>
            <w:pPr>
              <w:pStyle w:val="0"/>
              <w:jc w:val="center"/>
              <w:rPr>
                <w:rFonts w:hint="default"/>
              </w:rPr>
            </w:pPr>
            <w:r>
              <w:rPr>
                <w:rFonts w:hint="default"/>
                <w:b w:val="1"/>
              </w:rPr>
              <w:t>その他</w:t>
            </w:r>
            <w:r>
              <w:rPr>
                <w:rFonts w:hint="default"/>
                <w:b w:val="1"/>
              </w:rPr>
              <w:t>(</w:t>
            </w:r>
            <w:r>
              <w:rPr>
                <w:rFonts w:hint="default"/>
                <w:b w:val="1"/>
              </w:rPr>
              <w:t>医療費適正化</w:t>
            </w:r>
            <w:r>
              <w:rPr>
                <w:rFonts w:hint="default"/>
                <w:b w:val="1"/>
              </w:rPr>
              <w:t>)</w:t>
            </w:r>
            <w:r>
              <w:rPr>
                <w:rFonts w:hint="eastAsia"/>
                <w:b w:val="1"/>
              </w:rPr>
              <w:t>に関連するデータヘルス計画の目標</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長期</w:t>
            </w:r>
          </w:p>
        </w:tc>
        <w:tc>
          <w:tcPr>
            <w:tcW w:w="562" w:type="pct"/>
            <w:tcMar>
              <w:top w:w="28" w:type="dxa"/>
              <w:left w:w="28" w:type="dxa"/>
              <w:bottom w:w="28" w:type="dxa"/>
              <w:right w:w="28" w:type="dxa"/>
            </w:tcMar>
            <w:vAlign w:val="center"/>
          </w:tcPr>
          <w:p>
            <w:pPr>
              <w:pStyle w:val="0"/>
              <w:jc w:val="center"/>
              <w:rPr>
                <w:rFonts w:hint="default"/>
              </w:rPr>
            </w:pPr>
            <w:r>
              <w:rPr>
                <w:rFonts w:hint="eastAsia"/>
              </w:rPr>
              <w:t>B</w:t>
            </w:r>
          </w:p>
        </w:tc>
        <w:tc>
          <w:tcPr>
            <w:tcW w:w="3961" w:type="pct"/>
            <w:gridSpan w:val="2"/>
            <w:tcMar>
              <w:top w:w="28" w:type="dxa"/>
              <w:left w:w="28" w:type="dxa"/>
              <w:bottom w:w="28" w:type="dxa"/>
              <w:right w:w="28" w:type="dxa"/>
            </w:tcMar>
            <w:vAlign w:val="center"/>
          </w:tcPr>
          <w:p>
            <w:pPr>
              <w:pStyle w:val="0"/>
              <w:rPr>
                <w:rFonts w:hint="default"/>
              </w:rPr>
            </w:pPr>
            <w:r>
              <w:rPr>
                <w:rFonts w:hint="eastAsia"/>
              </w:rPr>
              <w:t>重複頻回･多剤投与者に適性受診を促し、医療費の適正化を図る。</w:t>
            </w:r>
          </w:p>
        </w:tc>
      </w:tr>
      <w:tr>
        <w:trPr>
          <w:trHeight w:val="24" w:hRule="atLeast"/>
        </w:trPr>
        <w:tc>
          <w:tcPr>
            <w:tcW w:w="477"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事業評価</w:t>
            </w:r>
          </w:p>
        </w:tc>
        <w:tc>
          <w:tcPr>
            <w:tcW w:w="562" w:type="pct"/>
            <w:shd w:val="clear" w:color="auto" w:fill="EFEFEF"/>
            <w:tcMar>
              <w:top w:w="28" w:type="dxa"/>
              <w:left w:w="28" w:type="dxa"/>
              <w:bottom w:w="28" w:type="dxa"/>
              <w:right w:w="28" w:type="dxa"/>
            </w:tcMar>
            <w:vAlign w:val="center"/>
          </w:tcPr>
          <w:p>
            <w:pPr>
              <w:pStyle w:val="0"/>
              <w:jc w:val="center"/>
              <w:rPr>
                <w:rFonts w:hint="default"/>
                <w:b w:val="1"/>
              </w:rPr>
            </w:pPr>
            <w:r>
              <w:rPr>
                <w:rFonts w:hint="eastAsia"/>
                <w:b w:val="1"/>
              </w:rPr>
              <w:t>事業</w:t>
            </w:r>
          </w:p>
          <w:p>
            <w:pPr>
              <w:pStyle w:val="0"/>
              <w:jc w:val="center"/>
              <w:rPr>
                <w:rFonts w:hint="default"/>
              </w:rPr>
            </w:pPr>
            <w:r>
              <w:rPr>
                <w:rFonts w:hint="eastAsia"/>
                <w:b w:val="1"/>
              </w:rPr>
              <w:t>アウトカム</w:t>
            </w:r>
          </w:p>
        </w:tc>
        <w:tc>
          <w:tcPr>
            <w:tcW w:w="1486"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個別事業名</w:t>
            </w:r>
          </w:p>
        </w:tc>
        <w:tc>
          <w:tcPr>
            <w:tcW w:w="247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事業の概要</w:t>
            </w:r>
          </w:p>
        </w:tc>
      </w:tr>
      <w:tr>
        <w:trPr>
          <w:trHeight w:val="24"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B</w:t>
            </w:r>
          </w:p>
        </w:tc>
        <w:tc>
          <w:tcPr>
            <w:tcW w:w="562" w:type="pct"/>
            <w:tcMar>
              <w:top w:w="28" w:type="dxa"/>
              <w:left w:w="28" w:type="dxa"/>
              <w:bottom w:w="28" w:type="dxa"/>
              <w:right w:w="28" w:type="dxa"/>
            </w:tcMar>
            <w:vAlign w:val="center"/>
          </w:tcPr>
          <w:p>
            <w:pPr>
              <w:pStyle w:val="0"/>
              <w:snapToGrid w:val="0"/>
              <w:jc w:val="both"/>
              <w:rPr>
                <w:rFonts w:hint="default"/>
              </w:rPr>
            </w:pPr>
            <w:r>
              <w:rPr>
                <w:rFonts w:hint="eastAsia"/>
              </w:rPr>
              <w:t>重複多剤服薬者の該当者数</w:t>
            </w:r>
          </w:p>
        </w:tc>
        <w:tc>
          <w:tcPr>
            <w:tcW w:w="1486" w:type="pct"/>
            <w:tcMar>
              <w:top w:w="28" w:type="dxa"/>
              <w:left w:w="28" w:type="dxa"/>
              <w:bottom w:w="28" w:type="dxa"/>
              <w:right w:w="28" w:type="dxa"/>
            </w:tcMar>
            <w:vAlign w:val="center"/>
          </w:tcPr>
          <w:p>
            <w:pPr>
              <w:pStyle w:val="0"/>
              <w:jc w:val="both"/>
              <w:rPr>
                <w:rFonts w:hint="default"/>
              </w:rPr>
            </w:pPr>
            <w:r>
              <w:rPr>
                <w:rFonts w:hint="eastAsia"/>
              </w:rPr>
              <w:t>住民が運営する通いの場に、理学療法士を派遣し、介護予防を目的とした運動指導や体力測定等の実施する。</w:t>
            </w:r>
          </w:p>
        </w:tc>
        <w:tc>
          <w:tcPr>
            <w:tcW w:w="2475" w:type="pct"/>
            <w:tcMar>
              <w:top w:w="28" w:type="dxa"/>
              <w:left w:w="28" w:type="dxa"/>
              <w:bottom w:w="28" w:type="dxa"/>
              <w:right w:w="28" w:type="dxa"/>
            </w:tcMar>
            <w:vAlign w:val="center"/>
          </w:tcPr>
          <w:p>
            <w:pPr>
              <w:pStyle w:val="0"/>
              <w:snapToGrid w:val="0"/>
              <w:jc w:val="both"/>
              <w:rPr>
                <w:rFonts w:hint="default"/>
              </w:rPr>
            </w:pPr>
            <w:r>
              <w:rPr>
                <w:rFonts w:hint="eastAsia"/>
              </w:rPr>
              <w:t>重複頻回･多剤服薬者等の抽出を行い、該当者には適切な受療を促し、適宜、治療や服薬に関する相談や保健指導を行う。</w:t>
            </w:r>
          </w:p>
        </w:tc>
      </w:tr>
      <w:tr>
        <w:trPr>
          <w:trHeight w:val="20" w:hRule="atLeast"/>
        </w:trPr>
        <w:tc>
          <w:tcPr>
            <w:tcW w:w="477" w:type="pct"/>
            <w:tcMar>
              <w:top w:w="28" w:type="dxa"/>
              <w:left w:w="28" w:type="dxa"/>
              <w:bottom w:w="28" w:type="dxa"/>
              <w:right w:w="28" w:type="dxa"/>
            </w:tcMar>
            <w:vAlign w:val="center"/>
          </w:tcPr>
          <w:p>
            <w:pPr>
              <w:pStyle w:val="0"/>
              <w:jc w:val="center"/>
              <w:rPr>
                <w:rFonts w:hint="default"/>
              </w:rPr>
            </w:pPr>
            <w:r>
              <w:rPr>
                <w:rFonts w:hint="eastAsia"/>
              </w:rPr>
              <w:t>A</w:t>
            </w:r>
          </w:p>
        </w:tc>
        <w:tc>
          <w:tcPr>
            <w:tcW w:w="562" w:type="pct"/>
            <w:tcMar>
              <w:top w:w="28" w:type="dxa"/>
              <w:left w:w="28" w:type="dxa"/>
              <w:bottom w:w="28" w:type="dxa"/>
              <w:right w:w="28" w:type="dxa"/>
            </w:tcMar>
            <w:vAlign w:val="top"/>
          </w:tcPr>
          <w:p>
            <w:pPr>
              <w:pStyle w:val="0"/>
              <w:jc w:val="both"/>
              <w:rPr>
                <w:rFonts w:hint="default"/>
              </w:rPr>
            </w:pPr>
            <w:r>
              <w:rPr>
                <w:rFonts w:hint="eastAsia"/>
              </w:rPr>
              <w:t>ジェネリック医薬品への切替率</w:t>
            </w:r>
          </w:p>
        </w:tc>
        <w:tc>
          <w:tcPr>
            <w:tcW w:w="1486" w:type="pct"/>
            <w:tcMar>
              <w:top w:w="28" w:type="dxa"/>
              <w:left w:w="28" w:type="dxa"/>
              <w:bottom w:w="28" w:type="dxa"/>
              <w:right w:w="28" w:type="dxa"/>
            </w:tcMar>
            <w:vAlign w:val="center"/>
          </w:tcPr>
          <w:p>
            <w:pPr>
              <w:pStyle w:val="0"/>
              <w:jc w:val="both"/>
              <w:rPr>
                <w:rFonts w:hint="default"/>
              </w:rPr>
            </w:pPr>
            <w:r>
              <w:rPr>
                <w:rFonts w:hint="eastAsia"/>
              </w:rPr>
              <w:t>ジェネリック差額通知事業</w:t>
            </w:r>
          </w:p>
        </w:tc>
        <w:tc>
          <w:tcPr>
            <w:tcW w:w="2475" w:type="pct"/>
            <w:tcMar>
              <w:top w:w="28" w:type="dxa"/>
              <w:left w:w="28" w:type="dxa"/>
              <w:bottom w:w="28" w:type="dxa"/>
              <w:right w:w="28" w:type="dxa"/>
            </w:tcMar>
            <w:vAlign w:val="center"/>
          </w:tcPr>
          <w:p>
            <w:pPr>
              <w:pStyle w:val="0"/>
              <w:rPr>
                <w:rFonts w:hint="default"/>
              </w:rPr>
            </w:pPr>
            <w:r>
              <w:rPr>
                <w:rFonts w:hint="eastAsia"/>
              </w:rPr>
              <w:t>後発医薬品の利用促進について広く広報等で周知をし、該当者にジェネリック差額通知をし、ジェネリック医薬費への切替率を上げる。</w:t>
            </w:r>
          </w:p>
        </w:tc>
      </w:tr>
    </w:tbl>
    <w:p>
      <w:pPr>
        <w:pStyle w:val="0"/>
        <w:jc w:val="center"/>
        <w:rPr>
          <w:rFonts w:hint="default"/>
          <w:b w:val="1"/>
          <w:sz w:val="18"/>
        </w:rPr>
      </w:pPr>
      <w:r>
        <w:rPr>
          <w:rFonts w:hint="default"/>
          <w:b w:val="1"/>
          <w:sz w:val="18"/>
        </w:rPr>
        <w:t>▼</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9375"/>
      </w:tblGrid>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sz w:val="20"/>
              </w:rPr>
              <w:t>第</w:t>
            </w:r>
            <w:r>
              <w:rPr>
                <w:rFonts w:hint="eastAsia"/>
                <w:b w:val="1"/>
                <w:sz w:val="20"/>
              </w:rPr>
              <w:t>3</w:t>
            </w:r>
            <w:r>
              <w:rPr>
                <w:rFonts w:hint="eastAsia"/>
                <w:b w:val="1"/>
                <w:sz w:val="20"/>
              </w:rPr>
              <w:t>期計画におけるその他</w:t>
            </w:r>
            <w:r>
              <w:rPr>
                <w:rFonts w:hint="default"/>
                <w:b w:val="1"/>
                <w:sz w:val="20"/>
              </w:rPr>
              <w:t>(</w:t>
            </w:r>
            <w:r>
              <w:rPr>
                <w:rFonts w:hint="default"/>
                <w:b w:val="1"/>
                <w:sz w:val="20"/>
              </w:rPr>
              <w:t>医療費適正化</w:t>
            </w:r>
            <w:r>
              <w:rPr>
                <w:rFonts w:hint="default"/>
                <w:b w:val="1"/>
                <w:sz w:val="20"/>
              </w:rPr>
              <w:t>)</w:t>
            </w:r>
            <w:r>
              <w:rPr>
                <w:rFonts w:hint="eastAsia"/>
                <w:b w:val="1"/>
                <w:sz w:val="20"/>
              </w:rPr>
              <w:t>に関連する健康課題</w:t>
            </w:r>
          </w:p>
        </w:tc>
      </w:tr>
      <w:tr>
        <w:trPr>
          <w:trHeight w:val="20" w:hRule="atLeast"/>
        </w:trPr>
        <w:tc>
          <w:tcPr>
            <w:tcW w:w="5000" w:type="pct"/>
            <w:tcMar>
              <w:top w:w="28" w:type="dxa"/>
              <w:left w:w="28" w:type="dxa"/>
              <w:bottom w:w="28" w:type="dxa"/>
              <w:right w:w="28" w:type="dxa"/>
            </w:tcMar>
            <w:vAlign w:val="center"/>
          </w:tcPr>
          <w:p>
            <w:pPr>
              <w:pStyle w:val="0"/>
              <w:widowControl w:val="0"/>
              <w:rPr>
                <w:rFonts w:hint="default"/>
              </w:rPr>
            </w:pPr>
            <w:r>
              <w:rPr>
                <w:rFonts w:hint="default"/>
              </w:rPr>
              <w:t>#6</w:t>
            </w:r>
            <w:r>
              <w:rPr>
                <w:rFonts w:hint="eastAsia"/>
              </w:rPr>
              <w:t>　重複・</w:t>
            </w:r>
            <w:r>
              <w:rPr>
                <w:rFonts w:hint="default"/>
              </w:rPr>
              <w:t>多剤服薬者に対して服薬の適正化が必要</w:t>
            </w:r>
          </w:p>
          <w:p>
            <w:pPr>
              <w:pStyle w:val="59"/>
              <w:rPr>
                <w:rFonts w:hint="default"/>
              </w:rPr>
            </w:pPr>
            <w:r>
              <w:rPr>
                <w:rFonts w:hint="eastAsia"/>
                <w:sz w:val="16"/>
              </w:rPr>
              <w:t>#7</w:t>
            </w:r>
            <w:r>
              <w:rPr>
                <w:rFonts w:hint="eastAsia"/>
                <w:sz w:val="16"/>
              </w:rPr>
              <w:t>　後発医薬品の利用促進を周知徹底していく必要</w:t>
            </w:r>
          </w:p>
        </w:tc>
      </w:tr>
      <w:tr>
        <w:trPr>
          <w:trHeight w:val="20" w:hRule="atLeast"/>
        </w:trPr>
        <w:tc>
          <w:tcPr>
            <w:tcW w:w="5000" w:type="pct"/>
            <w:shd w:val="clear" w:color="auto" w:fill="CCD6FF"/>
            <w:tcMar>
              <w:top w:w="28" w:type="dxa"/>
              <w:left w:w="28" w:type="dxa"/>
              <w:bottom w:w="28" w:type="dxa"/>
              <w:right w:w="28" w:type="dxa"/>
            </w:tcMar>
            <w:vAlign w:val="center"/>
          </w:tcPr>
          <w:p>
            <w:pPr>
              <w:pStyle w:val="0"/>
              <w:jc w:val="center"/>
              <w:rPr>
                <w:rFonts w:hint="default"/>
              </w:rPr>
            </w:pPr>
            <w:r>
              <w:rPr>
                <w:rFonts w:hint="eastAsia"/>
                <w:b w:val="1"/>
                <w:sz w:val="20"/>
              </w:rPr>
              <w:t>第</w:t>
            </w:r>
            <w:r>
              <w:rPr>
                <w:rFonts w:hint="eastAsia"/>
                <w:b w:val="1"/>
                <w:sz w:val="20"/>
              </w:rPr>
              <w:t>3</w:t>
            </w:r>
            <w:r>
              <w:rPr>
                <w:rFonts w:hint="eastAsia"/>
                <w:b w:val="1"/>
                <w:sz w:val="20"/>
              </w:rPr>
              <w:t>期計画におけるその他</w:t>
            </w:r>
            <w:r>
              <w:rPr>
                <w:rFonts w:hint="default"/>
                <w:b w:val="1"/>
                <w:sz w:val="20"/>
              </w:rPr>
              <w:t>(</w:t>
            </w:r>
            <w:r>
              <w:rPr>
                <w:rFonts w:hint="default"/>
                <w:b w:val="1"/>
                <w:sz w:val="20"/>
              </w:rPr>
              <w:t>医療費適正化</w:t>
            </w:r>
            <w:r>
              <w:rPr>
                <w:rFonts w:hint="default"/>
                <w:b w:val="1"/>
                <w:sz w:val="20"/>
              </w:rPr>
              <w:t>)</w:t>
            </w:r>
            <w:r>
              <w:rPr>
                <w:rFonts w:hint="eastAsia"/>
                <w:b w:val="1"/>
                <w:sz w:val="20"/>
              </w:rPr>
              <w:t>に関連するデータヘルス計画の目標</w:t>
            </w:r>
          </w:p>
        </w:tc>
      </w:tr>
      <w:tr>
        <w:trPr>
          <w:trHeight w:val="20" w:hRule="atLeast"/>
        </w:trPr>
        <w:tc>
          <w:tcPr>
            <w:tcW w:w="5000" w:type="pct"/>
            <w:tcMar>
              <w:top w:w="28" w:type="dxa"/>
              <w:left w:w="28" w:type="dxa"/>
              <w:bottom w:w="28" w:type="dxa"/>
              <w:right w:w="28" w:type="dxa"/>
            </w:tcMar>
            <w:vAlign w:val="center"/>
          </w:tcPr>
          <w:p>
            <w:pPr>
              <w:pStyle w:val="59"/>
              <w:rPr>
                <w:rFonts w:hint="default"/>
                <w:sz w:val="16"/>
              </w:rPr>
            </w:pPr>
            <w:r>
              <w:rPr>
                <w:rFonts w:hint="eastAsia"/>
                <w:sz w:val="16"/>
              </w:rPr>
              <w:t>重複服薬者の人数の減少</w:t>
            </w:r>
          </w:p>
          <w:p>
            <w:pPr>
              <w:pStyle w:val="59"/>
              <w:rPr>
                <w:rFonts w:hint="default"/>
                <w:sz w:val="16"/>
              </w:rPr>
            </w:pPr>
            <w:r>
              <w:rPr>
                <w:rFonts w:hint="default"/>
                <w:sz w:val="16"/>
              </w:rPr>
              <w:t>多剤服薬者の人数</w:t>
            </w:r>
            <w:r>
              <w:rPr>
                <w:rFonts w:hint="eastAsia"/>
                <w:sz w:val="16"/>
              </w:rPr>
              <w:t>の減少</w:t>
            </w:r>
          </w:p>
          <w:p>
            <w:pPr>
              <w:pStyle w:val="59"/>
              <w:rPr>
                <w:rFonts w:hint="default"/>
              </w:rPr>
            </w:pPr>
            <w:r>
              <w:rPr>
                <w:rFonts w:hint="eastAsia"/>
                <w:sz w:val="16"/>
              </w:rPr>
              <w:t>後発医薬品への切替率の上昇</w:t>
            </w:r>
          </w:p>
        </w:tc>
      </w:tr>
    </w:tbl>
    <w:p>
      <w:pPr>
        <w:pStyle w:val="0"/>
        <w:jc w:val="center"/>
        <w:rPr>
          <w:rFonts w:hint="default"/>
          <w:b w:val="1"/>
          <w:sz w:val="18"/>
        </w:rPr>
      </w:pPr>
      <w:r>
        <w:rPr>
          <w:rFonts w:hint="default"/>
          <w:b w:val="1"/>
          <w:sz w:val="18"/>
        </w:rPr>
        <w:t>▼</w:t>
      </w:r>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98"/>
        <w:gridCol w:w="1108"/>
        <w:gridCol w:w="2109"/>
        <w:gridCol w:w="4560"/>
      </w:tblGrid>
      <w:tr>
        <w:trPr>
          <w:trHeight w:val="20" w:hRule="atLeast"/>
        </w:trPr>
        <w:tc>
          <w:tcPr>
            <w:tcW w:w="5000" w:type="pct"/>
            <w:gridSpan w:val="4"/>
            <w:shd w:val="clear" w:color="auto" w:fill="CCD6FF"/>
            <w:tcMar>
              <w:top w:w="28" w:type="dxa"/>
              <w:left w:w="28" w:type="dxa"/>
              <w:bottom w:w="28" w:type="dxa"/>
              <w:right w:w="28" w:type="dxa"/>
            </w:tcMar>
            <w:vAlign w:val="center"/>
          </w:tcPr>
          <w:p>
            <w:pPr>
              <w:pStyle w:val="0"/>
              <w:jc w:val="center"/>
              <w:rPr>
                <w:rFonts w:hint="default"/>
              </w:rPr>
            </w:pPr>
            <w:r>
              <w:rPr>
                <w:rFonts w:hint="eastAsia"/>
                <w:b w:val="1"/>
                <w:sz w:val="20"/>
              </w:rPr>
              <w:t>第</w:t>
            </w:r>
            <w:r>
              <w:rPr>
                <w:rFonts w:hint="eastAsia"/>
                <w:b w:val="1"/>
                <w:sz w:val="20"/>
              </w:rPr>
              <w:t>3</w:t>
            </w:r>
            <w:r>
              <w:rPr>
                <w:rFonts w:hint="eastAsia"/>
                <w:b w:val="1"/>
                <w:sz w:val="20"/>
              </w:rPr>
              <w:t>期計画におけるその他</w:t>
            </w:r>
            <w:r>
              <w:rPr>
                <w:rFonts w:hint="default"/>
                <w:b w:val="1"/>
                <w:sz w:val="20"/>
              </w:rPr>
              <w:t>(</w:t>
            </w:r>
            <w:r>
              <w:rPr>
                <w:rFonts w:hint="default"/>
                <w:b w:val="1"/>
                <w:sz w:val="20"/>
              </w:rPr>
              <w:t>医療費適正化</w:t>
            </w:r>
            <w:r>
              <w:rPr>
                <w:rFonts w:hint="default"/>
                <w:b w:val="1"/>
                <w:sz w:val="20"/>
              </w:rPr>
              <w:t>)</w:t>
            </w:r>
            <w:r>
              <w:rPr>
                <w:rFonts w:hint="eastAsia"/>
                <w:b w:val="1"/>
                <w:sz w:val="20"/>
              </w:rPr>
              <w:t>に関連する保健事業</w:t>
            </w:r>
          </w:p>
        </w:tc>
      </w:tr>
      <w:tr>
        <w:trPr>
          <w:trHeight w:val="20" w:hRule="atLeast"/>
        </w:trPr>
        <w:tc>
          <w:tcPr>
            <w:tcW w:w="5000" w:type="pct"/>
            <w:gridSpan w:val="4"/>
            <w:shd w:val="clear" w:color="auto" w:fill="EFEFEF"/>
            <w:tcMar>
              <w:top w:w="28" w:type="dxa"/>
              <w:left w:w="28" w:type="dxa"/>
              <w:bottom w:w="28" w:type="dxa"/>
              <w:right w:w="28" w:type="dxa"/>
            </w:tcMar>
            <w:vAlign w:val="center"/>
          </w:tcPr>
          <w:p>
            <w:pPr>
              <w:pStyle w:val="0"/>
              <w:rPr>
                <w:rFonts w:hint="default"/>
              </w:rPr>
            </w:pPr>
            <w:r>
              <w:rPr>
                <w:rFonts w:hint="eastAsia"/>
                <w:b w:val="1"/>
              </w:rPr>
              <w:t>保健事業の方向性</w:t>
            </w:r>
          </w:p>
        </w:tc>
      </w:tr>
      <w:tr>
        <w:tblPrEx>
          <w:jc w:val="left"/>
        </w:tblPrEx>
        <w:trPr>
          <w:trHeight w:val="20" w:hRule="atLeast"/>
        </w:trPr>
        <w:tc>
          <w:tcPr>
            <w:tcW w:w="5000" w:type="pct"/>
            <w:gridSpan w:val="4"/>
            <w:tcMar>
              <w:top w:w="28" w:type="dxa"/>
              <w:left w:w="28" w:type="dxa"/>
              <w:bottom w:w="28" w:type="dxa"/>
              <w:right w:w="28" w:type="dxa"/>
            </w:tcMar>
            <w:vAlign w:val="center"/>
          </w:tcPr>
          <w:p>
            <w:pPr>
              <w:pStyle w:val="0"/>
              <w:rPr>
                <w:rFonts w:hint="default"/>
              </w:rPr>
            </w:pPr>
            <w:r>
              <w:rPr>
                <w:rFonts w:hint="eastAsia"/>
              </w:rPr>
              <w:t>第</w:t>
            </w:r>
            <w:r>
              <w:rPr>
                <w:rFonts w:hint="eastAsia"/>
              </w:rPr>
              <w:t>2</w:t>
            </w:r>
            <w:r>
              <w:rPr>
                <w:rFonts w:hint="eastAsia"/>
              </w:rPr>
              <w:t>期では、重複・</w:t>
            </w:r>
            <w:r>
              <w:rPr>
                <w:rFonts w:hint="default"/>
              </w:rPr>
              <w:t>多剤服薬者に対して服薬の適正化</w:t>
            </w:r>
            <w:r>
              <w:rPr>
                <w:rFonts w:hint="eastAsia"/>
              </w:rPr>
              <w:t>で必要性の高いものには、対面での保健指導を実施できているが、人員不足により対象者全員へのアプローチが不十分であるため、第</w:t>
            </w:r>
            <w:r>
              <w:rPr>
                <w:rFonts w:hint="eastAsia"/>
              </w:rPr>
              <w:t>3</w:t>
            </w:r>
            <w:r>
              <w:rPr>
                <w:rFonts w:hint="eastAsia"/>
              </w:rPr>
              <w:t>期においては、本事業を外部委託し、対象者抽出にもとづき、通知や対面により保健指導を行う。</w:t>
            </w:r>
          </w:p>
          <w:p>
            <w:pPr>
              <w:pStyle w:val="0"/>
              <w:snapToGrid w:val="0"/>
              <w:rPr>
                <w:rFonts w:hint="eastAsia"/>
              </w:rPr>
            </w:pPr>
            <w:r>
              <w:rPr>
                <w:rFonts w:hint="eastAsia"/>
              </w:rPr>
              <w:t>ジェネリック差額通知事業では、ジェネリック医薬品希望のシールの配布のほか、レフィル処方のパンフレットの配布などを行い、医療費の抑制に努める。</w:t>
            </w:r>
          </w:p>
        </w:tc>
      </w:tr>
      <w:tr>
        <w:trPr>
          <w:trHeight w:val="20" w:hRule="atLeast"/>
        </w:trPr>
        <w:tc>
          <w:tcPr>
            <w:tcW w:w="85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健康課題</w:t>
            </w:r>
          </w:p>
        </w:tc>
        <w:tc>
          <w:tcPr>
            <w:tcW w:w="591"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継続</w:t>
            </w:r>
            <w:r>
              <w:rPr>
                <w:rFonts w:hint="eastAsia"/>
                <w:b w:val="1"/>
              </w:rPr>
              <w:t>/</w:t>
            </w:r>
            <w:r>
              <w:rPr>
                <w:rFonts w:hint="eastAsia"/>
                <w:b w:val="1"/>
              </w:rPr>
              <w:t>新規</w:t>
            </w:r>
          </w:p>
        </w:tc>
        <w:tc>
          <w:tcPr>
            <w:tcW w:w="1125"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個別事業名</w:t>
            </w:r>
          </w:p>
        </w:tc>
        <w:tc>
          <w:tcPr>
            <w:tcW w:w="2432" w:type="pct"/>
            <w:shd w:val="clear" w:color="auto" w:fill="EFEFEF"/>
            <w:tcMar>
              <w:top w:w="28" w:type="dxa"/>
              <w:left w:w="28" w:type="dxa"/>
              <w:bottom w:w="28" w:type="dxa"/>
              <w:right w:w="28" w:type="dxa"/>
            </w:tcMar>
            <w:vAlign w:val="center"/>
          </w:tcPr>
          <w:p>
            <w:pPr>
              <w:pStyle w:val="0"/>
              <w:jc w:val="center"/>
              <w:rPr>
                <w:rFonts w:hint="default"/>
              </w:rPr>
            </w:pPr>
            <w:r>
              <w:rPr>
                <w:rFonts w:hint="eastAsia"/>
                <w:b w:val="1"/>
              </w:rPr>
              <w:t>事業の概要</w:t>
            </w:r>
          </w:p>
        </w:tc>
      </w:tr>
      <w:tr>
        <w:trPr>
          <w:trHeight w:val="20" w:hRule="atLeast"/>
        </w:trPr>
        <w:tc>
          <w:tcPr>
            <w:tcW w:w="852" w:type="pct"/>
            <w:tcMar>
              <w:top w:w="28" w:type="dxa"/>
              <w:left w:w="28" w:type="dxa"/>
              <w:bottom w:w="28" w:type="dxa"/>
              <w:right w:w="28" w:type="dxa"/>
            </w:tcMar>
            <w:vAlign w:val="center"/>
          </w:tcPr>
          <w:p>
            <w:pPr>
              <w:pStyle w:val="0"/>
              <w:widowControl w:val="0"/>
              <w:jc w:val="center"/>
              <w:rPr>
                <w:rFonts w:hint="default"/>
              </w:rPr>
            </w:pPr>
            <w:r>
              <w:rPr>
                <w:rFonts w:hint="default"/>
              </w:rPr>
              <w:t>#6</w:t>
            </w:r>
          </w:p>
        </w:tc>
        <w:tc>
          <w:tcPr>
            <w:tcW w:w="591" w:type="pct"/>
            <w:tcMar>
              <w:top w:w="28" w:type="dxa"/>
              <w:left w:w="28" w:type="dxa"/>
              <w:bottom w:w="28" w:type="dxa"/>
              <w:right w:w="28" w:type="dxa"/>
            </w:tcMar>
            <w:vAlign w:val="center"/>
          </w:tcPr>
          <w:p>
            <w:pPr>
              <w:pStyle w:val="0"/>
              <w:jc w:val="center"/>
              <w:rPr>
                <w:rFonts w:hint="default"/>
              </w:rPr>
            </w:pPr>
            <w:r>
              <w:rPr>
                <w:rFonts w:hint="eastAsia"/>
              </w:rPr>
              <w:t>継続</w:t>
            </w:r>
          </w:p>
        </w:tc>
        <w:tc>
          <w:tcPr>
            <w:tcW w:w="1125" w:type="pct"/>
            <w:tcMar>
              <w:top w:w="28" w:type="dxa"/>
              <w:left w:w="28" w:type="dxa"/>
              <w:bottom w:w="28" w:type="dxa"/>
              <w:right w:w="28" w:type="dxa"/>
            </w:tcMar>
            <w:vAlign w:val="center"/>
          </w:tcPr>
          <w:p>
            <w:pPr>
              <w:pStyle w:val="0"/>
              <w:rPr>
                <w:rFonts w:hint="default"/>
              </w:rPr>
            </w:pPr>
            <w:r>
              <w:rPr>
                <w:rFonts w:hint="eastAsia"/>
              </w:rPr>
              <w:t>重複頻回･多剤服薬者等保健指導事業</w:t>
            </w:r>
          </w:p>
        </w:tc>
        <w:tc>
          <w:tcPr>
            <w:tcW w:w="2432" w:type="pct"/>
            <w:tcMar>
              <w:top w:w="28" w:type="dxa"/>
              <w:left w:w="28" w:type="dxa"/>
              <w:bottom w:w="28" w:type="dxa"/>
              <w:right w:w="28" w:type="dxa"/>
            </w:tcMar>
            <w:vAlign w:val="center"/>
          </w:tcPr>
          <w:p>
            <w:pPr>
              <w:pStyle w:val="0"/>
              <w:rPr>
                <w:rFonts w:hint="default"/>
              </w:rPr>
            </w:pPr>
            <w:r>
              <w:rPr>
                <w:rFonts w:hint="eastAsia"/>
              </w:rPr>
              <w:t>重複頻回･多剤服薬者等の抽出を行い、該当者には適切な受療を促し、適宜、治療や服薬に関する相談や保健指導を行う。</w:t>
            </w:r>
          </w:p>
        </w:tc>
      </w:tr>
      <w:tr>
        <w:trPr>
          <w:trHeight w:val="20" w:hRule="atLeast"/>
        </w:trPr>
        <w:tc>
          <w:tcPr>
            <w:tcW w:w="852" w:type="pct"/>
            <w:tcMar>
              <w:top w:w="28" w:type="dxa"/>
              <w:left w:w="28" w:type="dxa"/>
              <w:bottom w:w="28" w:type="dxa"/>
              <w:right w:w="28" w:type="dxa"/>
            </w:tcMar>
            <w:vAlign w:val="center"/>
          </w:tcPr>
          <w:p>
            <w:pPr>
              <w:pStyle w:val="59"/>
              <w:jc w:val="center"/>
              <w:rPr>
                <w:rFonts w:hint="default"/>
              </w:rPr>
            </w:pPr>
            <w:r>
              <w:rPr>
                <w:rFonts w:hint="eastAsia"/>
                <w:sz w:val="16"/>
              </w:rPr>
              <w:t>#7</w:t>
            </w:r>
          </w:p>
        </w:tc>
        <w:tc>
          <w:tcPr>
            <w:tcW w:w="591" w:type="pct"/>
            <w:tcMar>
              <w:top w:w="28" w:type="dxa"/>
              <w:left w:w="28" w:type="dxa"/>
              <w:bottom w:w="28" w:type="dxa"/>
              <w:right w:w="28" w:type="dxa"/>
            </w:tcMar>
            <w:vAlign w:val="center"/>
          </w:tcPr>
          <w:p>
            <w:pPr>
              <w:pStyle w:val="0"/>
              <w:jc w:val="center"/>
              <w:rPr>
                <w:rFonts w:hint="default"/>
              </w:rPr>
            </w:pPr>
            <w:r>
              <w:rPr>
                <w:rFonts w:hint="eastAsia"/>
              </w:rPr>
              <w:t>継続</w:t>
            </w:r>
          </w:p>
        </w:tc>
        <w:tc>
          <w:tcPr>
            <w:tcW w:w="1125" w:type="pct"/>
            <w:tcMar>
              <w:top w:w="28" w:type="dxa"/>
              <w:left w:w="28" w:type="dxa"/>
              <w:bottom w:w="28" w:type="dxa"/>
              <w:right w:w="28" w:type="dxa"/>
            </w:tcMar>
            <w:vAlign w:val="center"/>
          </w:tcPr>
          <w:p>
            <w:pPr>
              <w:pStyle w:val="0"/>
              <w:rPr>
                <w:rFonts w:hint="default"/>
              </w:rPr>
            </w:pPr>
            <w:r>
              <w:rPr>
                <w:rFonts w:hint="eastAsia"/>
              </w:rPr>
              <w:t>ジェネリック差額通知事業</w:t>
            </w:r>
          </w:p>
        </w:tc>
        <w:tc>
          <w:tcPr>
            <w:tcW w:w="2432" w:type="pct"/>
            <w:tcMar>
              <w:top w:w="28" w:type="dxa"/>
              <w:left w:w="28" w:type="dxa"/>
              <w:bottom w:w="28" w:type="dxa"/>
              <w:right w:w="28" w:type="dxa"/>
            </w:tcMar>
            <w:vAlign w:val="center"/>
          </w:tcPr>
          <w:p>
            <w:pPr>
              <w:pStyle w:val="0"/>
              <w:rPr>
                <w:rFonts w:hint="default"/>
              </w:rPr>
            </w:pPr>
            <w:r>
              <w:rPr>
                <w:rFonts w:hint="eastAsia"/>
              </w:rPr>
              <w:t>後発医薬品の利用促進について広く広報等で周知をし、該当者にジェネリック差額通知をし、ジェネリック医薬費への切替率を上げる。</w:t>
            </w:r>
          </w:p>
        </w:tc>
      </w:tr>
    </w:tbl>
    <w:p>
      <w:pPr>
        <w:pStyle w:val="0"/>
        <w:rPr>
          <w:rFonts w:hint="default"/>
        </w:rPr>
      </w:pPr>
      <w:r>
        <w:rPr>
          <w:rFonts w:hint="default"/>
        </w:rPr>
        <w:br w:type="page"/>
      </w:r>
    </w:p>
    <w:p>
      <w:pPr>
        <w:pStyle w:val="4"/>
        <w:rPr>
          <w:rFonts w:hint="default"/>
        </w:rPr>
      </w:pPr>
      <w:r>
        <w:rPr>
          <w:rFonts w:hint="eastAsia"/>
        </w:rPr>
        <w:t>重複頻回･多剤服薬者等保健指導事業</w:t>
      </w:r>
    </w:p>
    <w:tbl>
      <w:tblPr>
        <w:tblStyle w:val="11"/>
        <w:tblW w:w="50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58"/>
        <w:gridCol w:w="7976"/>
      </w:tblGrid>
      <w:tr>
        <w:trPr>
          <w:trHeight w:val="342"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76"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重複頻回･多剤投与者に適性受診を促し、医療費の適正化を図る。</w:t>
            </w:r>
          </w:p>
        </w:tc>
      </w:tr>
      <w:tr>
        <w:trPr>
          <w:trHeight w:val="542"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重複頻回･多剤服薬者等の抽出を行い、該当者には適切な受療を促し、適宜、治療や服薬に関する相談や保健指導を行う。</w:t>
            </w:r>
          </w:p>
        </w:tc>
      </w:tr>
      <w:tr>
        <w:trPr>
          <w:trHeight w:val="276"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rPr>
              <w:t>重複頻回・多剤投与者</w:t>
            </w:r>
          </w:p>
        </w:tc>
      </w:tr>
      <w:tr>
        <w:trPr>
          <w:trHeight w:val="342"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543"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7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事業実施者の選定</w:t>
            </w:r>
          </w:p>
          <w:p>
            <w:pPr>
              <w:pStyle w:val="0"/>
              <w:rPr>
                <w:rFonts w:hint="default"/>
              </w:rPr>
            </w:pPr>
            <w:r>
              <w:rPr>
                <w:rFonts w:hint="eastAsia"/>
              </w:rPr>
              <w:t>参加勧奨資材の工夫</w:t>
            </w:r>
            <w:r>
              <w:rPr>
                <w:rFonts w:hint="default"/>
              </w:rPr>
              <w:t>(</w:t>
            </w:r>
            <w:r>
              <w:rPr>
                <w:rFonts w:hint="default"/>
              </w:rPr>
              <w:t>見直し</w:t>
            </w:r>
            <w:r>
              <w:rPr>
                <w:rFonts w:hint="default"/>
              </w:rPr>
              <w:t>)</w:t>
            </w:r>
          </w:p>
          <w:p>
            <w:pPr>
              <w:pStyle w:val="0"/>
              <w:rPr>
                <w:rFonts w:hint="default"/>
              </w:rPr>
            </w:pPr>
            <w:r>
              <w:rPr>
                <w:rFonts w:hint="eastAsia"/>
              </w:rPr>
              <w:t>参加者アンケートの実施</w:t>
            </w:r>
          </w:p>
        </w:tc>
      </w:tr>
      <w:tr>
        <w:trPr>
          <w:trHeight w:val="17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対象者への通知率：</w:t>
            </w:r>
            <w:r>
              <w:rPr>
                <w:rFonts w:hint="eastAsia"/>
              </w:rPr>
              <w:t>100%</w:t>
            </w:r>
          </w:p>
        </w:tc>
      </w:tr>
      <w:tr>
        <w:trPr>
          <w:trHeight w:val="1318"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重複服薬者の該当者数（重複薬効数が</w:t>
            </w:r>
            <w:r>
              <w:rPr>
                <w:rFonts w:hint="eastAsia"/>
              </w:rPr>
              <w:t>1</w:t>
            </w:r>
            <w:r>
              <w:rPr>
                <w:rFonts w:hint="eastAsia"/>
              </w:rPr>
              <w:t>以上で</w:t>
            </w:r>
            <w:r>
              <w:rPr>
                <w:rFonts w:hint="eastAsia"/>
              </w:rPr>
              <w:t>3</w:t>
            </w:r>
            <w:r>
              <w:rPr>
                <w:rFonts w:hint="eastAsia"/>
              </w:rPr>
              <w:t>医療機関以上）：</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15</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14</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13</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12</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11</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10</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9</w:t>
                  </w:r>
                  <w:r>
                    <w:rPr>
                      <w:rFonts w:hint="eastAsia"/>
                    </w:rPr>
                    <w:t>人</w:t>
                  </w:r>
                </w:p>
              </w:tc>
            </w:tr>
          </w:tbl>
          <w:p>
            <w:pPr>
              <w:pStyle w:val="0"/>
              <w:rPr>
                <w:rFonts w:hint="default"/>
              </w:rPr>
            </w:pPr>
            <w:r>
              <w:rPr>
                <w:rFonts w:hint="eastAsia"/>
              </w:rPr>
              <w:t>多剤服薬者の該当者数（同一薬効に関する処方日数が</w:t>
            </w:r>
            <w:r>
              <w:rPr>
                <w:rFonts w:hint="eastAsia"/>
              </w:rPr>
              <w:t>1</w:t>
            </w:r>
            <w:r>
              <w:rPr>
                <w:rFonts w:hint="eastAsia"/>
              </w:rPr>
              <w:t>日以上かつ処方薬効数が</w:t>
            </w:r>
            <w:r>
              <w:rPr>
                <w:rFonts w:hint="eastAsia"/>
              </w:rPr>
              <w:t>15</w:t>
            </w:r>
            <w:r>
              <w:rPr>
                <w:rFonts w:hint="eastAsia"/>
              </w:rPr>
              <w:t>以上）：</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39</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38</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37</w:t>
                  </w:r>
                  <w:r>
                    <w:rPr>
                      <w:rFonts w:hint="eastAsia"/>
                    </w:rPr>
                    <w:t>人</w:t>
                  </w:r>
                </w:p>
              </w:tc>
              <w:tc>
                <w:tcPr>
                  <w:tcW w:w="1108" w:type="dxa"/>
                  <w:tcMar>
                    <w:top w:w="28" w:type="dxa"/>
                    <w:left w:w="28" w:type="dxa"/>
                    <w:bottom w:w="28" w:type="dxa"/>
                    <w:right w:w="28" w:type="dxa"/>
                  </w:tcMar>
                  <w:vAlign w:val="top"/>
                </w:tcPr>
                <w:p>
                  <w:pPr>
                    <w:pStyle w:val="0"/>
                    <w:jc w:val="center"/>
                    <w:rPr>
                      <w:rFonts w:hint="default"/>
                    </w:rPr>
                  </w:pPr>
                  <w:r>
                    <w:rPr>
                      <w:rFonts w:hint="eastAsia"/>
                    </w:rPr>
                    <w:t>36</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35</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34</w:t>
                  </w:r>
                  <w:r>
                    <w:rPr>
                      <w:rFonts w:hint="eastAsia"/>
                    </w:rPr>
                    <w:t>人</w:t>
                  </w:r>
                </w:p>
              </w:tc>
              <w:tc>
                <w:tcPr>
                  <w:tcW w:w="1109" w:type="dxa"/>
                  <w:tcMar>
                    <w:top w:w="28" w:type="dxa"/>
                    <w:left w:w="28" w:type="dxa"/>
                    <w:bottom w:w="28" w:type="dxa"/>
                    <w:right w:w="28" w:type="dxa"/>
                  </w:tcMar>
                  <w:vAlign w:val="top"/>
                </w:tcPr>
                <w:p>
                  <w:pPr>
                    <w:pStyle w:val="0"/>
                    <w:jc w:val="center"/>
                    <w:rPr>
                      <w:rFonts w:hint="default"/>
                    </w:rPr>
                  </w:pPr>
                  <w:r>
                    <w:rPr>
                      <w:rFonts w:hint="eastAsia"/>
                    </w:rPr>
                    <w:t>33</w:t>
                  </w:r>
                  <w:r>
                    <w:rPr>
                      <w:rFonts w:hint="eastAsia"/>
                    </w:rPr>
                    <w:t>人</w:t>
                  </w:r>
                </w:p>
              </w:tc>
            </w:tr>
          </w:tbl>
          <w:p>
            <w:pPr>
              <w:pStyle w:val="0"/>
              <w:rPr>
                <w:rFonts w:hint="default"/>
              </w:rPr>
            </w:pPr>
          </w:p>
        </w:tc>
      </w:tr>
      <w:tr>
        <w:trPr>
          <w:trHeight w:val="276"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sz w:val="18"/>
        </w:rPr>
      </w:pPr>
    </w:p>
    <w:p>
      <w:pPr>
        <w:pStyle w:val="4"/>
        <w:rPr>
          <w:rFonts w:hint="default"/>
        </w:rPr>
      </w:pPr>
      <w:r>
        <w:rPr>
          <w:rFonts w:hint="eastAsia"/>
        </w:rPr>
        <w:t>ジェネリック差額通知事業</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Look w:firstRow="1" w:lastRow="0" w:firstColumn="1" w:lastColumn="0" w:noHBand="0" w:noVBand="1" w:val="04A0"/>
      </w:tblPr>
      <w:tblGrid>
        <w:gridCol w:w="1532"/>
        <w:gridCol w:w="7843"/>
      </w:tblGrid>
      <w:tr>
        <w:trPr>
          <w:trHeight w:val="24"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実施計画</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事業の目的</w:t>
            </w:r>
          </w:p>
        </w:tc>
        <w:tc>
          <w:tcPr>
            <w:tcW w:w="4183" w:type="pct"/>
            <w:tcMar>
              <w:top w:w="28" w:type="dxa"/>
              <w:left w:w="28" w:type="dxa"/>
              <w:bottom w:w="28" w:type="dxa"/>
              <w:right w:w="28" w:type="dxa"/>
            </w:tcMar>
            <w:vAlign w:val="center"/>
          </w:tcPr>
          <w:p>
            <w:pPr>
              <w:pStyle w:val="0"/>
              <w:rPr>
                <w:rFonts w:hint="default"/>
              </w:rPr>
            </w:pPr>
            <w:r>
              <w:rPr>
                <w:rFonts w:hint="eastAsia"/>
              </w:rPr>
              <w:t>ジェネリック医薬品への切替率を上げ、医療費の抑制を図る。</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事業の内容</w:t>
            </w:r>
          </w:p>
        </w:tc>
        <w:tc>
          <w:tcPr>
            <w:tcW w:w="4183" w:type="pct"/>
            <w:tcMar>
              <w:top w:w="28" w:type="dxa"/>
              <w:left w:w="28" w:type="dxa"/>
              <w:bottom w:w="28" w:type="dxa"/>
              <w:right w:w="28" w:type="dxa"/>
            </w:tcMar>
            <w:vAlign w:val="center"/>
          </w:tcPr>
          <w:p>
            <w:pPr>
              <w:pStyle w:val="0"/>
              <w:rPr>
                <w:rFonts w:hint="default"/>
              </w:rPr>
            </w:pPr>
            <w:r>
              <w:rPr>
                <w:rFonts w:hint="eastAsia"/>
              </w:rPr>
              <w:t>後発医薬品の利用促進について広く広報等で周知をし、該当者にジェネリック差額通知をし、ジェネリック医薬費への切替率を上げる。</w:t>
            </w:r>
          </w:p>
        </w:tc>
      </w:tr>
      <w:tr>
        <w:trPr>
          <w:trHeight w:val="35"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対象者</w:t>
            </w:r>
          </w:p>
        </w:tc>
        <w:tc>
          <w:tcPr>
            <w:tcW w:w="4183" w:type="pct"/>
            <w:tcMar>
              <w:top w:w="28" w:type="dxa"/>
              <w:left w:w="28" w:type="dxa"/>
              <w:bottom w:w="28" w:type="dxa"/>
              <w:right w:w="28" w:type="dxa"/>
            </w:tcMar>
            <w:vAlign w:val="center"/>
          </w:tcPr>
          <w:p>
            <w:pPr>
              <w:pStyle w:val="0"/>
              <w:rPr>
                <w:rFonts w:hint="default"/>
              </w:rPr>
            </w:pPr>
            <w:r>
              <w:rPr>
                <w:rFonts w:hint="eastAsia"/>
              </w:rPr>
              <w:t>ジェネリック差額通知対象者</w:t>
            </w:r>
          </w:p>
        </w:tc>
      </w:tr>
      <w:tr>
        <w:trPr>
          <w:trHeight w:val="20" w:hRule="atLeast"/>
        </w:trPr>
        <w:tc>
          <w:tcPr>
            <w:tcW w:w="500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sz w:val="20"/>
              </w:rPr>
              <w:t>評価指標・目標値</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ストラクチャー</w:t>
            </w:r>
          </w:p>
        </w:tc>
        <w:tc>
          <w:tcPr>
            <w:tcW w:w="4183" w:type="pct"/>
            <w:tcMar>
              <w:top w:w="28" w:type="dxa"/>
              <w:left w:w="28" w:type="dxa"/>
              <w:bottom w:w="28" w:type="dxa"/>
              <w:right w:w="28" w:type="dxa"/>
            </w:tcMar>
            <w:vAlign w:val="center"/>
          </w:tcPr>
          <w:p>
            <w:pPr>
              <w:pStyle w:val="0"/>
              <w:rPr>
                <w:rFonts w:hint="default"/>
              </w:rPr>
            </w:pPr>
            <w:r>
              <w:rPr>
                <w:rFonts w:hint="eastAsia"/>
              </w:rPr>
              <w:t>事業の予算化･交付金申請事務</w:t>
            </w:r>
          </w:p>
          <w:p>
            <w:pPr>
              <w:pStyle w:val="0"/>
              <w:rPr>
                <w:rFonts w:hint="default"/>
              </w:rPr>
            </w:pPr>
            <w:r>
              <w:rPr>
                <w:rFonts w:hint="eastAsia"/>
              </w:rPr>
              <w:t>実施要領の策定</w:t>
            </w:r>
          </w:p>
          <w:p>
            <w:pPr>
              <w:pStyle w:val="0"/>
              <w:rPr>
                <w:rFonts w:hint="default"/>
              </w:rPr>
            </w:pPr>
            <w:r>
              <w:rPr>
                <w:rFonts w:hint="eastAsia"/>
              </w:rPr>
              <w:t>事業運営のための担当職員の配置</w:t>
            </w:r>
          </w:p>
          <w:p>
            <w:pPr>
              <w:pStyle w:val="0"/>
              <w:rPr>
                <w:rFonts w:hint="default"/>
              </w:rPr>
            </w:pPr>
            <w:r>
              <w:rPr>
                <w:rFonts w:hint="eastAsia"/>
              </w:rPr>
              <w:t>関係機関への事業周知･説明の実施</w:t>
            </w:r>
          </w:p>
          <w:p>
            <w:pPr>
              <w:pStyle w:val="0"/>
              <w:rPr>
                <w:rFonts w:hint="default"/>
              </w:rPr>
            </w:pPr>
            <w:r>
              <w:rPr>
                <w:rFonts w:hint="eastAsia"/>
              </w:rPr>
              <w:t>業務内容や実施方法の検討会の開催</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プロセス</w:t>
            </w:r>
          </w:p>
        </w:tc>
        <w:tc>
          <w:tcPr>
            <w:tcW w:w="4183" w:type="pct"/>
            <w:tcMar>
              <w:top w:w="28" w:type="dxa"/>
              <w:left w:w="28" w:type="dxa"/>
              <w:bottom w:w="28" w:type="dxa"/>
              <w:right w:w="28" w:type="dxa"/>
            </w:tcMar>
            <w:vAlign w:val="center"/>
          </w:tcPr>
          <w:p>
            <w:pPr>
              <w:pStyle w:val="0"/>
              <w:rPr>
                <w:rFonts w:hint="default"/>
              </w:rPr>
            </w:pPr>
            <w:r>
              <w:rPr>
                <w:rFonts w:hint="eastAsia"/>
              </w:rPr>
              <w:t>事業実施者の選定</w:t>
            </w:r>
          </w:p>
          <w:p>
            <w:pPr>
              <w:pStyle w:val="0"/>
              <w:rPr>
                <w:rFonts w:hint="default"/>
              </w:rPr>
            </w:pPr>
            <w:r>
              <w:rPr>
                <w:rFonts w:hint="eastAsia"/>
              </w:rPr>
              <w:t>通知資材の工夫</w:t>
            </w:r>
            <w:r>
              <w:rPr>
                <w:rFonts w:hint="default"/>
              </w:rPr>
              <w:t>(</w:t>
            </w:r>
            <w:r>
              <w:rPr>
                <w:rFonts w:hint="default"/>
              </w:rPr>
              <w:t>見直し</w:t>
            </w:r>
            <w:r>
              <w:rPr>
                <w:rFonts w:hint="default"/>
              </w:rPr>
              <w:t>)</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事業アウトプット</w:t>
            </w:r>
          </w:p>
        </w:tc>
        <w:tc>
          <w:tcPr>
            <w:tcW w:w="4183" w:type="pct"/>
            <w:tcMar>
              <w:top w:w="28" w:type="dxa"/>
              <w:left w:w="28" w:type="dxa"/>
              <w:bottom w:w="28" w:type="dxa"/>
              <w:right w:w="28" w:type="dxa"/>
            </w:tcMar>
            <w:vAlign w:val="center"/>
          </w:tcPr>
          <w:p>
            <w:pPr>
              <w:pStyle w:val="0"/>
              <w:rPr>
                <w:rFonts w:hint="default"/>
              </w:rPr>
            </w:pPr>
            <w:r>
              <w:rPr>
                <w:rFonts w:hint="eastAsia"/>
              </w:rPr>
              <w:t>ジェネリック差額通知率：</w:t>
            </w:r>
            <w:r>
              <w:rPr>
                <w:rFonts w:hint="eastAsia"/>
              </w:rPr>
              <w:t>100%</w:t>
            </w:r>
            <w:r>
              <w:rPr>
                <w:rFonts w:hint="eastAsia"/>
              </w:rPr>
              <w:t>　</w:t>
            </w: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事業アウトカム</w:t>
            </w:r>
          </w:p>
        </w:tc>
        <w:tc>
          <w:tcPr>
            <w:tcW w:w="4183" w:type="pct"/>
            <w:tcMar>
              <w:top w:w="28" w:type="dxa"/>
              <w:left w:w="28" w:type="dxa"/>
              <w:bottom w:w="28" w:type="dxa"/>
              <w:right w:w="28" w:type="dxa"/>
            </w:tcMar>
            <w:vAlign w:val="center"/>
          </w:tcPr>
          <w:p>
            <w:pPr>
              <w:pStyle w:val="0"/>
              <w:rPr>
                <w:rFonts w:hint="default"/>
              </w:rPr>
            </w:pPr>
            <w:r>
              <w:rPr>
                <w:rFonts w:hint="eastAsia"/>
              </w:rPr>
              <w:t>ジェネリック医薬品への切替率：</w:t>
            </w:r>
          </w:p>
          <w:tbl>
            <w:tblPr>
              <w:tblStyle w:val="172"/>
              <w:tblW w:w="7759" w:type="dxa"/>
              <w:tblInd w:w="0" w:type="dxa"/>
              <w:tblLayout w:type="fixed"/>
              <w:tblLook w:firstRow="1" w:lastRow="0" w:firstColumn="1" w:lastColumn="0" w:noHBand="0" w:noVBand="1" w:val="04A0"/>
            </w:tblPr>
            <w:tblGrid>
              <w:gridCol w:w="1108"/>
              <w:gridCol w:w="1108"/>
              <w:gridCol w:w="1108"/>
              <w:gridCol w:w="1108"/>
              <w:gridCol w:w="1109"/>
              <w:gridCol w:w="1109"/>
              <w:gridCol w:w="1109"/>
            </w:tblGrid>
            <w:tr>
              <w:trPr/>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開始時</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6</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7</w:t>
                  </w:r>
                  <w:r>
                    <w:rPr>
                      <w:rFonts w:hint="eastAsia"/>
                    </w:rPr>
                    <w:t>年度</w:t>
                  </w:r>
                </w:p>
              </w:tc>
              <w:tc>
                <w:tcPr>
                  <w:tcW w:w="1108"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8</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9</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10</w:t>
                  </w:r>
                  <w:r>
                    <w:rPr>
                      <w:rFonts w:hint="eastAsia"/>
                    </w:rPr>
                    <w:t>年度</w:t>
                  </w:r>
                </w:p>
              </w:tc>
              <w:tc>
                <w:tcPr>
                  <w:tcW w:w="1109" w:type="dxa"/>
                  <w:shd w:val="clear" w:color="auto" w:fill="F2F2F2"/>
                  <w:tcMar>
                    <w:top w:w="28" w:type="dxa"/>
                    <w:left w:w="28" w:type="dxa"/>
                    <w:bottom w:w="28" w:type="dxa"/>
                    <w:right w:w="28" w:type="dxa"/>
                  </w:tcMar>
                  <w:vAlign w:val="center"/>
                </w:tcPr>
                <w:p>
                  <w:pPr>
                    <w:pStyle w:val="0"/>
                    <w:jc w:val="center"/>
                    <w:rPr>
                      <w:rFonts w:hint="default"/>
                    </w:rPr>
                  </w:pPr>
                  <w:r>
                    <w:rPr>
                      <w:rFonts w:hint="eastAsia"/>
                    </w:rPr>
                    <w:t>令和</w:t>
                  </w:r>
                  <w:r>
                    <w:rPr>
                      <w:rFonts w:hint="eastAsia"/>
                    </w:rPr>
                    <w:t>11</w:t>
                  </w:r>
                  <w:r>
                    <w:rPr>
                      <w:rFonts w:hint="eastAsia"/>
                    </w:rPr>
                    <w:t>年度</w:t>
                  </w:r>
                </w:p>
              </w:tc>
            </w:tr>
            <w:tr>
              <w:trPr/>
              <w:tc>
                <w:tcPr>
                  <w:tcW w:w="1108" w:type="dxa"/>
                  <w:tcMar>
                    <w:top w:w="28" w:type="dxa"/>
                    <w:left w:w="28" w:type="dxa"/>
                    <w:bottom w:w="28" w:type="dxa"/>
                    <w:right w:w="28" w:type="dxa"/>
                  </w:tcMar>
                  <w:vAlign w:val="top"/>
                </w:tcPr>
                <w:p>
                  <w:pPr>
                    <w:pStyle w:val="0"/>
                    <w:jc w:val="center"/>
                    <w:rPr>
                      <w:rFonts w:hint="default"/>
                    </w:rPr>
                  </w:pPr>
                  <w:r>
                    <w:rPr>
                      <w:rFonts w:hint="eastAsia"/>
                    </w:rPr>
                    <w:t>6.8%</w:t>
                  </w:r>
                </w:p>
              </w:tc>
              <w:tc>
                <w:tcPr>
                  <w:tcW w:w="1108" w:type="dxa"/>
                  <w:tcMar>
                    <w:top w:w="28" w:type="dxa"/>
                    <w:left w:w="28" w:type="dxa"/>
                    <w:bottom w:w="28" w:type="dxa"/>
                    <w:right w:w="28" w:type="dxa"/>
                  </w:tcMar>
                  <w:vAlign w:val="top"/>
                </w:tcPr>
                <w:p>
                  <w:pPr>
                    <w:pStyle w:val="0"/>
                    <w:jc w:val="center"/>
                    <w:rPr>
                      <w:rFonts w:hint="default"/>
                    </w:rPr>
                  </w:pPr>
                  <w:r>
                    <w:rPr>
                      <w:rFonts w:hint="eastAsia"/>
                    </w:rPr>
                    <w:t>7.0%</w:t>
                  </w:r>
                </w:p>
              </w:tc>
              <w:tc>
                <w:tcPr>
                  <w:tcW w:w="1108" w:type="dxa"/>
                  <w:tcMar>
                    <w:top w:w="28" w:type="dxa"/>
                    <w:left w:w="28" w:type="dxa"/>
                    <w:bottom w:w="28" w:type="dxa"/>
                    <w:right w:w="28" w:type="dxa"/>
                  </w:tcMar>
                  <w:vAlign w:val="top"/>
                </w:tcPr>
                <w:p>
                  <w:pPr>
                    <w:pStyle w:val="0"/>
                    <w:jc w:val="center"/>
                    <w:rPr>
                      <w:rFonts w:hint="default"/>
                    </w:rPr>
                  </w:pPr>
                  <w:r>
                    <w:rPr>
                      <w:rFonts w:hint="eastAsia"/>
                    </w:rPr>
                    <w:t>7.2%</w:t>
                  </w:r>
                </w:p>
              </w:tc>
              <w:tc>
                <w:tcPr>
                  <w:tcW w:w="1108" w:type="dxa"/>
                  <w:tcMar>
                    <w:top w:w="28" w:type="dxa"/>
                    <w:left w:w="28" w:type="dxa"/>
                    <w:bottom w:w="28" w:type="dxa"/>
                    <w:right w:w="28" w:type="dxa"/>
                  </w:tcMar>
                  <w:vAlign w:val="top"/>
                </w:tcPr>
                <w:p>
                  <w:pPr>
                    <w:pStyle w:val="0"/>
                    <w:jc w:val="center"/>
                    <w:rPr>
                      <w:rFonts w:hint="default"/>
                    </w:rPr>
                  </w:pPr>
                  <w:r>
                    <w:rPr>
                      <w:rFonts w:hint="eastAsia"/>
                    </w:rPr>
                    <w:t>7.4%</w:t>
                  </w:r>
                </w:p>
              </w:tc>
              <w:tc>
                <w:tcPr>
                  <w:tcW w:w="1109" w:type="dxa"/>
                  <w:tcMar>
                    <w:top w:w="28" w:type="dxa"/>
                    <w:left w:w="28" w:type="dxa"/>
                    <w:bottom w:w="28" w:type="dxa"/>
                    <w:right w:w="28" w:type="dxa"/>
                  </w:tcMar>
                  <w:vAlign w:val="top"/>
                </w:tcPr>
                <w:p>
                  <w:pPr>
                    <w:pStyle w:val="0"/>
                    <w:jc w:val="center"/>
                    <w:rPr>
                      <w:rFonts w:hint="default"/>
                    </w:rPr>
                  </w:pPr>
                  <w:r>
                    <w:rPr>
                      <w:rFonts w:hint="eastAsia"/>
                    </w:rPr>
                    <w:t>7.6%</w:t>
                  </w:r>
                </w:p>
              </w:tc>
              <w:tc>
                <w:tcPr>
                  <w:tcW w:w="1109" w:type="dxa"/>
                  <w:tcMar>
                    <w:top w:w="28" w:type="dxa"/>
                    <w:left w:w="28" w:type="dxa"/>
                    <w:bottom w:w="28" w:type="dxa"/>
                    <w:right w:w="28" w:type="dxa"/>
                  </w:tcMar>
                  <w:vAlign w:val="top"/>
                </w:tcPr>
                <w:p>
                  <w:pPr>
                    <w:pStyle w:val="0"/>
                    <w:jc w:val="center"/>
                    <w:rPr>
                      <w:rFonts w:hint="default"/>
                    </w:rPr>
                  </w:pPr>
                  <w:r>
                    <w:rPr>
                      <w:rFonts w:hint="eastAsia"/>
                    </w:rPr>
                    <w:t>7.8%</w:t>
                  </w:r>
                </w:p>
              </w:tc>
              <w:tc>
                <w:tcPr>
                  <w:tcW w:w="1109" w:type="dxa"/>
                  <w:tcMar>
                    <w:top w:w="28" w:type="dxa"/>
                    <w:left w:w="28" w:type="dxa"/>
                    <w:bottom w:w="28" w:type="dxa"/>
                    <w:right w:w="28" w:type="dxa"/>
                  </w:tcMar>
                  <w:vAlign w:val="top"/>
                </w:tcPr>
                <w:p>
                  <w:pPr>
                    <w:pStyle w:val="0"/>
                    <w:jc w:val="center"/>
                    <w:rPr>
                      <w:rFonts w:hint="default"/>
                    </w:rPr>
                  </w:pPr>
                  <w:r>
                    <w:rPr>
                      <w:rFonts w:hint="eastAsia"/>
                    </w:rPr>
                    <w:t>8.0%</w:t>
                  </w:r>
                </w:p>
              </w:tc>
            </w:tr>
          </w:tbl>
          <w:p>
            <w:pPr>
              <w:pStyle w:val="0"/>
              <w:rPr>
                <w:rFonts w:hint="default"/>
              </w:rPr>
            </w:pPr>
          </w:p>
        </w:tc>
      </w:tr>
      <w:tr>
        <w:trPr>
          <w:trHeight w:val="20" w:hRule="atLeast"/>
        </w:trPr>
        <w:tc>
          <w:tcPr>
            <w:tcW w:w="817" w:type="pct"/>
            <w:shd w:val="clear" w:color="auto" w:fill="EFEFEF"/>
            <w:tcMar>
              <w:top w:w="28" w:type="dxa"/>
              <w:left w:w="28" w:type="dxa"/>
              <w:bottom w:w="28" w:type="dxa"/>
              <w:right w:w="28" w:type="dxa"/>
            </w:tcMar>
            <w:vAlign w:val="center"/>
          </w:tcPr>
          <w:p>
            <w:pPr>
              <w:pStyle w:val="0"/>
              <w:rPr>
                <w:rFonts w:hint="default"/>
              </w:rPr>
            </w:pPr>
            <w:r>
              <w:rPr>
                <w:rFonts w:hint="eastAsia"/>
              </w:rPr>
              <w:t>評価時期</w:t>
            </w:r>
          </w:p>
        </w:tc>
        <w:tc>
          <w:tcPr>
            <w:tcW w:w="4183" w:type="pct"/>
            <w:tcMar>
              <w:top w:w="28" w:type="dxa"/>
              <w:left w:w="28" w:type="dxa"/>
              <w:bottom w:w="28" w:type="dxa"/>
              <w:right w:w="28" w:type="dxa"/>
            </w:tcMar>
            <w:vAlign w:val="center"/>
          </w:tcPr>
          <w:p>
            <w:pPr>
              <w:pStyle w:val="0"/>
              <w:rPr>
                <w:rFonts w:hint="default"/>
              </w:rPr>
            </w:pPr>
            <w:r>
              <w:rPr>
                <w:rFonts w:hint="eastAsia"/>
              </w:rPr>
              <w:t>毎年度末</w:t>
            </w:r>
          </w:p>
        </w:tc>
      </w:tr>
    </w:tbl>
    <w:p>
      <w:pPr>
        <w:pStyle w:val="0"/>
        <w:rPr>
          <w:rFonts w:hint="default"/>
        </w:rPr>
      </w:pPr>
      <w:r>
        <w:rPr>
          <w:rFonts w:hint="default"/>
        </w:rPr>
        <w:br w:type="page"/>
      </w:r>
    </w:p>
    <w:p>
      <w:pPr>
        <w:pStyle w:val="2"/>
        <w:rPr>
          <w:rFonts w:hint="default"/>
        </w:rPr>
      </w:pPr>
      <w:bookmarkStart w:id="216" w:name="_Toc152851372"/>
      <w:bookmarkStart w:id="217" w:name="_Toc162548731"/>
      <w:r>
        <w:rPr>
          <w:rFonts w:hint="default"/>
        </w:rPr>
        <w:t>個別保健事業計画</w:t>
      </w:r>
      <w:r>
        <w:rPr>
          <w:rFonts w:hint="eastAsia"/>
        </w:rPr>
        <w:t>・</w:t>
      </w:r>
      <w:r>
        <w:rPr>
          <w:rFonts w:hint="default"/>
        </w:rPr>
        <w:t>評価指標のまとめ</w:t>
      </w:r>
      <w:bookmarkEnd w:id="216"/>
      <w:bookmarkEnd w:id="217"/>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985"/>
        <w:gridCol w:w="2812"/>
        <w:gridCol w:w="1502"/>
        <w:gridCol w:w="1448"/>
        <w:gridCol w:w="1628"/>
      </w:tblGrid>
      <w:tr>
        <w:trPr>
          <w:trHeight w:val="494" w:hRule="atLeast"/>
        </w:trPr>
        <w:tc>
          <w:tcPr>
            <w:tcW w:w="1059"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事業名・担当部署</w:t>
            </w:r>
          </w:p>
        </w:tc>
        <w:tc>
          <w:tcPr>
            <w:tcW w:w="1500"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事業概要</w:t>
            </w:r>
          </w:p>
        </w:tc>
        <w:tc>
          <w:tcPr>
            <w:tcW w:w="801"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アウトプット</w:t>
            </w:r>
          </w:p>
          <w:p>
            <w:pPr>
              <w:pStyle w:val="0"/>
              <w:widowControl w:val="0"/>
              <w:jc w:val="center"/>
              <w:rPr>
                <w:rFonts w:hint="default"/>
                <w:b w:val="1"/>
              </w:rPr>
            </w:pPr>
            <w:r>
              <w:rPr>
                <w:rFonts w:hint="default"/>
                <w:b w:val="1"/>
              </w:rPr>
              <w:t>指標</w:t>
            </w:r>
          </w:p>
        </w:tc>
        <w:tc>
          <w:tcPr>
            <w:tcW w:w="772"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アウトカム</w:t>
            </w:r>
          </w:p>
          <w:p>
            <w:pPr>
              <w:pStyle w:val="0"/>
              <w:widowControl w:val="0"/>
              <w:jc w:val="center"/>
              <w:rPr>
                <w:rFonts w:hint="default"/>
                <w:b w:val="1"/>
              </w:rPr>
            </w:pPr>
            <w:r>
              <w:rPr>
                <w:rFonts w:hint="default"/>
                <w:b w:val="1"/>
              </w:rPr>
              <w:t>指標</w:t>
            </w:r>
          </w:p>
        </w:tc>
        <w:tc>
          <w:tcPr>
            <w:tcW w:w="868"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関連する</w:t>
            </w:r>
          </w:p>
          <w:p>
            <w:pPr>
              <w:pStyle w:val="0"/>
              <w:widowControl w:val="0"/>
              <w:jc w:val="center"/>
              <w:rPr>
                <w:rFonts w:hint="default"/>
                <w:b w:val="1"/>
              </w:rPr>
            </w:pPr>
            <w:r>
              <w:rPr>
                <w:rFonts w:hint="default"/>
                <w:b w:val="1"/>
              </w:rPr>
              <w:t>短期目標</w:t>
            </w:r>
          </w:p>
        </w:tc>
      </w:tr>
      <w:tr>
        <w:trPr>
          <w:trHeight w:val="1906" w:hRule="atLeast"/>
        </w:trPr>
        <w:tc>
          <w:tcPr>
            <w:tcW w:w="1059" w:type="pct"/>
            <w:shd w:val="clear" w:color="auto" w:fill="auto"/>
            <w:tcMar>
              <w:top w:w="28" w:type="dxa"/>
              <w:left w:w="28" w:type="dxa"/>
              <w:bottom w:w="28" w:type="dxa"/>
              <w:right w:w="28" w:type="dxa"/>
            </w:tcMar>
            <w:vAlign w:val="top"/>
          </w:tcPr>
          <w:p>
            <w:pPr>
              <w:pStyle w:val="0"/>
              <w:widowControl w:val="0"/>
              <w:rPr>
                <w:rFonts w:hint="default"/>
              </w:rPr>
            </w:pPr>
            <w:r>
              <w:rPr>
                <w:rFonts w:hint="eastAsia"/>
              </w:rPr>
              <w:t>特定健診受診率向上事業</w:t>
            </w:r>
          </w:p>
        </w:tc>
        <w:tc>
          <w:tcPr>
            <w:tcW w:w="1500" w:type="pct"/>
            <w:shd w:val="clear" w:color="auto" w:fill="auto"/>
            <w:tcMar>
              <w:top w:w="28" w:type="dxa"/>
              <w:left w:w="28" w:type="dxa"/>
              <w:bottom w:w="28" w:type="dxa"/>
              <w:right w:w="28" w:type="dxa"/>
            </w:tcMar>
            <w:vAlign w:val="top"/>
          </w:tcPr>
          <w:p>
            <w:pPr>
              <w:pStyle w:val="0"/>
              <w:widowControl w:val="0"/>
              <w:rPr>
                <w:rFonts w:hint="default"/>
              </w:rPr>
            </w:pPr>
            <w:r>
              <w:rPr>
                <w:rFonts w:hint="eastAsia"/>
              </w:rPr>
              <w:t>受診履歴や問診票の回答結果等のデータを分析し、分析結果に基づいて対象者ごとに個別の効果的なメッセージを作成し、同一年度内に未受診者に対して複数回の受診勧奨を実施する。</w:t>
            </w: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受診勧奨実施率</w:t>
            </w:r>
          </w:p>
          <w:p>
            <w:pPr>
              <w:pStyle w:val="0"/>
              <w:widowControl w:val="0"/>
              <w:rPr>
                <w:rFonts w:hint="default"/>
              </w:rPr>
            </w:pPr>
          </w:p>
          <w:p>
            <w:pPr>
              <w:pStyle w:val="0"/>
              <w:widowControl w:val="0"/>
              <w:rPr>
                <w:rFonts w:hint="eastAsia"/>
              </w:rPr>
            </w:pPr>
            <w:r>
              <w:rPr>
                <w:rFonts w:hint="default"/>
              </w:rPr>
              <w:t>【目標値】</w:t>
            </w:r>
            <w:r>
              <w:rPr>
                <w:rFonts w:hint="eastAsia"/>
              </w:rPr>
              <w:t>100%</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特定健診受診率</w:t>
            </w:r>
          </w:p>
          <w:p>
            <w:pPr>
              <w:pStyle w:val="0"/>
              <w:widowControl w:val="0"/>
              <w:rPr>
                <w:rFonts w:hint="default"/>
              </w:rPr>
            </w:pP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44%</w:t>
            </w:r>
          </w:p>
        </w:tc>
        <w:tc>
          <w:tcPr>
            <w:tcW w:w="868" w:type="pct"/>
            <w:shd w:val="clear" w:color="auto" w:fill="auto"/>
            <w:tcMar>
              <w:top w:w="28" w:type="dxa"/>
              <w:left w:w="28" w:type="dxa"/>
              <w:bottom w:w="28" w:type="dxa"/>
              <w:right w:w="28" w:type="dxa"/>
            </w:tcMar>
            <w:vAlign w:val="top"/>
          </w:tcPr>
          <w:p>
            <w:pPr>
              <w:pStyle w:val="0"/>
              <w:widowControl w:val="0"/>
              <w:jc w:val="both"/>
              <w:rPr>
                <w:rFonts w:hint="default"/>
              </w:rPr>
            </w:pPr>
            <w:r>
              <w:rPr>
                <w:rFonts w:hint="default"/>
              </w:rPr>
              <w:t>特定健診受診率</w:t>
            </w:r>
          </w:p>
          <w:p>
            <w:pPr>
              <w:pStyle w:val="0"/>
              <w:widowControl w:val="0"/>
              <w:rPr>
                <w:rFonts w:hint="default"/>
              </w:rPr>
            </w:pPr>
          </w:p>
        </w:tc>
      </w:tr>
      <w:tr>
        <w:trPr>
          <w:trHeight w:val="1906" w:hRule="atLeast"/>
        </w:trPr>
        <w:tc>
          <w:tcPr>
            <w:tcW w:w="1059" w:type="pct"/>
            <w:shd w:val="clear" w:color="auto" w:fill="auto"/>
            <w:tcMar>
              <w:top w:w="28" w:type="dxa"/>
              <w:left w:w="28" w:type="dxa"/>
              <w:bottom w:w="28" w:type="dxa"/>
              <w:right w:w="28" w:type="dxa"/>
            </w:tcMar>
            <w:vAlign w:val="top"/>
          </w:tcPr>
          <w:p>
            <w:pPr>
              <w:pStyle w:val="0"/>
              <w:widowControl w:val="0"/>
              <w:rPr>
                <w:rFonts w:hint="default"/>
              </w:rPr>
            </w:pPr>
            <w:r>
              <w:rPr>
                <w:rFonts w:hint="eastAsia"/>
              </w:rPr>
              <w:t>特定保健指導</w:t>
            </w:r>
          </w:p>
        </w:tc>
        <w:tc>
          <w:tcPr>
            <w:tcW w:w="1500" w:type="pct"/>
            <w:shd w:val="clear" w:color="auto" w:fill="auto"/>
            <w:tcMar>
              <w:top w:w="28" w:type="dxa"/>
              <w:left w:w="28" w:type="dxa"/>
              <w:bottom w:w="28" w:type="dxa"/>
              <w:right w:w="28" w:type="dxa"/>
            </w:tcMar>
            <w:vAlign w:val="top"/>
          </w:tcPr>
          <w:p>
            <w:pPr>
              <w:pStyle w:val="0"/>
              <w:widowControl w:val="0"/>
              <w:rPr>
                <w:rFonts w:hint="default"/>
              </w:rPr>
            </w:pPr>
            <w:r>
              <w:rPr>
                <w:rFonts w:hint="eastAsia"/>
              </w:rPr>
              <w:t>対象者が健診結果から自らの健康状態を把握し、生活習慣改善のための行動目標を自ら設定・実施できるよう、医師、保健師等による個々人の特性やリスクに配慮した支援を行います。</w:t>
            </w:r>
            <w:r>
              <w:rPr>
                <w:rFonts w:hint="eastAsia"/>
              </w:rPr>
              <w:br w:type="textWrapping" w:clear="none"/>
            </w:r>
            <w:r>
              <w:rPr>
                <w:rFonts w:hint="eastAsia"/>
              </w:rPr>
              <w:t>特定保健指導対象者の選定方法により「動機付け支援」「積極的支援」に該当した方に対し実施されます。</w:t>
            </w: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特定保健指導実施率</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30%</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メタボ該当者の割合</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13%</w:t>
            </w:r>
          </w:p>
          <w:p>
            <w:pPr>
              <w:pStyle w:val="0"/>
              <w:widowControl w:val="0"/>
              <w:rPr>
                <w:rFonts w:hint="default"/>
              </w:rPr>
            </w:pPr>
          </w:p>
        </w:tc>
        <w:tc>
          <w:tcPr>
            <w:tcW w:w="868" w:type="pct"/>
            <w:shd w:val="clear" w:color="auto" w:fill="auto"/>
            <w:tcMar>
              <w:top w:w="28" w:type="dxa"/>
              <w:left w:w="28" w:type="dxa"/>
              <w:bottom w:w="28" w:type="dxa"/>
              <w:right w:w="28" w:type="dxa"/>
            </w:tcMar>
            <w:vAlign w:val="top"/>
          </w:tcPr>
          <w:p>
            <w:pPr>
              <w:pStyle w:val="0"/>
              <w:widowControl w:val="0"/>
              <w:jc w:val="both"/>
              <w:rPr>
                <w:rFonts w:hint="default"/>
              </w:rPr>
            </w:pPr>
            <w:r>
              <w:rPr>
                <w:rFonts w:hint="default"/>
              </w:rPr>
              <w:t>特定保健指導実施率</w:t>
            </w:r>
          </w:p>
          <w:p>
            <w:pPr>
              <w:pStyle w:val="0"/>
              <w:widowControl w:val="0"/>
              <w:rPr>
                <w:rFonts w:hint="default"/>
              </w:rPr>
            </w:pPr>
          </w:p>
        </w:tc>
      </w:tr>
      <w:tr>
        <w:trPr>
          <w:trHeight w:val="1906" w:hRule="atLeast"/>
        </w:trPr>
        <w:tc>
          <w:tcPr>
            <w:tcW w:w="1059" w:type="pct"/>
            <w:shd w:val="clear" w:color="auto" w:fill="auto"/>
            <w:tcMar>
              <w:top w:w="28" w:type="dxa"/>
              <w:left w:w="28" w:type="dxa"/>
              <w:bottom w:w="28" w:type="dxa"/>
              <w:right w:w="28" w:type="dxa"/>
            </w:tcMar>
            <w:vAlign w:val="top"/>
          </w:tcPr>
          <w:p>
            <w:pPr>
              <w:pStyle w:val="0"/>
              <w:widowControl w:val="0"/>
              <w:rPr>
                <w:rFonts w:hint="default"/>
              </w:rPr>
            </w:pPr>
            <w:r>
              <w:rPr>
                <w:rFonts w:hint="eastAsia"/>
              </w:rPr>
              <w:t>「からだチェンジ･私がかわる！生活習慣病予防教室」</w:t>
            </w:r>
          </w:p>
        </w:tc>
        <w:tc>
          <w:tcPr>
            <w:tcW w:w="1500" w:type="pct"/>
            <w:shd w:val="clear" w:color="auto" w:fill="auto"/>
            <w:tcMar>
              <w:top w:w="28" w:type="dxa"/>
              <w:left w:w="28" w:type="dxa"/>
              <w:bottom w:w="28" w:type="dxa"/>
              <w:right w:w="28" w:type="dxa"/>
            </w:tcMar>
            <w:vAlign w:val="top"/>
          </w:tcPr>
          <w:p>
            <w:pPr>
              <w:pStyle w:val="0"/>
              <w:widowControl w:val="0"/>
              <w:rPr>
                <w:rFonts w:hint="default"/>
              </w:rPr>
            </w:pPr>
            <w:r>
              <w:rPr>
                <w:rFonts w:hint="eastAsia"/>
              </w:rPr>
              <w:t>特定健診の結果で血圧･脂質･血糖で基準値を超える数値の方を対象に、行動・食生活の記録票を取りながら自身の生活課題を見つけ、食事･運動・歯の健康について講義や実技を通じて行動変容を促す。</w:t>
            </w: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定員に対する申込率</w:t>
            </w:r>
          </w:p>
          <w:p>
            <w:pPr>
              <w:pStyle w:val="0"/>
              <w:widowControl w:val="0"/>
              <w:rPr>
                <w:rFonts w:hint="default"/>
              </w:rPr>
            </w:pP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100%</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特定健診受診勧奨対象者率</w:t>
            </w:r>
          </w:p>
          <w:p>
            <w:pPr>
              <w:pStyle w:val="0"/>
              <w:widowControl w:val="0"/>
              <w:rPr>
                <w:rFonts w:hint="default"/>
              </w:rPr>
            </w:pP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38%</w:t>
            </w:r>
          </w:p>
        </w:tc>
        <w:tc>
          <w:tcPr>
            <w:tcW w:w="868" w:type="pct"/>
            <w:shd w:val="clear" w:color="auto" w:fill="auto"/>
            <w:tcMar>
              <w:top w:w="28" w:type="dxa"/>
              <w:left w:w="28" w:type="dxa"/>
              <w:bottom w:w="28" w:type="dxa"/>
              <w:right w:w="28" w:type="dxa"/>
            </w:tcMar>
            <w:vAlign w:val="top"/>
          </w:tcPr>
          <w:p>
            <w:pPr>
              <w:pStyle w:val="0"/>
              <w:widowControl w:val="0"/>
              <w:rPr>
                <w:rFonts w:hint="default"/>
              </w:rPr>
            </w:pPr>
            <w:r>
              <w:rPr>
                <w:rFonts w:hint="default"/>
              </w:rPr>
              <w:t>LDL-C</w:t>
            </w:r>
            <w:r>
              <w:rPr>
                <w:rFonts w:hint="default"/>
              </w:rPr>
              <w:t>が</w:t>
            </w:r>
            <w:r>
              <w:rPr>
                <w:rFonts w:hint="default"/>
              </w:rPr>
              <w:t>140mg/dl</w:t>
            </w:r>
            <w:r>
              <w:rPr>
                <w:rFonts w:hint="default"/>
              </w:rPr>
              <w:t>以上で服薬なしの人の割合</w:t>
            </w:r>
          </w:p>
        </w:tc>
      </w:tr>
      <w:tr>
        <w:trPr>
          <w:trHeight w:val="1906" w:hRule="atLeast"/>
        </w:trPr>
        <w:tc>
          <w:tcPr>
            <w:tcW w:w="1059" w:type="pct"/>
            <w:shd w:val="clear" w:color="auto" w:fill="auto"/>
            <w:tcMar>
              <w:top w:w="28" w:type="dxa"/>
              <w:left w:w="28" w:type="dxa"/>
              <w:bottom w:w="28" w:type="dxa"/>
              <w:right w:w="28" w:type="dxa"/>
            </w:tcMar>
            <w:vAlign w:val="top"/>
          </w:tcPr>
          <w:p>
            <w:pPr>
              <w:pStyle w:val="0"/>
              <w:rPr>
                <w:rFonts w:hint="default"/>
              </w:rPr>
            </w:pPr>
            <w:r>
              <w:rPr>
                <w:rFonts w:hint="eastAsia"/>
              </w:rPr>
              <w:t>「見る</w:t>
            </w:r>
            <w:r>
              <w:rPr>
                <w:rFonts w:hint="eastAsia"/>
              </w:rPr>
              <w:t>!</w:t>
            </w:r>
            <w:r>
              <w:rPr>
                <w:rFonts w:hint="eastAsia"/>
              </w:rPr>
              <w:t>知る！わかる！健康講座（健診時結果説明会）」</w:t>
            </w:r>
          </w:p>
        </w:tc>
        <w:tc>
          <w:tcPr>
            <w:tcW w:w="1500" w:type="pct"/>
            <w:shd w:val="clear" w:color="auto" w:fill="auto"/>
            <w:tcMar>
              <w:top w:w="28" w:type="dxa"/>
              <w:left w:w="28" w:type="dxa"/>
              <w:bottom w:w="28" w:type="dxa"/>
              <w:right w:w="28" w:type="dxa"/>
            </w:tcMar>
            <w:vAlign w:val="top"/>
          </w:tcPr>
          <w:p>
            <w:pPr>
              <w:pStyle w:val="0"/>
              <w:rPr>
                <w:rFonts w:hint="default"/>
              </w:rPr>
            </w:pPr>
            <w:r>
              <w:rPr>
                <w:rFonts w:hint="eastAsia"/>
              </w:rPr>
              <w:t>専門職を招いての講話と脳年齢測定や骨密度測定、血管年齢測定などの健康測定等の体験会を実施。</w:t>
            </w:r>
          </w:p>
          <w:p>
            <w:pPr>
              <w:pStyle w:val="0"/>
              <w:rPr>
                <w:rFonts w:hint="default"/>
              </w:rPr>
            </w:pP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健診結果説明会の参加者数</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80</w:t>
            </w:r>
            <w:r>
              <w:rPr>
                <w:rFonts w:hint="eastAsia"/>
              </w:rPr>
              <w:t>人</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健診の新規受診者数</w:t>
            </w:r>
          </w:p>
          <w:p>
            <w:pPr>
              <w:pStyle w:val="0"/>
              <w:widowControl w:val="0"/>
              <w:rPr>
                <w:rFonts w:hint="default"/>
              </w:rPr>
            </w:pPr>
            <w:r>
              <w:rPr>
                <w:rFonts w:hint="default"/>
              </w:rPr>
              <w:t>【目標値】</w:t>
            </w:r>
          </w:p>
          <w:p>
            <w:pPr>
              <w:pStyle w:val="0"/>
              <w:rPr>
                <w:rFonts w:hint="default"/>
              </w:rPr>
            </w:pPr>
            <w:r>
              <w:rPr>
                <w:rFonts w:hint="eastAsia"/>
              </w:rPr>
              <w:t>1,100</w:t>
            </w:r>
            <w:r>
              <w:rPr>
                <w:rFonts w:hint="eastAsia"/>
              </w:rPr>
              <w:t>人</w:t>
            </w:r>
          </w:p>
        </w:tc>
        <w:tc>
          <w:tcPr>
            <w:tcW w:w="868" w:type="pct"/>
            <w:shd w:val="clear" w:color="auto" w:fill="auto"/>
            <w:tcMar>
              <w:top w:w="28" w:type="dxa"/>
              <w:left w:w="28" w:type="dxa"/>
              <w:bottom w:w="28" w:type="dxa"/>
              <w:right w:w="28" w:type="dxa"/>
            </w:tcMar>
            <w:vAlign w:val="top"/>
          </w:tcPr>
          <w:p>
            <w:pPr>
              <w:pStyle w:val="0"/>
              <w:widowControl w:val="0"/>
              <w:rPr>
                <w:rFonts w:hint="default"/>
              </w:rPr>
            </w:pPr>
            <w:r>
              <w:rPr>
                <w:rFonts w:hint="default"/>
              </w:rPr>
              <w:t>LDL-C</w:t>
            </w:r>
            <w:r>
              <w:rPr>
                <w:rFonts w:hint="default"/>
              </w:rPr>
              <w:t>が</w:t>
            </w:r>
            <w:r>
              <w:rPr>
                <w:rFonts w:hint="default"/>
              </w:rPr>
              <w:t>140mg/dl</w:t>
            </w:r>
            <w:r>
              <w:rPr>
                <w:rFonts w:hint="default"/>
              </w:rPr>
              <w:t>以上で服薬なしの人の割合</w:t>
            </w:r>
          </w:p>
        </w:tc>
      </w:tr>
      <w:tr>
        <w:trPr>
          <w:trHeight w:val="1906" w:hRule="atLeast"/>
        </w:trPr>
        <w:tc>
          <w:tcPr>
            <w:tcW w:w="1059" w:type="pct"/>
            <w:shd w:val="clear" w:color="auto" w:fill="auto"/>
            <w:tcMar>
              <w:top w:w="28" w:type="dxa"/>
              <w:left w:w="28" w:type="dxa"/>
              <w:bottom w:w="28" w:type="dxa"/>
              <w:right w:w="28" w:type="dxa"/>
            </w:tcMar>
            <w:vAlign w:val="top"/>
          </w:tcPr>
          <w:p>
            <w:pPr>
              <w:pStyle w:val="0"/>
              <w:rPr>
                <w:rFonts w:hint="default"/>
              </w:rPr>
            </w:pPr>
            <w:r>
              <w:rPr>
                <w:rFonts w:hint="eastAsia"/>
              </w:rPr>
              <w:t>「とっとと糖とおさらば教室（糖尿病予防･改善教室）」（仮称）」</w:t>
            </w:r>
          </w:p>
        </w:tc>
        <w:tc>
          <w:tcPr>
            <w:tcW w:w="1500" w:type="pct"/>
            <w:shd w:val="clear" w:color="auto" w:fill="auto"/>
            <w:tcMar>
              <w:top w:w="28" w:type="dxa"/>
              <w:left w:w="28" w:type="dxa"/>
              <w:bottom w:w="28" w:type="dxa"/>
              <w:right w:w="28" w:type="dxa"/>
            </w:tcMar>
            <w:vAlign w:val="top"/>
          </w:tcPr>
          <w:p>
            <w:pPr>
              <w:pStyle w:val="0"/>
              <w:rPr>
                <w:rFonts w:hint="default"/>
              </w:rPr>
            </w:pPr>
            <w:r>
              <w:rPr>
                <w:rFonts w:hint="eastAsia"/>
              </w:rPr>
              <w:t>健診で</w:t>
            </w:r>
            <w:r>
              <w:rPr>
                <w:rFonts w:hint="eastAsia"/>
              </w:rPr>
              <w:t>HbA1</w:t>
            </w:r>
            <w:r>
              <w:rPr>
                <w:rFonts w:hint="default"/>
              </w:rPr>
              <w:t>c</w:t>
            </w:r>
            <w:r>
              <w:rPr>
                <w:rFonts w:hint="eastAsia"/>
              </w:rPr>
              <w:t>が</w:t>
            </w:r>
            <w:r>
              <w:rPr>
                <w:rFonts w:hint="eastAsia"/>
              </w:rPr>
              <w:t>5.6</w:t>
            </w:r>
            <w:r>
              <w:rPr>
                <w:rFonts w:hint="eastAsia"/>
              </w:rPr>
              <w:t>以上</w:t>
            </w:r>
            <w:r>
              <w:rPr>
                <w:rFonts w:hint="eastAsia"/>
              </w:rPr>
              <w:t>6.5</w:t>
            </w:r>
            <w:r>
              <w:rPr>
                <w:rFonts w:hint="eastAsia"/>
              </w:rPr>
              <w:t>未満の方を対象に、全</w:t>
            </w:r>
            <w:r>
              <w:rPr>
                <w:rFonts w:hint="eastAsia"/>
              </w:rPr>
              <w:t>4</w:t>
            </w:r>
            <w:r>
              <w:rPr>
                <w:rFonts w:hint="eastAsia"/>
              </w:rPr>
              <w:t>回シリーズで糖尿病療養指導士や健康運動指導士等を講師に栄養･運動･休息についての講話と健康測定会を実施。</w:t>
            </w:r>
          </w:p>
          <w:p>
            <w:pPr>
              <w:pStyle w:val="0"/>
              <w:rPr>
                <w:rFonts w:hint="default"/>
              </w:rPr>
            </w:pP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教室の参加者数</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60</w:t>
            </w:r>
            <w:r>
              <w:rPr>
                <w:rFonts w:hint="eastAsia"/>
              </w:rPr>
              <w:t>人</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健診</w:t>
            </w:r>
            <w:r>
              <w:rPr>
                <w:rFonts w:hint="eastAsia"/>
              </w:rPr>
              <w:t>1</w:t>
            </w:r>
            <w:r>
              <w:rPr>
                <w:rFonts w:hint="eastAsia"/>
              </w:rPr>
              <w:t>年度の</w:t>
            </w:r>
            <w:r>
              <w:rPr>
                <w:rFonts w:hint="eastAsia"/>
              </w:rPr>
              <w:t>HbA1</w:t>
            </w:r>
            <w:r>
              <w:rPr>
                <w:rFonts w:hint="default"/>
              </w:rPr>
              <w:t>c</w:t>
            </w:r>
            <w:r>
              <w:rPr>
                <w:rFonts w:hint="eastAsia"/>
              </w:rPr>
              <w:t>が基準値内の者の割合</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15%</w:t>
            </w:r>
          </w:p>
        </w:tc>
        <w:tc>
          <w:tcPr>
            <w:tcW w:w="868" w:type="pct"/>
            <w:shd w:val="clear" w:color="auto" w:fill="auto"/>
            <w:tcMar>
              <w:top w:w="28" w:type="dxa"/>
              <w:left w:w="28" w:type="dxa"/>
              <w:bottom w:w="28" w:type="dxa"/>
              <w:right w:w="28" w:type="dxa"/>
            </w:tcMar>
            <w:vAlign w:val="top"/>
          </w:tcPr>
          <w:p>
            <w:pPr>
              <w:pStyle w:val="0"/>
              <w:widowControl w:val="0"/>
              <w:jc w:val="both"/>
              <w:rPr>
                <w:rFonts w:hint="default"/>
              </w:rPr>
            </w:pPr>
            <w:r>
              <w:rPr>
                <w:rFonts w:hint="default"/>
              </w:rPr>
              <w:t>HbA1c</w:t>
            </w:r>
            <w:r>
              <w:rPr>
                <w:rFonts w:hint="default"/>
              </w:rPr>
              <w:t>が</w:t>
            </w:r>
            <w:r>
              <w:rPr>
                <w:rFonts w:hint="default"/>
              </w:rPr>
              <w:t>6.5%</w:t>
            </w:r>
            <w:r>
              <w:rPr>
                <w:rFonts w:hint="default"/>
              </w:rPr>
              <w:t>以上で</w:t>
            </w:r>
            <w:r>
              <w:rPr>
                <w:rFonts w:hint="eastAsia"/>
              </w:rPr>
              <w:t>服薬なしのものの割合</w:t>
            </w:r>
          </w:p>
          <w:p>
            <w:pPr>
              <w:pStyle w:val="0"/>
              <w:rPr>
                <w:rFonts w:hint="default"/>
              </w:rPr>
            </w:pPr>
          </w:p>
        </w:tc>
      </w:tr>
      <w:tr>
        <w:trPr>
          <w:trHeight w:val="1906" w:hRule="atLeast"/>
        </w:trPr>
        <w:tc>
          <w:tcPr>
            <w:tcW w:w="1059" w:type="pct"/>
            <w:shd w:val="clear" w:color="auto" w:fill="auto"/>
            <w:tcMar>
              <w:top w:w="28" w:type="dxa"/>
              <w:left w:w="28" w:type="dxa"/>
              <w:bottom w:w="28" w:type="dxa"/>
              <w:right w:w="28" w:type="dxa"/>
            </w:tcMar>
            <w:vAlign w:val="top"/>
          </w:tcPr>
          <w:p>
            <w:pPr>
              <w:pStyle w:val="0"/>
              <w:widowControl w:val="0"/>
              <w:rPr>
                <w:rFonts w:hint="default"/>
              </w:rPr>
            </w:pPr>
            <w:r>
              <w:rPr>
                <w:rFonts w:hint="eastAsia"/>
              </w:rPr>
              <w:t>「健診時に（吸わん</w:t>
            </w:r>
            <w:r>
              <w:rPr>
                <w:rFonts w:hint="eastAsia"/>
              </w:rPr>
              <w:t>SWAN</w:t>
            </w:r>
            <w:r>
              <w:rPr>
                <w:rFonts w:hint="eastAsia"/>
              </w:rPr>
              <w:t>（すわん）体験ブースの設置」（仮称）」</w:t>
            </w:r>
          </w:p>
        </w:tc>
        <w:tc>
          <w:tcPr>
            <w:tcW w:w="1500" w:type="pct"/>
            <w:shd w:val="clear" w:color="auto" w:fill="auto"/>
            <w:tcMar>
              <w:top w:w="28" w:type="dxa"/>
              <w:left w:w="28" w:type="dxa"/>
              <w:bottom w:w="28" w:type="dxa"/>
              <w:right w:w="28" w:type="dxa"/>
            </w:tcMar>
            <w:vAlign w:val="top"/>
          </w:tcPr>
          <w:p>
            <w:pPr>
              <w:pStyle w:val="0"/>
              <w:rPr>
                <w:rFonts w:hint="default"/>
              </w:rPr>
            </w:pPr>
            <w:r>
              <w:rPr>
                <w:rFonts w:hint="eastAsia"/>
              </w:rPr>
              <w:t>スモーカーライザー体験で動機付けをし、禁煙補助剤や禁煙外来･禁煙補助剤購入薬局一覧等の資料配布や展示をして禁煙をサポート。禁煙を考えさせる機会を設ける。</w:t>
            </w:r>
          </w:p>
          <w:p>
            <w:pPr>
              <w:pStyle w:val="0"/>
              <w:rPr>
                <w:rFonts w:hint="default"/>
              </w:rPr>
            </w:pPr>
          </w:p>
          <w:p>
            <w:pPr>
              <w:pStyle w:val="0"/>
              <w:widowControl w:val="0"/>
              <w:rPr>
                <w:rFonts w:hint="default"/>
              </w:rPr>
            </w:pP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禁煙体験ブースへの参加者数</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60</w:t>
            </w:r>
            <w:r>
              <w:rPr>
                <w:rFonts w:hint="eastAsia"/>
              </w:rPr>
              <w:t>人</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翌年度の健診受診者の喫煙者数の減少率：（質問項目から把握）</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15</w:t>
            </w:r>
            <w:r>
              <w:rPr>
                <w:rFonts w:hint="default"/>
              </w:rPr>
              <w:t>%</w:t>
            </w:r>
          </w:p>
        </w:tc>
        <w:tc>
          <w:tcPr>
            <w:tcW w:w="868" w:type="pct"/>
            <w:shd w:val="clear" w:color="auto" w:fill="auto"/>
            <w:tcMar>
              <w:top w:w="28" w:type="dxa"/>
              <w:left w:w="28" w:type="dxa"/>
              <w:bottom w:w="28" w:type="dxa"/>
              <w:right w:w="28" w:type="dxa"/>
            </w:tcMar>
            <w:vAlign w:val="top"/>
          </w:tcPr>
          <w:p>
            <w:pPr>
              <w:pStyle w:val="0"/>
              <w:widowControl w:val="0"/>
              <w:rPr>
                <w:rFonts w:hint="default"/>
              </w:rPr>
            </w:pPr>
            <w:r>
              <w:rPr>
                <w:rFonts w:hint="eastAsia"/>
              </w:rPr>
              <w:t>特定健診質問票で「習慣的にたばこを吸っている」と回答の割合</w:t>
            </w:r>
          </w:p>
        </w:tc>
      </w:tr>
      <w:tr>
        <w:trPr>
          <w:trHeight w:val="1906" w:hRule="atLeast"/>
        </w:trPr>
        <w:tc>
          <w:tcPr>
            <w:tcW w:w="1059" w:type="pct"/>
            <w:shd w:val="clear" w:color="auto" w:fill="auto"/>
            <w:tcMar>
              <w:top w:w="28" w:type="dxa"/>
              <w:left w:w="28" w:type="dxa"/>
              <w:bottom w:w="28" w:type="dxa"/>
              <w:right w:w="28" w:type="dxa"/>
            </w:tcMar>
            <w:vAlign w:val="top"/>
          </w:tcPr>
          <w:p>
            <w:pPr>
              <w:pStyle w:val="0"/>
              <w:rPr>
                <w:rFonts w:hint="default"/>
              </w:rPr>
            </w:pPr>
            <w:r>
              <w:rPr>
                <w:rFonts w:hint="eastAsia"/>
              </w:rPr>
              <w:t>「コレステ！スッキリ改善教室</w:t>
            </w:r>
            <w:r>
              <w:rPr>
                <w:rFonts w:hint="eastAsia"/>
              </w:rPr>
              <w:t>(</w:t>
            </w:r>
            <w:r>
              <w:rPr>
                <w:rFonts w:hint="eastAsia"/>
              </w:rPr>
              <w:t>脂質異常改善教室）」（仮称）」</w:t>
            </w:r>
          </w:p>
        </w:tc>
        <w:tc>
          <w:tcPr>
            <w:tcW w:w="1500" w:type="pct"/>
            <w:shd w:val="clear" w:color="auto" w:fill="auto"/>
            <w:tcMar>
              <w:top w:w="28" w:type="dxa"/>
              <w:left w:w="28" w:type="dxa"/>
              <w:bottom w:w="28" w:type="dxa"/>
              <w:right w:w="28" w:type="dxa"/>
            </w:tcMar>
            <w:vAlign w:val="top"/>
          </w:tcPr>
          <w:p>
            <w:pPr>
              <w:pStyle w:val="0"/>
              <w:rPr>
                <w:rFonts w:hint="default"/>
              </w:rPr>
            </w:pPr>
            <w:r>
              <w:rPr>
                <w:rFonts w:hint="eastAsia"/>
              </w:rPr>
              <w:t>特定健診等でコレステロールや中性脂肪の値が保健指導判定値の方を対象に通知し、全</w:t>
            </w:r>
            <w:r>
              <w:rPr>
                <w:rFonts w:hint="eastAsia"/>
              </w:rPr>
              <w:t>4</w:t>
            </w:r>
            <w:r>
              <w:rPr>
                <w:rFonts w:hint="eastAsia"/>
              </w:rPr>
              <w:t>回シリーズで専門職を講師に栄養･運動等についての講話と運動教室を実施。</w:t>
            </w:r>
          </w:p>
          <w:p>
            <w:pPr>
              <w:pStyle w:val="0"/>
              <w:rPr>
                <w:rFonts w:hint="default"/>
              </w:rPr>
            </w:pPr>
          </w:p>
        </w:tc>
        <w:tc>
          <w:tcPr>
            <w:tcW w:w="801" w:type="pct"/>
            <w:shd w:val="clear" w:color="auto" w:fill="auto"/>
            <w:tcMar>
              <w:top w:w="28" w:type="dxa"/>
              <w:left w:w="28" w:type="dxa"/>
              <w:bottom w:w="28" w:type="dxa"/>
              <w:right w:w="28" w:type="dxa"/>
            </w:tcMar>
            <w:vAlign w:val="top"/>
          </w:tcPr>
          <w:p>
            <w:pPr>
              <w:pStyle w:val="0"/>
              <w:rPr>
                <w:rFonts w:hint="default"/>
              </w:rPr>
            </w:pPr>
            <w:r>
              <w:rPr>
                <w:rFonts w:hint="default"/>
              </w:rPr>
              <w:t>【項目名】</w:t>
            </w:r>
          </w:p>
          <w:p>
            <w:pPr>
              <w:pStyle w:val="0"/>
              <w:widowControl w:val="0"/>
              <w:rPr>
                <w:rFonts w:hint="default"/>
              </w:rPr>
            </w:pPr>
            <w:r>
              <w:rPr>
                <w:rFonts w:hint="eastAsia"/>
              </w:rPr>
              <w:t>教室の参加者数</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80</w:t>
            </w:r>
            <w:r>
              <w:rPr>
                <w:rFonts w:hint="eastAsia"/>
              </w:rPr>
              <w:t>人</w:t>
            </w:r>
          </w:p>
          <w:p>
            <w:pPr>
              <w:pStyle w:val="0"/>
              <w:rPr>
                <w:rFonts w:hint="default"/>
              </w:rPr>
            </w:pP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rPr>
                <w:rFonts w:hint="default"/>
              </w:rPr>
            </w:pPr>
            <w:r>
              <w:rPr>
                <w:rFonts w:hint="eastAsia"/>
              </w:rPr>
              <w:t>翌年度健診の</w:t>
            </w:r>
            <w:r>
              <w:rPr>
                <w:rFonts w:hint="default"/>
              </w:rPr>
              <w:t>LDL-C</w:t>
            </w:r>
            <w:r>
              <w:rPr>
                <w:rFonts w:hint="eastAsia"/>
              </w:rPr>
              <w:t>の改善率</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15%</w:t>
            </w:r>
          </w:p>
          <w:p>
            <w:pPr>
              <w:pStyle w:val="0"/>
              <w:rPr>
                <w:rFonts w:hint="default"/>
              </w:rPr>
            </w:pPr>
          </w:p>
        </w:tc>
        <w:tc>
          <w:tcPr>
            <w:tcW w:w="868" w:type="pct"/>
            <w:shd w:val="clear" w:color="auto" w:fill="auto"/>
            <w:tcMar>
              <w:top w:w="28" w:type="dxa"/>
              <w:left w:w="28" w:type="dxa"/>
              <w:bottom w:w="28" w:type="dxa"/>
              <w:right w:w="28" w:type="dxa"/>
            </w:tcMar>
            <w:vAlign w:val="top"/>
          </w:tcPr>
          <w:p>
            <w:pPr>
              <w:pStyle w:val="0"/>
              <w:widowControl w:val="0"/>
              <w:jc w:val="both"/>
              <w:rPr>
                <w:rFonts w:hint="default"/>
              </w:rPr>
            </w:pPr>
            <w:r>
              <w:rPr>
                <w:rFonts w:hint="default"/>
              </w:rPr>
              <w:t>LDL-C</w:t>
            </w:r>
            <w:r>
              <w:rPr>
                <w:rFonts w:hint="default"/>
              </w:rPr>
              <w:t>が</w:t>
            </w:r>
            <w:r>
              <w:rPr>
                <w:rFonts w:hint="default"/>
              </w:rPr>
              <w:t>140mg/dl</w:t>
            </w:r>
            <w:r>
              <w:rPr>
                <w:rFonts w:hint="default"/>
              </w:rPr>
              <w:t>以上で</w:t>
            </w:r>
            <w:r>
              <w:rPr>
                <w:rFonts w:hint="eastAsia"/>
              </w:rPr>
              <w:t>服薬なしのものの</w:t>
            </w:r>
            <w:r>
              <w:rPr>
                <w:rFonts w:hint="default"/>
              </w:rPr>
              <w:t>割合</w:t>
            </w:r>
          </w:p>
          <w:p>
            <w:pPr>
              <w:pStyle w:val="0"/>
              <w:rPr>
                <w:rFonts w:hint="default"/>
              </w:rPr>
            </w:pPr>
          </w:p>
        </w:tc>
      </w:tr>
      <w:tr>
        <w:trPr>
          <w:trHeight w:val="1906" w:hRule="atLeast"/>
        </w:trPr>
        <w:tc>
          <w:tcPr>
            <w:tcW w:w="1059" w:type="pct"/>
            <w:shd w:val="clear" w:color="auto" w:fill="auto"/>
            <w:tcMar>
              <w:top w:w="28" w:type="dxa"/>
              <w:left w:w="28" w:type="dxa"/>
              <w:bottom w:w="28" w:type="dxa"/>
              <w:right w:w="28" w:type="dxa"/>
            </w:tcMar>
            <w:vAlign w:val="top"/>
          </w:tcPr>
          <w:p>
            <w:pPr>
              <w:pStyle w:val="0"/>
              <w:widowControl w:val="0"/>
              <w:rPr>
                <w:rFonts w:hint="default"/>
              </w:rPr>
            </w:pPr>
            <w:r>
              <w:rPr>
                <w:rFonts w:hint="eastAsia"/>
              </w:rPr>
              <w:t>糖尿病性腎症重症化予防事業</w:t>
            </w:r>
          </w:p>
        </w:tc>
        <w:tc>
          <w:tcPr>
            <w:tcW w:w="1500" w:type="pct"/>
            <w:shd w:val="clear" w:color="auto" w:fill="auto"/>
            <w:tcMar>
              <w:top w:w="28" w:type="dxa"/>
              <w:left w:w="28" w:type="dxa"/>
              <w:bottom w:w="28" w:type="dxa"/>
              <w:right w:w="28" w:type="dxa"/>
            </w:tcMar>
            <w:vAlign w:val="top"/>
          </w:tcPr>
          <w:p>
            <w:pPr>
              <w:pStyle w:val="0"/>
              <w:widowControl w:val="0"/>
              <w:rPr>
                <w:rFonts w:hint="default"/>
              </w:rPr>
            </w:pPr>
            <w:r>
              <w:rPr>
                <w:rFonts w:hint="eastAsia"/>
              </w:rPr>
              <w:t>前年度の特定健診結果データ等を分析し、分析結果をもとに介入対象者を決定し、対象者の状況･重症度に応じて医療機関への受診勧奨や保健指導を通知･電話等により実施する。</w:t>
            </w: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保健指導プログラム参加率</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30%</w:t>
            </w: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翌年度の健診結果の</w:t>
            </w:r>
            <w:r>
              <w:rPr>
                <w:rFonts w:hint="eastAsia"/>
              </w:rPr>
              <w:t>HbA1C</w:t>
            </w:r>
            <w:r>
              <w:rPr>
                <w:rFonts w:hint="eastAsia"/>
              </w:rPr>
              <w:t>の検査数値の改善率</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18%</w:t>
            </w:r>
          </w:p>
        </w:tc>
        <w:tc>
          <w:tcPr>
            <w:tcW w:w="868" w:type="pct"/>
            <w:shd w:val="clear" w:color="auto" w:fill="auto"/>
            <w:tcMar>
              <w:top w:w="28" w:type="dxa"/>
              <w:left w:w="28" w:type="dxa"/>
              <w:bottom w:w="28" w:type="dxa"/>
              <w:right w:w="28" w:type="dxa"/>
            </w:tcMar>
            <w:vAlign w:val="top"/>
          </w:tcPr>
          <w:p>
            <w:pPr>
              <w:pStyle w:val="0"/>
              <w:widowControl w:val="0"/>
              <w:rPr>
                <w:rFonts w:hint="default"/>
              </w:rPr>
            </w:pPr>
            <w:r>
              <w:rPr>
                <w:rFonts w:hint="eastAsia"/>
              </w:rPr>
              <w:t>HbA1c</w:t>
            </w:r>
            <w:r>
              <w:rPr>
                <w:rFonts w:hint="eastAsia"/>
              </w:rPr>
              <w:t>が</w:t>
            </w:r>
            <w:r>
              <w:rPr>
                <w:rFonts w:hint="eastAsia"/>
              </w:rPr>
              <w:t>6.5%</w:t>
            </w:r>
            <w:r>
              <w:rPr>
                <w:rFonts w:hint="eastAsia"/>
              </w:rPr>
              <w:t>以上で服薬なしの人の割合</w:t>
            </w:r>
          </w:p>
          <w:p>
            <w:pPr>
              <w:pStyle w:val="0"/>
              <w:widowControl w:val="0"/>
              <w:rPr>
                <w:rFonts w:hint="default"/>
              </w:rPr>
            </w:pPr>
          </w:p>
        </w:tc>
      </w:tr>
      <w:tr>
        <w:trPr>
          <w:trHeight w:val="1500" w:hRule="atLeast"/>
        </w:trPr>
        <w:tc>
          <w:tcPr>
            <w:tcW w:w="1059" w:type="pct"/>
            <w:shd w:val="clear" w:color="auto" w:fill="auto"/>
            <w:tcMar>
              <w:top w:w="28" w:type="dxa"/>
              <w:left w:w="28" w:type="dxa"/>
              <w:bottom w:w="28" w:type="dxa"/>
              <w:right w:w="28" w:type="dxa"/>
            </w:tcMar>
            <w:vAlign w:val="top"/>
          </w:tcPr>
          <w:p>
            <w:pPr>
              <w:pStyle w:val="0"/>
              <w:widowControl w:val="0"/>
              <w:rPr>
                <w:rFonts w:hint="default"/>
              </w:rPr>
            </w:pPr>
            <w:r>
              <w:rPr>
                <w:rFonts w:hint="eastAsia"/>
              </w:rPr>
              <w:t>生活習慣病重症化予防事業</w:t>
            </w:r>
          </w:p>
        </w:tc>
        <w:tc>
          <w:tcPr>
            <w:tcW w:w="1500" w:type="pct"/>
            <w:shd w:val="clear" w:color="auto" w:fill="auto"/>
            <w:tcMar>
              <w:top w:w="28" w:type="dxa"/>
              <w:left w:w="28" w:type="dxa"/>
              <w:bottom w:w="28" w:type="dxa"/>
              <w:right w:w="28" w:type="dxa"/>
            </w:tcMar>
            <w:vAlign w:val="top"/>
          </w:tcPr>
          <w:p>
            <w:pPr>
              <w:pStyle w:val="0"/>
              <w:rPr>
                <w:rFonts w:hint="default"/>
              </w:rPr>
            </w:pPr>
            <w:r>
              <w:rPr>
                <w:rFonts w:hint="eastAsia"/>
              </w:rPr>
              <w:t>受診履歴や特定健診の問診票の解答結果等のデータを分析し、分析結果をもとに介入対象者を決定し、対象者の状況･重症度に応じて医療機関への受診勧奨や保健指導を通知により実施する。</w:t>
            </w:r>
          </w:p>
        </w:tc>
        <w:tc>
          <w:tcPr>
            <w:tcW w:w="801"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業務内容や実施方法の検討会の開催</w:t>
            </w:r>
          </w:p>
          <w:p>
            <w:pPr>
              <w:pStyle w:val="0"/>
              <w:widowControl w:val="0"/>
              <w:rPr>
                <w:rFonts w:hint="default"/>
              </w:rPr>
            </w:pPr>
            <w:r>
              <w:rPr>
                <w:rFonts w:hint="default"/>
              </w:rPr>
              <w:t>【目標値】</w:t>
            </w:r>
          </w:p>
          <w:p>
            <w:pPr>
              <w:pStyle w:val="0"/>
              <w:widowControl w:val="0"/>
              <w:rPr>
                <w:rFonts w:hint="default"/>
              </w:rPr>
            </w:pPr>
            <w:r>
              <w:rPr>
                <w:rFonts w:hint="eastAsia"/>
              </w:rPr>
              <w:t>年</w:t>
            </w:r>
            <w:r>
              <w:rPr>
                <w:rFonts w:hint="eastAsia"/>
              </w:rPr>
              <w:t>1</w:t>
            </w:r>
            <w:r>
              <w:rPr>
                <w:rFonts w:hint="eastAsia"/>
              </w:rPr>
              <w:t>回以上実施</w:t>
            </w:r>
          </w:p>
          <w:p>
            <w:pPr>
              <w:pStyle w:val="0"/>
              <w:widowControl w:val="0"/>
              <w:rPr>
                <w:rFonts w:hint="default"/>
              </w:rPr>
            </w:pPr>
          </w:p>
        </w:tc>
        <w:tc>
          <w:tcPr>
            <w:tcW w:w="772"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医療機関受診率</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70%</w:t>
            </w:r>
          </w:p>
        </w:tc>
        <w:tc>
          <w:tcPr>
            <w:tcW w:w="868" w:type="pct"/>
            <w:shd w:val="clear" w:color="auto" w:fill="auto"/>
            <w:tcMar>
              <w:top w:w="28" w:type="dxa"/>
              <w:left w:w="28" w:type="dxa"/>
              <w:bottom w:w="28" w:type="dxa"/>
              <w:right w:w="28" w:type="dxa"/>
            </w:tcMar>
            <w:vAlign w:val="top"/>
          </w:tcPr>
          <w:p>
            <w:pPr>
              <w:pStyle w:val="0"/>
              <w:widowControl w:val="0"/>
              <w:rPr>
                <w:rFonts w:hint="default"/>
              </w:rPr>
            </w:pPr>
            <w:r>
              <w:rPr>
                <w:rFonts w:hint="eastAsia"/>
              </w:rPr>
              <w:t>血圧がⅠ度高血圧以上で服薬なしの人の割合</w:t>
            </w:r>
          </w:p>
          <w:p>
            <w:pPr>
              <w:pStyle w:val="0"/>
              <w:widowControl w:val="0"/>
              <w:rPr>
                <w:rFonts w:hint="default"/>
              </w:rPr>
            </w:pPr>
          </w:p>
          <w:p>
            <w:pPr>
              <w:pStyle w:val="0"/>
              <w:widowControl w:val="0"/>
              <w:rPr>
                <w:rFonts w:hint="default"/>
              </w:rPr>
            </w:pPr>
            <w:r>
              <w:rPr>
                <w:rFonts w:hint="eastAsia"/>
              </w:rPr>
              <w:t>LDL-C</w:t>
            </w:r>
            <w:r>
              <w:rPr>
                <w:rFonts w:hint="eastAsia"/>
              </w:rPr>
              <w:t>が</w:t>
            </w:r>
            <w:r>
              <w:rPr>
                <w:rFonts w:hint="eastAsia"/>
              </w:rPr>
              <w:t>140mg/dl</w:t>
            </w:r>
            <w:r>
              <w:rPr>
                <w:rFonts w:hint="eastAsia"/>
              </w:rPr>
              <w:t>以上で服薬なしの人の割合</w:t>
            </w:r>
          </w:p>
        </w:tc>
      </w:tr>
    </w:tbl>
    <w:p>
      <w:pPr>
        <w:pStyle w:val="0"/>
        <w:rPr>
          <w:rFonts w:hint="default"/>
        </w:rPr>
      </w:pPr>
      <w:r>
        <w:rPr>
          <w:rFonts w:hint="default"/>
        </w:rPr>
        <w:br w:type="page"/>
      </w:r>
    </w:p>
    <w:tbl>
      <w:tblPr>
        <w:tblStyle w:val="11"/>
        <w:tblW w:w="673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986"/>
        <w:gridCol w:w="2814"/>
        <w:gridCol w:w="1500"/>
        <w:gridCol w:w="1450"/>
        <w:gridCol w:w="1626"/>
        <w:gridCol w:w="1626"/>
        <w:gridCol w:w="1626"/>
      </w:tblGrid>
      <w:tr>
        <w:trPr>
          <w:gridAfter w:val="2"/>
          <w:wAfter w:w="1288" w:type="pct"/>
          <w:trHeight w:val="494" w:hRule="atLeast"/>
        </w:trPr>
        <w:tc>
          <w:tcPr>
            <w:tcW w:w="786"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事業名・担当部署</w:t>
            </w:r>
          </w:p>
        </w:tc>
        <w:tc>
          <w:tcPr>
            <w:tcW w:w="1114"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事業概要</w:t>
            </w:r>
          </w:p>
        </w:tc>
        <w:tc>
          <w:tcPr>
            <w:tcW w:w="594"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アウトプット</w:t>
            </w:r>
          </w:p>
          <w:p>
            <w:pPr>
              <w:pStyle w:val="0"/>
              <w:widowControl w:val="0"/>
              <w:jc w:val="center"/>
              <w:rPr>
                <w:rFonts w:hint="default"/>
                <w:b w:val="1"/>
              </w:rPr>
            </w:pPr>
            <w:r>
              <w:rPr>
                <w:rFonts w:hint="default"/>
                <w:b w:val="1"/>
              </w:rPr>
              <w:t>指標</w:t>
            </w:r>
          </w:p>
        </w:tc>
        <w:tc>
          <w:tcPr>
            <w:tcW w:w="574"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アウトカム</w:t>
            </w:r>
          </w:p>
          <w:p>
            <w:pPr>
              <w:pStyle w:val="0"/>
              <w:widowControl w:val="0"/>
              <w:jc w:val="center"/>
              <w:rPr>
                <w:rFonts w:hint="default"/>
                <w:b w:val="1"/>
              </w:rPr>
            </w:pPr>
            <w:r>
              <w:rPr>
                <w:rFonts w:hint="default"/>
                <w:b w:val="1"/>
              </w:rPr>
              <w:t>指標</w:t>
            </w:r>
          </w:p>
        </w:tc>
        <w:tc>
          <w:tcPr>
            <w:tcW w:w="644" w:type="pct"/>
            <w:shd w:val="clear" w:color="auto" w:fill="CCD6FF"/>
            <w:tcMar>
              <w:top w:w="28" w:type="dxa"/>
              <w:left w:w="28" w:type="dxa"/>
              <w:bottom w:w="28" w:type="dxa"/>
              <w:right w:w="28" w:type="dxa"/>
            </w:tcMar>
            <w:vAlign w:val="center"/>
          </w:tcPr>
          <w:p>
            <w:pPr>
              <w:pStyle w:val="0"/>
              <w:widowControl w:val="0"/>
              <w:jc w:val="center"/>
              <w:rPr>
                <w:rFonts w:hint="default"/>
                <w:b w:val="1"/>
              </w:rPr>
            </w:pPr>
            <w:r>
              <w:rPr>
                <w:rFonts w:hint="default"/>
                <w:b w:val="1"/>
              </w:rPr>
              <w:t>関連する</w:t>
            </w:r>
          </w:p>
          <w:p>
            <w:pPr>
              <w:pStyle w:val="0"/>
              <w:widowControl w:val="0"/>
              <w:jc w:val="center"/>
              <w:rPr>
                <w:rFonts w:hint="default"/>
                <w:b w:val="1"/>
              </w:rPr>
            </w:pPr>
            <w:r>
              <w:rPr>
                <w:rFonts w:hint="default"/>
                <w:b w:val="1"/>
              </w:rPr>
              <w:t>短期目標</w:t>
            </w:r>
          </w:p>
        </w:tc>
      </w:tr>
      <w:tr>
        <w:trPr>
          <w:gridAfter w:val="2"/>
          <w:wAfter w:w="1288" w:type="pct"/>
          <w:trHeight w:val="1906" w:hRule="atLeast"/>
        </w:trPr>
        <w:tc>
          <w:tcPr>
            <w:tcW w:w="786" w:type="pct"/>
            <w:shd w:val="clear" w:color="auto" w:fill="auto"/>
            <w:tcMar>
              <w:top w:w="28" w:type="dxa"/>
              <w:left w:w="28" w:type="dxa"/>
              <w:bottom w:w="28" w:type="dxa"/>
              <w:right w:w="28" w:type="dxa"/>
            </w:tcMar>
            <w:vAlign w:val="top"/>
          </w:tcPr>
          <w:p>
            <w:pPr>
              <w:pStyle w:val="0"/>
              <w:rPr>
                <w:rFonts w:hint="default"/>
              </w:rPr>
            </w:pPr>
            <w:r>
              <w:rPr>
                <w:rFonts w:hint="eastAsia"/>
              </w:rPr>
              <w:t>個別的支援（ハイリスクアプローチ）</w:t>
            </w:r>
          </w:p>
        </w:tc>
        <w:tc>
          <w:tcPr>
            <w:tcW w:w="1114" w:type="pct"/>
            <w:shd w:val="clear" w:color="auto" w:fill="auto"/>
            <w:tcMar>
              <w:top w:w="28" w:type="dxa"/>
              <w:left w:w="28" w:type="dxa"/>
              <w:bottom w:w="28" w:type="dxa"/>
              <w:right w:w="28" w:type="dxa"/>
            </w:tcMar>
            <w:vAlign w:val="top"/>
          </w:tcPr>
          <w:p>
            <w:pPr>
              <w:pStyle w:val="0"/>
              <w:rPr>
                <w:rFonts w:hint="default"/>
                <w:b w:val="1"/>
              </w:rPr>
            </w:pPr>
            <w:r>
              <w:rPr>
                <w:rFonts w:hint="eastAsia"/>
              </w:rPr>
              <w:t>低栄養、口腔、重複頻回受診者、糖尿病性腎症重症化予防、生活習慣病等重症化予防、健康状態不明者への対応等、後期高齢者の状況に応じた支援事業を実施。　</w:t>
            </w:r>
          </w:p>
        </w:tc>
        <w:tc>
          <w:tcPr>
            <w:tcW w:w="59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後期高齢者への個別的支援を行った高齢者数　</w:t>
            </w:r>
          </w:p>
          <w:p>
            <w:pPr>
              <w:pStyle w:val="0"/>
              <w:widowControl w:val="0"/>
              <w:rPr>
                <w:rFonts w:hint="default"/>
              </w:rPr>
            </w:pPr>
            <w:r>
              <w:rPr>
                <w:rFonts w:hint="default"/>
              </w:rPr>
              <w:t>【目標値】</w:t>
            </w:r>
          </w:p>
          <w:p>
            <w:pPr>
              <w:pStyle w:val="0"/>
              <w:rPr>
                <w:rFonts w:hint="default"/>
              </w:rPr>
            </w:pPr>
            <w:r>
              <w:rPr>
                <w:rFonts w:hint="eastAsia"/>
              </w:rPr>
              <w:t>令和</w:t>
            </w:r>
            <w:r>
              <w:rPr>
                <w:rFonts w:hint="eastAsia"/>
              </w:rPr>
              <w:t>11</w:t>
            </w:r>
            <w:r>
              <w:rPr>
                <w:rFonts w:hint="eastAsia"/>
              </w:rPr>
              <w:t>年度</w:t>
            </w:r>
          </w:p>
          <w:p>
            <w:pPr>
              <w:pStyle w:val="0"/>
              <w:rPr>
                <w:rFonts w:hint="default"/>
              </w:rPr>
            </w:pPr>
            <w:r>
              <w:rPr>
                <w:rFonts w:hint="eastAsia"/>
              </w:rPr>
              <w:t>23%</w:t>
            </w:r>
          </w:p>
        </w:tc>
        <w:tc>
          <w:tcPr>
            <w:tcW w:w="57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後期高齢者健診時の質問票の「健康状態が良くない」割合</w:t>
            </w:r>
          </w:p>
          <w:p>
            <w:pPr>
              <w:pStyle w:val="0"/>
              <w:widowControl w:val="0"/>
              <w:rPr>
                <w:rFonts w:hint="default"/>
              </w:rPr>
            </w:pPr>
            <w:r>
              <w:rPr>
                <w:rFonts w:hint="default"/>
              </w:rPr>
              <w:t>【目標値】</w:t>
            </w:r>
          </w:p>
          <w:p>
            <w:pPr>
              <w:pStyle w:val="0"/>
              <w:rPr>
                <w:rFonts w:hint="default"/>
              </w:rPr>
            </w:pPr>
            <w:r>
              <w:rPr>
                <w:rFonts w:hint="eastAsia"/>
              </w:rPr>
              <w:t>令和</w:t>
            </w:r>
            <w:r>
              <w:rPr>
                <w:rFonts w:hint="eastAsia"/>
              </w:rPr>
              <w:t>11</w:t>
            </w:r>
            <w:r>
              <w:rPr>
                <w:rFonts w:hint="eastAsia"/>
              </w:rPr>
              <w:t>年度</w:t>
            </w:r>
          </w:p>
          <w:p>
            <w:pPr>
              <w:pStyle w:val="0"/>
              <w:rPr>
                <w:rFonts w:hint="default"/>
              </w:rPr>
            </w:pPr>
            <w:r>
              <w:rPr>
                <w:rFonts w:hint="eastAsia"/>
              </w:rPr>
              <w:t>0.3%</w:t>
            </w:r>
          </w:p>
        </w:tc>
        <w:tc>
          <w:tcPr>
            <w:tcW w:w="644" w:type="pct"/>
            <w:shd w:val="clear" w:color="auto" w:fill="auto"/>
            <w:tcMar>
              <w:top w:w="28" w:type="dxa"/>
              <w:left w:w="28" w:type="dxa"/>
              <w:bottom w:w="28" w:type="dxa"/>
              <w:right w:w="28" w:type="dxa"/>
            </w:tcMar>
            <w:vAlign w:val="top"/>
          </w:tcPr>
          <w:p>
            <w:pPr>
              <w:pStyle w:val="0"/>
              <w:rPr>
                <w:rFonts w:hint="default"/>
              </w:rPr>
            </w:pPr>
            <w:r>
              <w:rPr>
                <w:rFonts w:hint="eastAsia"/>
              </w:rPr>
              <w:t>後期高齢者健診質問票で「健康状態が良くない」と回答</w:t>
            </w:r>
          </w:p>
        </w:tc>
      </w:tr>
      <w:tr>
        <w:trPr>
          <w:gridAfter w:val="2"/>
          <w:wAfter w:w="1288" w:type="pct"/>
          <w:trHeight w:val="1906" w:hRule="atLeast"/>
        </w:trPr>
        <w:tc>
          <w:tcPr>
            <w:tcW w:w="786" w:type="pct"/>
            <w:shd w:val="clear" w:color="auto" w:fill="auto"/>
            <w:tcMar>
              <w:top w:w="28" w:type="dxa"/>
              <w:left w:w="28" w:type="dxa"/>
              <w:bottom w:w="28" w:type="dxa"/>
              <w:right w:w="28" w:type="dxa"/>
            </w:tcMar>
            <w:vAlign w:val="top"/>
          </w:tcPr>
          <w:p>
            <w:pPr>
              <w:pStyle w:val="0"/>
              <w:widowControl w:val="0"/>
              <w:rPr>
                <w:rFonts w:hint="default"/>
              </w:rPr>
            </w:pPr>
            <w:r>
              <w:rPr>
                <w:rFonts w:hint="eastAsia"/>
              </w:rPr>
              <w:t>通いの場等への積極的な関与等（ポピュレーションアプローチ）</w:t>
            </w:r>
          </w:p>
        </w:tc>
        <w:tc>
          <w:tcPr>
            <w:tcW w:w="1114" w:type="pct"/>
            <w:shd w:val="clear" w:color="auto" w:fill="auto"/>
            <w:tcMar>
              <w:top w:w="28" w:type="dxa"/>
              <w:left w:w="28" w:type="dxa"/>
              <w:bottom w:w="28" w:type="dxa"/>
              <w:right w:w="28" w:type="dxa"/>
            </w:tcMar>
            <w:vAlign w:val="top"/>
          </w:tcPr>
          <w:p>
            <w:pPr>
              <w:pStyle w:val="0"/>
              <w:widowControl w:val="0"/>
              <w:rPr>
                <w:rFonts w:hint="default"/>
              </w:rPr>
            </w:pPr>
            <w:r>
              <w:rPr>
                <w:rFonts w:hint="eastAsia"/>
              </w:rPr>
              <w:t>通いの場等に、理学療法士等を派遣し、介護予防を目的とした運動指導や体力測定等を実施する等の関わりをもつ。</w:t>
            </w:r>
          </w:p>
        </w:tc>
        <w:tc>
          <w:tcPr>
            <w:tcW w:w="59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通いの場等への専門職の派遣回数</w:t>
            </w:r>
          </w:p>
          <w:p>
            <w:pPr>
              <w:pStyle w:val="0"/>
              <w:widowControl w:val="0"/>
              <w:rPr>
                <w:rFonts w:hint="default"/>
              </w:rPr>
            </w:pPr>
            <w:r>
              <w:rPr>
                <w:rFonts w:hint="default"/>
              </w:rPr>
              <w:t>【目標値】</w:t>
            </w:r>
          </w:p>
          <w:p>
            <w:pPr>
              <w:pStyle w:val="0"/>
              <w:rPr>
                <w:rFonts w:hint="default"/>
              </w:rPr>
            </w:pPr>
            <w:r>
              <w:rPr>
                <w:rFonts w:hint="eastAsia"/>
              </w:rPr>
              <w:t>令和</w:t>
            </w:r>
            <w:r>
              <w:rPr>
                <w:rFonts w:hint="eastAsia"/>
              </w:rPr>
              <w:t>11</w:t>
            </w:r>
            <w:r>
              <w:rPr>
                <w:rFonts w:hint="eastAsia"/>
              </w:rPr>
              <w:t>年度</w:t>
            </w:r>
          </w:p>
          <w:p>
            <w:pPr>
              <w:pStyle w:val="0"/>
              <w:rPr>
                <w:rFonts w:hint="default"/>
              </w:rPr>
            </w:pPr>
            <w:r>
              <w:rPr>
                <w:rFonts w:hint="eastAsia"/>
              </w:rPr>
              <w:t>28</w:t>
            </w:r>
            <w:r>
              <w:rPr>
                <w:rFonts w:hint="eastAsia"/>
              </w:rPr>
              <w:t>回</w:t>
            </w:r>
          </w:p>
          <w:p>
            <w:pPr>
              <w:pStyle w:val="0"/>
              <w:rPr>
                <w:rFonts w:hint="default"/>
              </w:rPr>
            </w:pPr>
          </w:p>
        </w:tc>
        <w:tc>
          <w:tcPr>
            <w:tcW w:w="57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後期高齢者健診の質問票「体調が悪いときに身近に相談できる人がいない」の割合</w:t>
            </w:r>
          </w:p>
          <w:p>
            <w:pPr>
              <w:pStyle w:val="0"/>
              <w:widowControl w:val="0"/>
              <w:rPr>
                <w:rFonts w:hint="default"/>
              </w:rPr>
            </w:pPr>
            <w:r>
              <w:rPr>
                <w:rFonts w:hint="default"/>
              </w:rPr>
              <w:t>【目標値】</w:t>
            </w:r>
          </w:p>
          <w:p>
            <w:pPr>
              <w:pStyle w:val="0"/>
              <w:widowControl w:val="0"/>
              <w:rPr>
                <w:rFonts w:hint="default"/>
              </w:rPr>
            </w:pPr>
          </w:p>
        </w:tc>
        <w:tc>
          <w:tcPr>
            <w:tcW w:w="644" w:type="pct"/>
            <w:shd w:val="clear" w:color="auto" w:fill="auto"/>
            <w:tcMar>
              <w:top w:w="28" w:type="dxa"/>
              <w:left w:w="28" w:type="dxa"/>
              <w:bottom w:w="28" w:type="dxa"/>
              <w:right w:w="28" w:type="dxa"/>
            </w:tcMar>
            <w:vAlign w:val="top"/>
          </w:tcPr>
          <w:p>
            <w:pPr>
              <w:pStyle w:val="0"/>
              <w:widowControl w:val="0"/>
              <w:rPr>
                <w:rFonts w:hint="default"/>
              </w:rPr>
            </w:pPr>
            <w:r>
              <w:rPr>
                <w:rFonts w:hint="eastAsia"/>
              </w:rPr>
              <w:t>後期高齢者健診質問票で「週に</w:t>
            </w:r>
            <w:r>
              <w:rPr>
                <w:rFonts w:hint="eastAsia"/>
              </w:rPr>
              <w:t>1</w:t>
            </w:r>
            <w:r>
              <w:rPr>
                <w:rFonts w:hint="eastAsia"/>
              </w:rPr>
              <w:t>回以上外出していない」と回答</w:t>
            </w:r>
          </w:p>
        </w:tc>
      </w:tr>
      <w:tr>
        <w:trPr>
          <w:gridAfter w:val="2"/>
          <w:wAfter w:w="1288" w:type="pct"/>
          <w:trHeight w:val="1906" w:hRule="atLeast"/>
        </w:trPr>
        <w:tc>
          <w:tcPr>
            <w:tcW w:w="786" w:type="pct"/>
            <w:shd w:val="clear" w:color="auto" w:fill="auto"/>
            <w:tcMar>
              <w:top w:w="28" w:type="dxa"/>
              <w:left w:w="28" w:type="dxa"/>
              <w:bottom w:w="28" w:type="dxa"/>
              <w:right w:w="28" w:type="dxa"/>
            </w:tcMar>
            <w:vAlign w:val="top"/>
          </w:tcPr>
          <w:p>
            <w:pPr>
              <w:pStyle w:val="0"/>
              <w:rPr>
                <w:rFonts w:hint="default"/>
              </w:rPr>
            </w:pPr>
            <w:r>
              <w:rPr>
                <w:rFonts w:hint="eastAsia"/>
              </w:rPr>
              <w:t>重複頻回･多剤服薬者等保健指導事業</w:t>
            </w:r>
          </w:p>
        </w:tc>
        <w:tc>
          <w:tcPr>
            <w:tcW w:w="1114" w:type="pct"/>
            <w:shd w:val="clear" w:color="auto" w:fill="auto"/>
            <w:tcMar>
              <w:top w:w="28" w:type="dxa"/>
              <w:left w:w="28" w:type="dxa"/>
              <w:bottom w:w="28" w:type="dxa"/>
              <w:right w:w="28" w:type="dxa"/>
            </w:tcMar>
            <w:vAlign w:val="top"/>
          </w:tcPr>
          <w:p>
            <w:pPr>
              <w:pStyle w:val="0"/>
              <w:rPr>
                <w:rFonts w:hint="default"/>
              </w:rPr>
            </w:pPr>
            <w:r>
              <w:rPr>
                <w:rFonts w:hint="eastAsia"/>
              </w:rPr>
              <w:t>重複頻回･多剤服薬者等の抽出を行い、該当者には適切な受療を促し、適宜、治療や服薬に関する相談や保健指導を行う。</w:t>
            </w:r>
          </w:p>
        </w:tc>
        <w:tc>
          <w:tcPr>
            <w:tcW w:w="59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重複服薬者の該当者数（重複薬効数が</w:t>
            </w:r>
            <w:r>
              <w:rPr>
                <w:rFonts w:hint="eastAsia"/>
              </w:rPr>
              <w:t>1</w:t>
            </w:r>
            <w:r>
              <w:rPr>
                <w:rFonts w:hint="eastAsia"/>
              </w:rPr>
              <w:t>以上で</w:t>
            </w:r>
            <w:r>
              <w:rPr>
                <w:rFonts w:hint="eastAsia"/>
              </w:rPr>
              <w:t>3</w:t>
            </w:r>
            <w:r>
              <w:rPr>
                <w:rFonts w:hint="eastAsia"/>
              </w:rPr>
              <w:t>医療機関以上）</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9</w:t>
            </w:r>
            <w:r>
              <w:rPr>
                <w:rFonts w:hint="eastAsia"/>
              </w:rPr>
              <w:t>人</w:t>
            </w:r>
          </w:p>
        </w:tc>
        <w:tc>
          <w:tcPr>
            <w:tcW w:w="57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多剤服薬者の該当者数（同一薬効に関する処方日数が</w:t>
            </w:r>
            <w:r>
              <w:rPr>
                <w:rFonts w:hint="eastAsia"/>
              </w:rPr>
              <w:t>1</w:t>
            </w:r>
            <w:r>
              <w:rPr>
                <w:rFonts w:hint="eastAsia"/>
              </w:rPr>
              <w:t>日以上かつ処方薬効数が</w:t>
            </w:r>
            <w:r>
              <w:rPr>
                <w:rFonts w:hint="eastAsia"/>
              </w:rPr>
              <w:t>15</w:t>
            </w:r>
            <w:r>
              <w:rPr>
                <w:rFonts w:hint="eastAsia"/>
              </w:rPr>
              <w:t>以上）</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33</w:t>
            </w:r>
            <w:r>
              <w:rPr>
                <w:rFonts w:hint="eastAsia"/>
              </w:rPr>
              <w:t>人</w:t>
            </w:r>
          </w:p>
        </w:tc>
        <w:tc>
          <w:tcPr>
            <w:tcW w:w="644" w:type="pct"/>
            <w:shd w:val="clear" w:color="auto" w:fill="auto"/>
            <w:tcMar>
              <w:top w:w="28" w:type="dxa"/>
              <w:left w:w="28" w:type="dxa"/>
              <w:bottom w:w="28" w:type="dxa"/>
              <w:right w:w="28" w:type="dxa"/>
            </w:tcMar>
            <w:vAlign w:val="top"/>
          </w:tcPr>
          <w:p>
            <w:pPr>
              <w:pStyle w:val="0"/>
              <w:rPr>
                <w:rFonts w:hint="default"/>
              </w:rPr>
            </w:pPr>
            <w:r>
              <w:rPr>
                <w:rFonts w:hint="eastAsia"/>
              </w:rPr>
              <w:t>重複服薬者の発生数（同一月内で薬効数が</w:t>
            </w:r>
            <w:r>
              <w:rPr>
                <w:rFonts w:hint="eastAsia"/>
              </w:rPr>
              <w:t>1</w:t>
            </w:r>
            <w:r>
              <w:rPr>
                <w:rFonts w:hint="eastAsia"/>
              </w:rPr>
              <w:t>以上で</w:t>
            </w:r>
            <w:r>
              <w:rPr>
                <w:rFonts w:hint="eastAsia"/>
              </w:rPr>
              <w:t>3</w:t>
            </w:r>
            <w:r>
              <w:rPr>
                <w:rFonts w:hint="eastAsia"/>
              </w:rPr>
              <w:t>医療機関以上）</w:t>
            </w:r>
          </w:p>
          <w:p>
            <w:pPr>
              <w:pStyle w:val="0"/>
              <w:rPr>
                <w:rFonts w:hint="default"/>
              </w:rPr>
            </w:pPr>
            <w:r>
              <w:rPr>
                <w:rFonts w:hint="eastAsia"/>
              </w:rPr>
              <w:t>多剤服薬者の該当者数（同一薬効に関する処方日数が</w:t>
            </w:r>
            <w:r>
              <w:rPr>
                <w:rFonts w:hint="eastAsia"/>
              </w:rPr>
              <w:t>1</w:t>
            </w:r>
            <w:r>
              <w:rPr>
                <w:rFonts w:hint="eastAsia"/>
              </w:rPr>
              <w:t>日以上かつ処方薬効数が</w:t>
            </w:r>
            <w:r>
              <w:rPr>
                <w:rFonts w:hint="eastAsia"/>
              </w:rPr>
              <w:t>15</w:t>
            </w:r>
            <w:r>
              <w:rPr>
                <w:rFonts w:hint="eastAsia"/>
              </w:rPr>
              <w:t>以上）：</w:t>
            </w:r>
          </w:p>
        </w:tc>
      </w:tr>
      <w:tr>
        <w:trPr>
          <w:trHeight w:val="1341" w:hRule="atLeast"/>
        </w:trPr>
        <w:tc>
          <w:tcPr>
            <w:tcW w:w="786" w:type="pct"/>
            <w:shd w:val="clear" w:color="auto" w:fill="auto"/>
            <w:tcMar>
              <w:top w:w="28" w:type="dxa"/>
              <w:left w:w="28" w:type="dxa"/>
              <w:bottom w:w="28" w:type="dxa"/>
              <w:right w:w="28" w:type="dxa"/>
            </w:tcMar>
            <w:vAlign w:val="top"/>
          </w:tcPr>
          <w:p>
            <w:pPr>
              <w:pStyle w:val="0"/>
              <w:rPr>
                <w:rFonts w:hint="default"/>
              </w:rPr>
            </w:pPr>
            <w:r>
              <w:rPr>
                <w:rFonts w:hint="eastAsia"/>
              </w:rPr>
              <w:t>ジェネリック差額通知事業</w:t>
            </w:r>
          </w:p>
        </w:tc>
        <w:tc>
          <w:tcPr>
            <w:tcW w:w="1114" w:type="pct"/>
            <w:shd w:val="clear" w:color="auto" w:fill="auto"/>
            <w:tcMar>
              <w:top w:w="28" w:type="dxa"/>
              <w:left w:w="28" w:type="dxa"/>
              <w:bottom w:w="28" w:type="dxa"/>
              <w:right w:w="28" w:type="dxa"/>
            </w:tcMar>
            <w:vAlign w:val="top"/>
          </w:tcPr>
          <w:p>
            <w:pPr>
              <w:pStyle w:val="0"/>
              <w:rPr>
                <w:rFonts w:hint="default"/>
              </w:rPr>
            </w:pPr>
            <w:r>
              <w:rPr>
                <w:rFonts w:hint="eastAsia"/>
              </w:rPr>
              <w:t>後発医薬品の利用促進について広く広報等で周知をし、該当者にジェネリック差額通知をし、ジェネリック医薬費への切替率を上げる。</w:t>
            </w:r>
          </w:p>
        </w:tc>
        <w:tc>
          <w:tcPr>
            <w:tcW w:w="59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ジェネリック差額通知率</w:t>
            </w:r>
          </w:p>
          <w:p>
            <w:pPr>
              <w:pStyle w:val="0"/>
              <w:widowControl w:val="0"/>
              <w:rPr>
                <w:rFonts w:hint="default"/>
              </w:rPr>
            </w:pPr>
            <w:r>
              <w:rPr>
                <w:rFonts w:hint="default"/>
              </w:rPr>
              <w:t>【目標値】</w:t>
            </w:r>
          </w:p>
          <w:p>
            <w:pPr>
              <w:pStyle w:val="0"/>
              <w:widowControl w:val="0"/>
              <w:rPr>
                <w:rFonts w:hint="default"/>
              </w:rPr>
            </w:pPr>
            <w:r>
              <w:rPr>
                <w:rFonts w:hint="eastAsia"/>
              </w:rPr>
              <w:t>100%</w:t>
            </w:r>
          </w:p>
        </w:tc>
        <w:tc>
          <w:tcPr>
            <w:tcW w:w="574" w:type="pct"/>
            <w:shd w:val="clear" w:color="auto" w:fill="auto"/>
            <w:tcMar>
              <w:top w:w="28" w:type="dxa"/>
              <w:left w:w="28" w:type="dxa"/>
              <w:bottom w:w="28" w:type="dxa"/>
              <w:right w:w="28" w:type="dxa"/>
            </w:tcMar>
            <w:vAlign w:val="top"/>
          </w:tcPr>
          <w:p>
            <w:pPr>
              <w:pStyle w:val="0"/>
              <w:widowControl w:val="0"/>
              <w:rPr>
                <w:rFonts w:hint="default"/>
              </w:rPr>
            </w:pPr>
            <w:r>
              <w:rPr>
                <w:rFonts w:hint="default"/>
              </w:rPr>
              <w:t>【項目名】</w:t>
            </w:r>
          </w:p>
          <w:p>
            <w:pPr>
              <w:pStyle w:val="0"/>
              <w:widowControl w:val="0"/>
              <w:rPr>
                <w:rFonts w:hint="default"/>
              </w:rPr>
            </w:pPr>
            <w:r>
              <w:rPr>
                <w:rFonts w:hint="eastAsia"/>
              </w:rPr>
              <w:t>ジェネリック医薬品への切替率</w:t>
            </w:r>
          </w:p>
          <w:p>
            <w:pPr>
              <w:pStyle w:val="0"/>
              <w:widowControl w:val="0"/>
              <w:rPr>
                <w:rFonts w:hint="default"/>
              </w:rPr>
            </w:pPr>
            <w:r>
              <w:rPr>
                <w:rFonts w:hint="default"/>
              </w:rPr>
              <w:t>【目標値】</w:t>
            </w:r>
          </w:p>
          <w:p>
            <w:pPr>
              <w:pStyle w:val="0"/>
              <w:widowControl w:val="0"/>
              <w:rPr>
                <w:rFonts w:hint="default"/>
              </w:rPr>
            </w:pPr>
            <w:r>
              <w:rPr>
                <w:rFonts w:hint="eastAsia"/>
              </w:rPr>
              <w:t>令和</w:t>
            </w:r>
            <w:r>
              <w:rPr>
                <w:rFonts w:hint="eastAsia"/>
              </w:rPr>
              <w:t>11</w:t>
            </w:r>
            <w:r>
              <w:rPr>
                <w:rFonts w:hint="eastAsia"/>
              </w:rPr>
              <w:t>年度</w:t>
            </w:r>
          </w:p>
          <w:p>
            <w:pPr>
              <w:pStyle w:val="0"/>
              <w:widowControl w:val="0"/>
              <w:rPr>
                <w:rFonts w:hint="default"/>
              </w:rPr>
            </w:pPr>
            <w:r>
              <w:rPr>
                <w:rFonts w:hint="eastAsia"/>
              </w:rPr>
              <w:t>8.0%</w:t>
            </w:r>
          </w:p>
        </w:tc>
        <w:tc>
          <w:tcPr>
            <w:tcW w:w="644" w:type="pct"/>
            <w:shd w:val="clear" w:color="auto" w:fill="auto"/>
            <w:tcMar>
              <w:top w:w="28" w:type="dxa"/>
              <w:left w:w="28" w:type="dxa"/>
              <w:bottom w:w="28" w:type="dxa"/>
              <w:right w:w="28" w:type="dxa"/>
            </w:tcMar>
            <w:vAlign w:val="top"/>
          </w:tcPr>
          <w:p>
            <w:pPr>
              <w:pStyle w:val="0"/>
              <w:rPr>
                <w:rFonts w:hint="default"/>
              </w:rPr>
            </w:pPr>
            <w:r>
              <w:rPr>
                <w:rFonts w:hint="eastAsia"/>
              </w:rPr>
              <w:t>重複服薬者の発生数（同一月内で薬効数が</w:t>
            </w:r>
            <w:r>
              <w:rPr>
                <w:rFonts w:hint="eastAsia"/>
              </w:rPr>
              <w:t>1</w:t>
            </w:r>
            <w:r>
              <w:rPr>
                <w:rFonts w:hint="eastAsia"/>
              </w:rPr>
              <w:t>以上で</w:t>
            </w:r>
            <w:r>
              <w:rPr>
                <w:rFonts w:hint="eastAsia"/>
              </w:rPr>
              <w:t>3</w:t>
            </w:r>
            <w:r>
              <w:rPr>
                <w:rFonts w:hint="eastAsia"/>
              </w:rPr>
              <w:t>医療機関以上）</w:t>
            </w:r>
          </w:p>
        </w:tc>
        <w:tc>
          <w:tcPr>
            <w:tcW w:w="644" w:type="pct"/>
            <w:tcBorders>
              <w:top w:val="nil"/>
              <w:left w:val="none" w:color="auto" w:sz="0" w:space="0"/>
              <w:bottom w:val="nil"/>
              <w:right w:val="none" w:color="auto" w:sz="0" w:space="0"/>
              <w:tl2br w:val="none" w:color="auto" w:sz="0" w:space="0"/>
              <w:tr2bl w:val="none" w:color="auto" w:sz="0" w:space="0"/>
            </w:tcBorders>
            <w:shd w:val="clear" w:color="auto" w:fill="auto"/>
            <w:tcMar>
              <w:top w:w="28" w:type="dxa"/>
              <w:left w:w="28" w:type="dxa"/>
              <w:bottom w:w="28" w:type="dxa"/>
              <w:right w:w="28" w:type="dxa"/>
            </w:tcMar>
            <w:vAlign w:val="top"/>
          </w:tcPr>
          <w:p>
            <w:pPr>
              <w:pStyle w:val="0"/>
              <w:rPr>
                <w:rFonts w:hint="default"/>
              </w:rPr>
            </w:pPr>
            <w:r>
              <w:rPr>
                <w:rFonts w:hint="eastAsia"/>
              </w:rPr>
              <w:t>　　</w:t>
            </w:r>
          </w:p>
        </w:tc>
        <w:tc>
          <w:tcPr>
            <w:tcW w:w="644" w:type="pct"/>
            <w:shd w:val="clear" w:color="auto" w:fill="auto"/>
            <w:tcMar>
              <w:top w:w="28" w:type="dxa"/>
              <w:left w:w="28" w:type="dxa"/>
              <w:bottom w:w="28" w:type="dxa"/>
              <w:right w:w="28" w:type="dxa"/>
            </w:tcMar>
            <w:vAlign w:val="top"/>
          </w:tcPr>
          <w:p>
            <w:pPr>
              <w:pStyle w:val="0"/>
              <w:ind w:firstLine="480" w:firstLineChars="300"/>
              <w:rPr>
                <w:rFonts w:hint="default"/>
              </w:rPr>
            </w:pPr>
            <w:r>
              <w:rPr>
                <w:rFonts w:hint="eastAsia"/>
              </w:rPr>
              <w:t>9</w:t>
            </w:r>
            <w:r>
              <w:rPr>
                <w:rFonts w:hint="eastAsia"/>
              </w:rPr>
              <w:t>人</w:t>
            </w:r>
          </w:p>
        </w:tc>
      </w:tr>
    </w:tbl>
    <w:p>
      <w:pPr>
        <w:pStyle w:val="0"/>
        <w:rPr>
          <w:rFonts w:hint="default"/>
        </w:rPr>
      </w:pPr>
    </w:p>
    <w:p>
      <w:pPr>
        <w:pStyle w:val="0"/>
        <w:rPr>
          <w:rFonts w:hint="default"/>
        </w:rPr>
      </w:pPr>
      <w:r>
        <w:rPr>
          <w:rFonts w:hint="default"/>
        </w:rPr>
        <w:br w:type="page"/>
      </w:r>
    </w:p>
    <w:p>
      <w:pPr>
        <w:pStyle w:val="2"/>
        <w:rPr>
          <w:rFonts w:hint="default"/>
        </w:rPr>
      </w:pPr>
      <w:bookmarkStart w:id="218" w:name="_Toc162548732"/>
      <w:r>
        <w:rPr>
          <w:rFonts w:hint="default"/>
        </w:rPr>
        <w:t>データヘルス計画の全体像</w:t>
      </w:r>
      <w:bookmarkEnd w:id="218"/>
    </w:p>
    <w:p>
      <w:pPr>
        <w:pStyle w:val="0"/>
        <w:rPr>
          <w:rFonts w:hint="default"/>
        </w:rPr>
      </w:pPr>
    </w:p>
    <w:tbl>
      <w:tblPr>
        <w:tblStyle w:val="172"/>
        <w:tblW w:w="5000" w:type="pct"/>
        <w:tblInd w:w="0" w:type="dxa"/>
        <w:tblLayout w:type="fixed"/>
        <w:tblLook w:firstRow="1" w:lastRow="0" w:firstColumn="1" w:lastColumn="0" w:noHBand="0" w:noVBand="1" w:val="04A0"/>
      </w:tblPr>
      <w:tblGrid>
        <w:gridCol w:w="9375"/>
      </w:tblGrid>
      <w:tr>
        <w:trPr/>
        <w:tc>
          <w:tcPr>
            <w:tcW w:w="50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目的〜６年後に目指したい姿〜</w:t>
            </w:r>
          </w:p>
        </w:tc>
      </w:tr>
      <w:tr>
        <w:trPr/>
        <w:tc>
          <w:tcPr>
            <w:tcW w:w="5000" w:type="pct"/>
            <w:tcMar>
              <w:top w:w="40" w:type="dxa"/>
              <w:left w:w="40" w:type="dxa"/>
              <w:bottom w:w="40" w:type="dxa"/>
              <w:right w:w="40" w:type="dxa"/>
            </w:tcMar>
            <w:vAlign w:val="center"/>
          </w:tcPr>
          <w:p>
            <w:pPr>
              <w:pStyle w:val="0"/>
              <w:spacing w:line="276" w:lineRule="auto"/>
              <w:jc w:val="center"/>
              <w:rPr>
                <w:rFonts w:hint="default"/>
              </w:rPr>
            </w:pPr>
            <w:r>
              <w:rPr>
                <w:rFonts w:hint="eastAsia"/>
              </w:rPr>
              <w:t>八街市</w:t>
            </w:r>
            <w:r>
              <w:rPr>
                <w:rFonts w:hint="default"/>
              </w:rPr>
              <w:t>民が生活習慣病</w:t>
            </w:r>
            <w:r>
              <w:rPr>
                <w:rFonts w:hint="eastAsia"/>
              </w:rPr>
              <w:t>を</w:t>
            </w:r>
            <w:r>
              <w:rPr>
                <w:rFonts w:hint="default"/>
              </w:rPr>
              <w:t>重症化することなく、元気にいきいきと自立して暮らせる</w:t>
            </w:r>
          </w:p>
        </w:tc>
      </w:tr>
    </w:tbl>
    <w:p>
      <w:pPr>
        <w:pStyle w:val="0"/>
        <w:jc w:val="center"/>
        <w:rPr>
          <w:rFonts w:hint="default"/>
        </w:rPr>
      </w:pPr>
      <w:r>
        <w:rPr>
          <w:rFonts w:hint="eastAsia"/>
        </w:rPr>
        <w:t>▲</w:t>
      </w:r>
    </w:p>
    <w:tbl>
      <w:tblPr>
        <w:tblStyle w:val="172"/>
        <w:tblW w:w="5000" w:type="pct"/>
        <w:tblInd w:w="0" w:type="dxa"/>
        <w:tblLayout w:type="fixed"/>
        <w:tblLook w:firstRow="1" w:lastRow="0" w:firstColumn="1" w:lastColumn="0" w:noHBand="0" w:noVBand="1" w:val="04A0"/>
      </w:tblPr>
      <w:tblGrid>
        <w:gridCol w:w="4444"/>
        <w:gridCol w:w="459"/>
        <w:gridCol w:w="4472"/>
      </w:tblGrid>
      <w:tr>
        <w:trPr/>
        <w:tc>
          <w:tcPr>
            <w:tcW w:w="2370" w:type="pct"/>
            <w:tcMar>
              <w:top w:w="40" w:type="dxa"/>
              <w:left w:w="40" w:type="dxa"/>
              <w:bottom w:w="40" w:type="dxa"/>
              <w:right w:w="40" w:type="dxa"/>
            </w:tcMar>
            <w:vAlign w:val="center"/>
          </w:tcPr>
          <w:p>
            <w:pPr>
              <w:pStyle w:val="0"/>
              <w:spacing w:line="276" w:lineRule="auto"/>
              <w:jc w:val="center"/>
              <w:rPr>
                <w:rFonts w:hint="default"/>
              </w:rPr>
            </w:pPr>
            <w:r>
              <w:rPr>
                <w:rFonts w:hint="eastAsia"/>
              </w:rPr>
              <w:t>医療費適正化による</w:t>
            </w:r>
          </w:p>
          <w:p>
            <w:pPr>
              <w:pStyle w:val="0"/>
              <w:spacing w:line="276" w:lineRule="auto"/>
              <w:jc w:val="center"/>
              <w:rPr>
                <w:rFonts w:hint="default"/>
              </w:rPr>
            </w:pPr>
            <w:r>
              <w:rPr>
                <w:rFonts w:hint="eastAsia"/>
              </w:rPr>
              <w:t>医療制度・提供体制の維持</w:t>
            </w:r>
          </w:p>
        </w:tc>
        <w:tc>
          <w:tcPr>
            <w:tcW w:w="245" w:type="pct"/>
            <w:tcBorders>
              <w:top w:val="nil"/>
              <w:left w:val="none" w:color="auto" w:sz="0" w:space="0"/>
              <w:bottom w:val="nil"/>
              <w:right w:val="none" w:color="auto" w:sz="0" w:space="0"/>
              <w:tl2br w:val="none" w:color="auto" w:sz="0" w:space="0"/>
              <w:tr2bl w:val="none" w:color="auto" w:sz="0" w:space="0"/>
            </w:tcBorders>
            <w:vAlign w:val="center"/>
          </w:tcPr>
          <w:p>
            <w:pPr>
              <w:pStyle w:val="0"/>
              <w:spacing w:line="276" w:lineRule="auto"/>
              <w:jc w:val="center"/>
              <w:rPr>
                <w:rFonts w:hint="default"/>
              </w:rPr>
            </w:pPr>
            <w:r>
              <w:rPr>
                <w:rFonts w:hint="eastAsia"/>
              </w:rPr>
              <w:t>◀</w:t>
            </w:r>
          </w:p>
        </w:tc>
        <w:tc>
          <w:tcPr>
            <w:tcW w:w="2385" w:type="pct"/>
            <w:vAlign w:val="center"/>
          </w:tcPr>
          <w:p>
            <w:pPr>
              <w:pStyle w:val="0"/>
              <w:spacing w:line="276" w:lineRule="auto"/>
              <w:jc w:val="center"/>
              <w:rPr>
                <w:rFonts w:hint="default"/>
              </w:rPr>
            </w:pPr>
            <w:r>
              <w:rPr>
                <w:rFonts w:hint="eastAsia"/>
              </w:rPr>
              <w:t>健康寿命の延伸・健康格差の縮小</w:t>
            </w:r>
          </w:p>
        </w:tc>
      </w:tr>
    </w:tbl>
    <w:p>
      <w:pPr>
        <w:pStyle w:val="0"/>
        <w:jc w:val="center"/>
        <w:rPr>
          <w:rFonts w:hint="default"/>
        </w:rPr>
      </w:pPr>
      <w:r>
        <w:rPr>
          <w:rFonts w:hint="eastAsia"/>
        </w:rPr>
        <w:t>▲</w:t>
      </w:r>
    </w:p>
    <w:tbl>
      <w:tblPr>
        <w:tblStyle w:val="172"/>
        <w:tblW w:w="5000" w:type="pct"/>
        <w:tblInd w:w="0" w:type="dxa"/>
        <w:tblLayout w:type="fixed"/>
        <w:tblLook w:firstRow="1" w:lastRow="0" w:firstColumn="1" w:lastColumn="0" w:noHBand="0" w:noVBand="1" w:val="04A0"/>
      </w:tblPr>
      <w:tblGrid>
        <w:gridCol w:w="4687"/>
        <w:gridCol w:w="4688"/>
      </w:tblGrid>
      <w:tr>
        <w:trPr>
          <w:trHeight w:val="20" w:hRule="atLeast"/>
        </w:trPr>
        <w:tc>
          <w:tcPr>
            <w:tcW w:w="25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長期目標</w:t>
            </w:r>
          </w:p>
        </w:tc>
        <w:tc>
          <w:tcPr>
            <w:tcW w:w="25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第</w:t>
            </w:r>
            <w:r>
              <w:rPr>
                <w:rFonts w:hint="eastAsia"/>
                <w:b w:val="1"/>
              </w:rPr>
              <w:t>3</w:t>
            </w:r>
            <w:r>
              <w:rPr>
                <w:rFonts w:hint="eastAsia"/>
                <w:b w:val="1"/>
              </w:rPr>
              <w:t>期計画における取組</w:t>
            </w:r>
          </w:p>
        </w:tc>
      </w:tr>
      <w:tr>
        <w:trPr>
          <w:trHeight w:val="20" w:hRule="atLeast"/>
        </w:trPr>
        <w:tc>
          <w:tcPr>
            <w:tcW w:w="2500" w:type="pct"/>
            <w:shd w:val="clear" w:color="auto" w:fill="auto"/>
            <w:tcMar>
              <w:top w:w="40" w:type="dxa"/>
              <w:left w:w="40" w:type="dxa"/>
              <w:bottom w:w="40" w:type="dxa"/>
              <w:right w:w="40" w:type="dxa"/>
            </w:tcMar>
            <w:vAlign w:val="center"/>
          </w:tcPr>
          <w:p>
            <w:pPr>
              <w:pStyle w:val="0"/>
              <w:spacing w:line="276" w:lineRule="auto"/>
              <w:rPr>
                <w:rFonts w:hint="eastAsia"/>
                <w:b w:val="1"/>
              </w:rPr>
            </w:pPr>
            <w:r>
              <w:rPr>
                <w:rFonts w:hint="eastAsia"/>
                <w:b w:val="1"/>
              </w:rPr>
              <w:t>フレイルおよび要介護への進行を予防し、高齢者の社会参加と</w:t>
            </w:r>
            <w:r>
              <w:rPr>
                <w:rFonts w:hint="eastAsia"/>
                <w:b w:val="1"/>
              </w:rPr>
              <w:t>QRL</w:t>
            </w:r>
            <w:r>
              <w:rPr>
                <w:rFonts w:hint="eastAsia"/>
                <w:b w:val="1"/>
              </w:rPr>
              <w:t>の向上を推進します</w:t>
            </w:r>
          </w:p>
        </w:tc>
        <w:tc>
          <w:tcPr>
            <w:tcW w:w="2500" w:type="pct"/>
            <w:shd w:val="clear" w:color="auto" w:fill="auto"/>
            <w:tcMar>
              <w:top w:w="40" w:type="dxa"/>
              <w:left w:w="40" w:type="dxa"/>
              <w:bottom w:w="40" w:type="dxa"/>
              <w:right w:w="40" w:type="dxa"/>
            </w:tcMar>
            <w:vAlign w:val="center"/>
          </w:tcPr>
          <w:p>
            <w:pPr>
              <w:pStyle w:val="0"/>
              <w:spacing w:line="276" w:lineRule="auto"/>
              <w:rPr>
                <w:rFonts w:hint="default"/>
                <w:b w:val="1"/>
              </w:rPr>
            </w:pPr>
            <w:r>
              <w:rPr>
                <w:rFonts w:hint="default"/>
                <w:b w:val="1"/>
              </w:rPr>
              <w:t>◀</w:t>
            </w:r>
            <w:r>
              <w:rPr>
                <w:rFonts w:hint="default"/>
                <w:b w:val="1"/>
              </w:rPr>
              <w:t>介護予防・一体的実施</w:t>
            </w:r>
          </w:p>
          <w:p>
            <w:pPr>
              <w:pStyle w:val="0"/>
              <w:spacing w:line="276" w:lineRule="auto"/>
              <w:rPr>
                <w:rFonts w:hint="default"/>
                <w:b w:val="1"/>
              </w:rPr>
            </w:pPr>
          </w:p>
        </w:tc>
      </w:tr>
    </w:tbl>
    <w:p>
      <w:pPr>
        <w:pStyle w:val="0"/>
        <w:jc w:val="center"/>
        <w:rPr>
          <w:rFonts w:hint="default"/>
        </w:rPr>
      </w:pPr>
      <w:r>
        <w:rPr>
          <w:rFonts w:hint="eastAsia"/>
          <w:sz w:val="18"/>
        </w:rPr>
        <mc:AlternateContent>
          <mc:Choice Requires="wps">
            <w:drawing>
              <wp:anchor distT="0" distB="0" distL="114300" distR="114300" simplePos="0" relativeHeight="3" behindDoc="0" locked="0" layoutInCell="1" hidden="0" allowOverlap="1">
                <wp:simplePos x="0" y="0"/>
                <wp:positionH relativeFrom="margin">
                  <wp:posOffset>172720</wp:posOffset>
                </wp:positionH>
                <wp:positionV relativeFrom="paragraph">
                  <wp:posOffset>53340</wp:posOffset>
                </wp:positionV>
                <wp:extent cx="71755" cy="1799590"/>
                <wp:effectExtent l="635" t="635" r="29845" b="10795"/>
                <wp:wrapNone/>
                <wp:docPr id="1101" name="下矢印 6"/>
                <a:graphic xmlns:a="http://schemas.openxmlformats.org/drawingml/2006/main">
                  <a:graphicData uri="http://schemas.microsoft.com/office/word/2010/wordprocessingShape">
                    <wps:wsp>
                      <wps:cNvPr id="1101" name="下矢印 6"/>
                      <wps:cNvSpPr/>
                      <wps:spPr>
                        <a:xfrm rot="10800000">
                          <a:off x="0" y="0"/>
                          <a:ext cx="71755" cy="1799590"/>
                        </a:xfrm>
                        <a:prstGeom prst="downArrow">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6" style="rotation:180;mso-position-vertical-relative:text;z-index:3;mso-wrap-distance-left:9pt;width:5.65pt;height:141.69pt;mso-position-horizontal-relative:margin;position:absolute;margin-left:13.6pt;margin-top:4.2pt;mso-wrap-distance-bottom:0pt;mso-wrap-distance-right:9pt;mso-wrap-distance-top:0pt;" o:spid="_x0000_s1101" o:allowincell="t" o:allowoverlap="t" filled="t" fillcolor="#000000" stroked="t" strokecolor="#000000" strokeweight="0.75pt" o:spt="67" type="#_x0000_t67" adj="10800,5400">
                <v:fill/>
                <v:stroke linestyle="single" endcap="flat" dashstyle="solid" filltype="solid"/>
                <v:textbox style="layout-flow:horizontal;"/>
                <v:imagedata o:title=""/>
                <w10:wrap type="none" anchorx="margin" anchory="text"/>
              </v:shape>
            </w:pict>
          </mc:Fallback>
        </mc:AlternateContent>
      </w:r>
      <w:r>
        <w:rPr>
          <w:rFonts w:hint="eastAsia"/>
        </w:rPr>
        <w:t>▲</w:t>
      </w:r>
    </w:p>
    <w:p>
      <w:pPr>
        <w:pStyle w:val="0"/>
        <w:jc w:val="center"/>
        <w:rPr>
          <w:rFonts w:hint="default"/>
        </w:rPr>
      </w:pPr>
      <w:r>
        <w:rPr>
          <w:rFonts w:hint="eastAsia"/>
        </w:rPr>
        <w:t>生活習慣病・メタボ該当者の減少</w:t>
      </w:r>
    </w:p>
    <w:tbl>
      <w:tblPr>
        <w:tblStyle w:val="172"/>
        <w:tblW w:w="7958" w:type="dxa"/>
        <w:tblInd w:w="704" w:type="dxa"/>
        <w:tblLayout w:type="fixed"/>
        <w:tblLook w:firstRow="1" w:lastRow="0" w:firstColumn="1" w:lastColumn="0" w:noHBand="0" w:noVBand="1" w:val="04A0"/>
      </w:tblPr>
      <w:tblGrid>
        <w:gridCol w:w="3979"/>
        <w:gridCol w:w="3979"/>
      </w:tblGrid>
      <w:tr>
        <w:trPr>
          <w:trHeight w:val="20" w:hRule="atLeast"/>
        </w:trPr>
        <w:tc>
          <w:tcPr>
            <w:tcW w:w="3979" w:type="dxa"/>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長期目標</w:t>
            </w:r>
          </w:p>
        </w:tc>
        <w:tc>
          <w:tcPr>
            <w:tcW w:w="3979" w:type="dxa"/>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第</w:t>
            </w:r>
            <w:r>
              <w:rPr>
                <w:rFonts w:hint="eastAsia"/>
                <w:b w:val="1"/>
              </w:rPr>
              <w:t>3</w:t>
            </w:r>
            <w:r>
              <w:rPr>
                <w:rFonts w:hint="eastAsia"/>
                <w:b w:val="1"/>
              </w:rPr>
              <w:t>期計画における取組</w:t>
            </w:r>
          </w:p>
        </w:tc>
      </w:tr>
      <w:tr>
        <w:trPr>
          <w:trHeight w:val="20" w:hRule="atLeast"/>
        </w:trPr>
        <w:tc>
          <w:tcPr>
            <w:tcW w:w="3979" w:type="dxa"/>
            <w:shd w:val="clear" w:color="auto" w:fill="auto"/>
            <w:tcMar>
              <w:top w:w="40" w:type="dxa"/>
              <w:left w:w="40" w:type="dxa"/>
              <w:bottom w:w="40" w:type="dxa"/>
              <w:right w:w="40" w:type="dxa"/>
            </w:tcMar>
            <w:vAlign w:val="center"/>
          </w:tcPr>
          <w:p>
            <w:pPr>
              <w:pStyle w:val="0"/>
              <w:spacing w:line="276" w:lineRule="auto"/>
              <w:rPr>
                <w:rFonts w:hint="eastAsia"/>
                <w:b w:val="1"/>
              </w:rPr>
            </w:pPr>
            <w:r>
              <w:rPr>
                <w:rFonts w:hint="eastAsia"/>
                <w:b w:val="1"/>
              </w:rPr>
              <w:t>生活習慣病の重症化を防ぎ、適切な医療を受けることができる</w:t>
            </w:r>
          </w:p>
        </w:tc>
        <w:tc>
          <w:tcPr>
            <w:tcW w:w="3979" w:type="dxa"/>
            <w:shd w:val="clear" w:color="auto" w:fill="auto"/>
            <w:tcMar>
              <w:top w:w="40" w:type="dxa"/>
              <w:left w:w="40" w:type="dxa"/>
              <w:bottom w:w="40" w:type="dxa"/>
              <w:right w:w="40" w:type="dxa"/>
            </w:tcMar>
            <w:vAlign w:val="center"/>
          </w:tcPr>
          <w:p>
            <w:pPr>
              <w:pStyle w:val="0"/>
              <w:spacing w:line="276" w:lineRule="auto"/>
              <w:rPr>
                <w:rFonts w:hint="default"/>
                <w:b w:val="1"/>
              </w:rPr>
            </w:pPr>
            <w:r>
              <w:rPr>
                <w:rFonts w:hint="default"/>
                <w:b w:val="1"/>
              </w:rPr>
              <w:t>◀</w:t>
            </w:r>
            <w:r>
              <w:rPr>
                <w:rFonts w:hint="default"/>
                <w:b w:val="1"/>
              </w:rPr>
              <w:t>重症化予防（がん以外）</w:t>
            </w:r>
          </w:p>
          <w:p>
            <w:pPr>
              <w:pStyle w:val="0"/>
              <w:spacing w:line="276" w:lineRule="auto"/>
              <w:rPr>
                <w:rFonts w:hint="default"/>
                <w:b w:val="1"/>
              </w:rPr>
            </w:pPr>
          </w:p>
        </w:tc>
      </w:tr>
    </w:tbl>
    <w:p>
      <w:pPr>
        <w:pStyle w:val="0"/>
        <w:jc w:val="center"/>
        <w:rPr>
          <w:rFonts w:hint="default"/>
        </w:rPr>
      </w:pPr>
      <w:r>
        <w:rPr>
          <w:rFonts w:hint="eastAsia"/>
        </w:rPr>
        <w:t>▲</w:t>
      </w:r>
    </w:p>
    <w:p>
      <w:pPr>
        <w:pStyle w:val="0"/>
        <w:jc w:val="center"/>
        <w:rPr>
          <w:rFonts w:hint="default"/>
        </w:rPr>
      </w:pPr>
      <w:r>
        <w:rPr>
          <w:rFonts w:hint="eastAsia"/>
        </w:rPr>
        <w:t>生活習慣病予備群該当者の減少</w:t>
      </w:r>
    </w:p>
    <w:tbl>
      <w:tblPr>
        <w:tblStyle w:val="172"/>
        <w:tblW w:w="7958" w:type="dxa"/>
        <w:tblInd w:w="704" w:type="dxa"/>
        <w:tblLayout w:type="fixed"/>
        <w:tblLook w:firstRow="1" w:lastRow="0" w:firstColumn="1" w:lastColumn="0" w:noHBand="0" w:noVBand="1" w:val="04A0"/>
      </w:tblPr>
      <w:tblGrid>
        <w:gridCol w:w="3979"/>
        <w:gridCol w:w="3979"/>
      </w:tblGrid>
      <w:tr>
        <w:trPr>
          <w:trHeight w:val="20" w:hRule="atLeast"/>
        </w:trPr>
        <w:tc>
          <w:tcPr>
            <w:tcW w:w="3979" w:type="dxa"/>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長期目標</w:t>
            </w:r>
          </w:p>
        </w:tc>
        <w:tc>
          <w:tcPr>
            <w:tcW w:w="3979" w:type="dxa"/>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第</w:t>
            </w:r>
            <w:r>
              <w:rPr>
                <w:rFonts w:hint="eastAsia"/>
                <w:b w:val="1"/>
              </w:rPr>
              <w:t>3</w:t>
            </w:r>
            <w:r>
              <w:rPr>
                <w:rFonts w:hint="eastAsia"/>
                <w:b w:val="1"/>
              </w:rPr>
              <w:t>期計画における取組</w:t>
            </w:r>
          </w:p>
        </w:tc>
      </w:tr>
      <w:tr>
        <w:trPr>
          <w:trHeight w:val="20" w:hRule="atLeast"/>
        </w:trPr>
        <w:tc>
          <w:tcPr>
            <w:tcW w:w="3979" w:type="dxa"/>
            <w:shd w:val="clear" w:color="auto" w:fill="auto"/>
            <w:tcMar>
              <w:top w:w="40" w:type="dxa"/>
              <w:left w:w="40" w:type="dxa"/>
              <w:bottom w:w="40" w:type="dxa"/>
              <w:right w:w="40" w:type="dxa"/>
            </w:tcMar>
            <w:vAlign w:val="center"/>
          </w:tcPr>
          <w:p>
            <w:pPr>
              <w:pStyle w:val="0"/>
              <w:spacing w:line="276" w:lineRule="auto"/>
              <w:rPr>
                <w:rFonts w:hint="eastAsia"/>
                <w:b w:val="1"/>
              </w:rPr>
            </w:pPr>
            <w:r>
              <w:rPr>
                <w:rFonts w:hint="eastAsia"/>
                <w:b w:val="1"/>
              </w:rPr>
              <w:t>メタボリックシンドロームの減少を通じて、生活習慣病を予防します</w:t>
            </w:r>
          </w:p>
        </w:tc>
        <w:tc>
          <w:tcPr>
            <w:tcW w:w="3979" w:type="dxa"/>
            <w:shd w:val="clear" w:color="auto" w:fill="auto"/>
            <w:tcMar>
              <w:top w:w="40" w:type="dxa"/>
              <w:left w:w="40" w:type="dxa"/>
              <w:bottom w:w="40" w:type="dxa"/>
              <w:right w:w="40" w:type="dxa"/>
            </w:tcMar>
            <w:vAlign w:val="center"/>
          </w:tcPr>
          <w:p>
            <w:pPr>
              <w:pStyle w:val="0"/>
              <w:spacing w:line="276" w:lineRule="auto"/>
              <w:rPr>
                <w:rFonts w:hint="default"/>
                <w:b w:val="1"/>
              </w:rPr>
            </w:pPr>
            <w:r>
              <w:rPr>
                <w:rFonts w:hint="default"/>
                <w:b w:val="1"/>
              </w:rPr>
              <w:t>◀</w:t>
            </w:r>
            <w:r>
              <w:rPr>
                <w:rFonts w:hint="default"/>
                <w:b w:val="1"/>
              </w:rPr>
              <w:t>生活習慣病発症予防・保健指導</w:t>
            </w:r>
          </w:p>
          <w:p>
            <w:pPr>
              <w:pStyle w:val="0"/>
              <w:spacing w:line="276" w:lineRule="auto"/>
              <w:rPr>
                <w:rFonts w:hint="default"/>
                <w:b w:val="1"/>
              </w:rPr>
            </w:pPr>
          </w:p>
        </w:tc>
      </w:tr>
    </w:tbl>
    <w:p>
      <w:pPr>
        <w:pStyle w:val="0"/>
        <w:rPr>
          <w:rFonts w:hint="default"/>
        </w:rPr>
      </w:pPr>
      <w:r>
        <w:rPr>
          <w:rFonts w:hint="eastAsia"/>
        </w:rPr>
        <w:t>　　　　　　▲　　　　　　　　　　　　　　　　　　　　　　　　　　　　　　　　　　▲</w:t>
      </w:r>
    </w:p>
    <w:p>
      <w:pPr>
        <w:pStyle w:val="0"/>
        <w:rPr>
          <w:rFonts w:hint="default"/>
        </w:rPr>
      </w:pPr>
      <w:r>
        <w:rPr>
          <w:rFonts w:hint="eastAsia"/>
        </w:rPr>
        <w:t>不健康な生活習慣の該当者の減少　　　　　　　　　　　　　　　　　　　　　　健康状態の早期把握</w:t>
      </w:r>
    </w:p>
    <w:p>
      <w:pPr>
        <w:pStyle w:val="0"/>
        <w:rPr>
          <w:rFonts w:hint="default"/>
        </w:rPr>
      </w:pPr>
      <w:r>
        <w:rPr>
          <w:rFonts w:hint="eastAsia"/>
          <w:sz w:val="18"/>
        </w:rPr>
        <mc:AlternateContent>
          <mc:Choice Requires="wps">
            <w:drawing>
              <wp:anchor distT="0" distB="0" distL="114300" distR="114300" simplePos="0" relativeHeight="4" behindDoc="0" locked="0" layoutInCell="1" hidden="0" allowOverlap="1">
                <wp:simplePos x="0" y="0"/>
                <wp:positionH relativeFrom="margin">
                  <wp:posOffset>172085</wp:posOffset>
                </wp:positionH>
                <wp:positionV relativeFrom="paragraph">
                  <wp:posOffset>26670</wp:posOffset>
                </wp:positionV>
                <wp:extent cx="71755" cy="647700"/>
                <wp:effectExtent l="635" t="635" r="29845" b="10795"/>
                <wp:wrapNone/>
                <wp:docPr id="1102" name="下矢印 8"/>
                <a:graphic xmlns:a="http://schemas.openxmlformats.org/drawingml/2006/main">
                  <a:graphicData uri="http://schemas.microsoft.com/office/word/2010/wordprocessingShape">
                    <wps:wsp>
                      <wps:cNvPr id="1102" name="下矢印 8"/>
                      <wps:cNvSpPr/>
                      <wps:spPr>
                        <a:xfrm rot="10800000">
                          <a:off x="0" y="0"/>
                          <a:ext cx="71755" cy="647700"/>
                        </a:xfrm>
                        <a:prstGeom prst="downArrow">
                          <a:avLst/>
                        </a:prstGeom>
                        <a:solidFill>
                          <a:srgbClr val="000000"/>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8" style="rotation:180;mso-position-vertical-relative:text;z-index:4;mso-wrap-distance-left:9pt;width:5.65pt;height:51pt;mso-position-horizontal-relative:margin;position:absolute;margin-left:13.55pt;margin-top:2.1pt;mso-wrap-distance-bottom:0pt;mso-wrap-distance-right:9pt;mso-wrap-distance-top:0pt;" o:spid="_x0000_s1102" o:allowincell="t" o:allowoverlap="t" filled="t" fillcolor="#000000" stroked="t" strokecolor="#000000" strokeweight="0.75pt" o:spt="67" type="#_x0000_t67" adj="10800,5400">
                <v:fill/>
                <v:stroke linestyle="single" endcap="flat" dashstyle="solid" filltype="solid"/>
                <v:textbox style="layout-flow:horizontal;"/>
                <v:imagedata o:title=""/>
                <w10:wrap type="none" anchorx="margin" anchory="text"/>
              </v:shape>
            </w:pict>
          </mc:Fallback>
        </mc:AlternateContent>
      </w:r>
      <w:r>
        <w:rPr>
          <w:rFonts w:hint="eastAsia"/>
        </w:rPr>
        <w:t>　　　　　　　　　　　　　　　　　　　　　　　　　　　　　　　　　　　　　　　　　▲</w:t>
      </w:r>
    </w:p>
    <w:tbl>
      <w:tblPr>
        <w:tblStyle w:val="172"/>
        <w:tblW w:w="7958" w:type="dxa"/>
        <w:tblInd w:w="704" w:type="dxa"/>
        <w:tblLayout w:type="fixed"/>
        <w:tblLook w:firstRow="1" w:lastRow="0" w:firstColumn="1" w:lastColumn="0" w:noHBand="0" w:noVBand="1" w:val="04A0"/>
      </w:tblPr>
      <w:tblGrid>
        <w:gridCol w:w="3979"/>
        <w:gridCol w:w="3979"/>
      </w:tblGrid>
      <w:tr>
        <w:trPr>
          <w:trHeight w:val="20" w:hRule="atLeast"/>
        </w:trPr>
        <w:tc>
          <w:tcPr>
            <w:tcW w:w="3979" w:type="dxa"/>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長期目標</w:t>
            </w:r>
          </w:p>
        </w:tc>
        <w:tc>
          <w:tcPr>
            <w:tcW w:w="3979" w:type="dxa"/>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第</w:t>
            </w:r>
            <w:r>
              <w:rPr>
                <w:rFonts w:hint="eastAsia"/>
                <w:b w:val="1"/>
              </w:rPr>
              <w:t>3</w:t>
            </w:r>
            <w:r>
              <w:rPr>
                <w:rFonts w:hint="eastAsia"/>
                <w:b w:val="1"/>
              </w:rPr>
              <w:t>期計画における取組</w:t>
            </w:r>
          </w:p>
        </w:tc>
      </w:tr>
      <w:tr>
        <w:trPr>
          <w:trHeight w:val="20" w:hRule="atLeast"/>
        </w:trPr>
        <w:tc>
          <w:tcPr>
            <w:tcW w:w="3979" w:type="dxa"/>
            <w:shd w:val="clear" w:color="auto" w:fill="auto"/>
            <w:tcMar>
              <w:top w:w="40" w:type="dxa"/>
              <w:left w:w="40" w:type="dxa"/>
              <w:bottom w:w="40" w:type="dxa"/>
              <w:right w:w="40" w:type="dxa"/>
            </w:tcMar>
            <w:vAlign w:val="center"/>
          </w:tcPr>
          <w:p>
            <w:pPr>
              <w:pStyle w:val="0"/>
              <w:spacing w:line="276" w:lineRule="auto"/>
              <w:rPr>
                <w:rFonts w:hint="eastAsia"/>
                <w:b w:val="1"/>
              </w:rPr>
            </w:pPr>
            <w:r>
              <w:rPr>
                <w:rFonts w:hint="eastAsia"/>
                <w:b w:val="1"/>
              </w:rPr>
              <w:t>異常の早期発見、早期治療を目指します</w:t>
            </w:r>
          </w:p>
        </w:tc>
        <w:tc>
          <w:tcPr>
            <w:tcW w:w="3979" w:type="dxa"/>
            <w:shd w:val="clear" w:color="auto" w:fill="auto"/>
            <w:tcMar>
              <w:top w:w="40" w:type="dxa"/>
              <w:left w:w="40" w:type="dxa"/>
              <w:bottom w:w="40" w:type="dxa"/>
              <w:right w:w="40" w:type="dxa"/>
            </w:tcMar>
            <w:vAlign w:val="center"/>
          </w:tcPr>
          <w:p>
            <w:pPr>
              <w:pStyle w:val="0"/>
              <w:spacing w:line="276" w:lineRule="auto"/>
              <w:rPr>
                <w:rFonts w:hint="eastAsia"/>
                <w:b w:val="1"/>
              </w:rPr>
            </w:pPr>
            <w:r>
              <w:rPr>
                <w:rFonts w:hint="default"/>
                <w:b w:val="1"/>
              </w:rPr>
              <w:t>◀</w:t>
            </w:r>
            <w:r>
              <w:rPr>
                <w:rFonts w:hint="default"/>
                <w:b w:val="1"/>
              </w:rPr>
              <w:t>早期発見・特定健診</w:t>
            </w:r>
          </w:p>
        </w:tc>
      </w:tr>
    </w:tbl>
    <w:p>
      <w:pPr>
        <w:pStyle w:val="0"/>
        <w:jc w:val="center"/>
        <w:rPr>
          <w:rFonts w:hint="default"/>
        </w:rPr>
      </w:pPr>
    </w:p>
    <w:tbl>
      <w:tblPr>
        <w:tblStyle w:val="172"/>
        <w:tblW w:w="5000" w:type="pct"/>
        <w:tblInd w:w="0" w:type="dxa"/>
        <w:tblLayout w:type="fixed"/>
        <w:tblLook w:firstRow="1" w:lastRow="0" w:firstColumn="1" w:lastColumn="0" w:noHBand="0" w:noVBand="1" w:val="04A0"/>
      </w:tblPr>
      <w:tblGrid>
        <w:gridCol w:w="4687"/>
        <w:gridCol w:w="4688"/>
      </w:tblGrid>
      <w:tr>
        <w:trPr>
          <w:trHeight w:val="20" w:hRule="atLeast"/>
        </w:trPr>
        <w:tc>
          <w:tcPr>
            <w:tcW w:w="25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長期目標</w:t>
            </w:r>
          </w:p>
        </w:tc>
        <w:tc>
          <w:tcPr>
            <w:tcW w:w="25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第</w:t>
            </w:r>
            <w:r>
              <w:rPr>
                <w:rFonts w:hint="eastAsia"/>
                <w:b w:val="1"/>
              </w:rPr>
              <w:t>3</w:t>
            </w:r>
            <w:r>
              <w:rPr>
                <w:rFonts w:hint="eastAsia"/>
                <w:b w:val="1"/>
              </w:rPr>
              <w:t>期計画における取組</w:t>
            </w:r>
          </w:p>
        </w:tc>
      </w:tr>
      <w:tr>
        <w:trPr>
          <w:trHeight w:val="20" w:hRule="atLeast"/>
        </w:trPr>
        <w:tc>
          <w:tcPr>
            <w:tcW w:w="2500" w:type="pct"/>
            <w:shd w:val="clear" w:color="auto" w:fill="auto"/>
            <w:tcMar>
              <w:top w:w="40" w:type="dxa"/>
              <w:left w:w="40" w:type="dxa"/>
              <w:bottom w:w="40" w:type="dxa"/>
              <w:right w:w="40" w:type="dxa"/>
            </w:tcMar>
            <w:vAlign w:val="center"/>
          </w:tcPr>
          <w:p>
            <w:pPr>
              <w:pStyle w:val="0"/>
              <w:spacing w:line="276" w:lineRule="auto"/>
              <w:rPr>
                <w:rFonts w:hint="eastAsia"/>
                <w:b w:val="1"/>
              </w:rPr>
            </w:pPr>
            <w:r>
              <w:rPr>
                <w:rFonts w:hint="eastAsia"/>
                <w:b w:val="1"/>
              </w:rPr>
              <w:t>高齢者の社会参加の促進を促します</w:t>
            </w:r>
          </w:p>
        </w:tc>
        <w:tc>
          <w:tcPr>
            <w:tcW w:w="2500" w:type="pct"/>
            <w:shd w:val="clear" w:color="auto" w:fill="auto"/>
            <w:tcMar>
              <w:top w:w="40" w:type="dxa"/>
              <w:left w:w="40" w:type="dxa"/>
              <w:bottom w:w="40" w:type="dxa"/>
              <w:right w:w="40" w:type="dxa"/>
            </w:tcMar>
            <w:vAlign w:val="center"/>
          </w:tcPr>
          <w:p>
            <w:pPr>
              <w:pStyle w:val="0"/>
              <w:spacing w:line="276" w:lineRule="auto"/>
              <w:rPr>
                <w:rFonts w:hint="default"/>
                <w:b w:val="1"/>
              </w:rPr>
            </w:pPr>
            <w:r>
              <w:rPr>
                <w:rFonts w:hint="default"/>
                <w:b w:val="1"/>
              </w:rPr>
              <w:t>◀</w:t>
            </w:r>
            <w:r>
              <w:rPr>
                <w:rFonts w:hint="default"/>
                <w:b w:val="1"/>
              </w:rPr>
              <w:t>健康づくり</w:t>
            </w:r>
          </w:p>
          <w:p>
            <w:pPr>
              <w:pStyle w:val="0"/>
              <w:spacing w:line="276" w:lineRule="auto"/>
              <w:rPr>
                <w:rFonts w:hint="default"/>
                <w:b w:val="1"/>
              </w:rPr>
            </w:pPr>
            <w:r>
              <w:rPr>
                <w:rFonts w:hint="default"/>
                <w:b w:val="1"/>
              </w:rPr>
              <w:t>◀</w:t>
            </w:r>
            <w:r>
              <w:rPr>
                <w:rFonts w:hint="default"/>
                <w:b w:val="1"/>
              </w:rPr>
              <w:t>介護予防・一体的実施</w:t>
            </w:r>
          </w:p>
        </w:tc>
      </w:tr>
    </w:tbl>
    <w:p>
      <w:pPr>
        <w:pStyle w:val="0"/>
        <w:jc w:val="center"/>
        <w:rPr>
          <w:rFonts w:hint="default"/>
        </w:rPr>
      </w:pPr>
      <w:r>
        <w:rPr>
          <w:rFonts w:hint="eastAsia"/>
        </w:rPr>
        <w:t>▲</w:t>
      </w:r>
    </w:p>
    <w:p>
      <w:pPr>
        <w:pStyle w:val="0"/>
        <w:jc w:val="center"/>
        <w:rPr>
          <w:rFonts w:hint="default"/>
        </w:rPr>
      </w:pPr>
      <w:r>
        <w:rPr>
          <w:rFonts w:hint="eastAsia"/>
        </w:rPr>
        <w:t>その他</w:t>
      </w:r>
      <w:r>
        <w:rPr>
          <w:rFonts w:hint="eastAsia"/>
        </w:rPr>
        <w:t>(</w:t>
      </w:r>
      <w:r>
        <w:rPr>
          <w:rFonts w:hint="eastAsia"/>
        </w:rPr>
        <w:t>医療費適正化</w:t>
      </w:r>
      <w:r>
        <w:rPr>
          <w:rFonts w:hint="eastAsia"/>
        </w:rPr>
        <w:t>)</w:t>
      </w:r>
    </w:p>
    <w:tbl>
      <w:tblPr>
        <w:tblStyle w:val="172"/>
        <w:tblW w:w="5000" w:type="pct"/>
        <w:tblInd w:w="0" w:type="dxa"/>
        <w:tblLayout w:type="fixed"/>
        <w:tblLook w:firstRow="1" w:lastRow="0" w:firstColumn="1" w:lastColumn="0" w:noHBand="0" w:noVBand="1" w:val="04A0"/>
      </w:tblPr>
      <w:tblGrid>
        <w:gridCol w:w="4687"/>
        <w:gridCol w:w="4688"/>
      </w:tblGrid>
      <w:tr>
        <w:trPr>
          <w:trHeight w:val="20" w:hRule="atLeast"/>
        </w:trPr>
        <w:tc>
          <w:tcPr>
            <w:tcW w:w="25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長期目標</w:t>
            </w:r>
          </w:p>
        </w:tc>
        <w:tc>
          <w:tcPr>
            <w:tcW w:w="2500" w:type="pct"/>
            <w:shd w:val="clear" w:color="auto" w:fill="CCD6FF"/>
            <w:tcMar>
              <w:top w:w="40" w:type="dxa"/>
              <w:left w:w="40" w:type="dxa"/>
              <w:bottom w:w="40" w:type="dxa"/>
              <w:right w:w="40" w:type="dxa"/>
            </w:tcMar>
            <w:vAlign w:val="center"/>
          </w:tcPr>
          <w:p>
            <w:pPr>
              <w:pStyle w:val="0"/>
              <w:spacing w:line="276" w:lineRule="auto"/>
              <w:jc w:val="center"/>
              <w:rPr>
                <w:rFonts w:hint="default"/>
                <w:b w:val="1"/>
              </w:rPr>
            </w:pPr>
            <w:r>
              <w:rPr>
                <w:rFonts w:hint="eastAsia"/>
                <w:b w:val="1"/>
              </w:rPr>
              <w:t>第</w:t>
            </w:r>
            <w:r>
              <w:rPr>
                <w:rFonts w:hint="eastAsia"/>
                <w:b w:val="1"/>
              </w:rPr>
              <w:t>3</w:t>
            </w:r>
            <w:r>
              <w:rPr>
                <w:rFonts w:hint="eastAsia"/>
                <w:b w:val="1"/>
              </w:rPr>
              <w:t>期計画における取組</w:t>
            </w:r>
          </w:p>
        </w:tc>
      </w:tr>
      <w:tr>
        <w:trPr>
          <w:trHeight w:val="20" w:hRule="atLeast"/>
        </w:trPr>
        <w:tc>
          <w:tcPr>
            <w:tcW w:w="2500" w:type="pct"/>
            <w:shd w:val="clear" w:color="auto" w:fill="auto"/>
            <w:tcMar>
              <w:top w:w="40" w:type="dxa"/>
              <w:left w:w="40" w:type="dxa"/>
              <w:bottom w:w="40" w:type="dxa"/>
              <w:right w:w="40" w:type="dxa"/>
            </w:tcMar>
            <w:vAlign w:val="center"/>
          </w:tcPr>
          <w:p>
            <w:pPr>
              <w:pStyle w:val="0"/>
              <w:spacing w:line="276" w:lineRule="auto"/>
              <w:rPr>
                <w:rFonts w:hint="default"/>
                <w:b w:val="1"/>
              </w:rPr>
            </w:pPr>
            <w:r>
              <w:rPr>
                <w:rFonts w:hint="eastAsia"/>
                <w:b w:val="1"/>
              </w:rPr>
              <w:t>健康づくりに関する正しい知識を持ち、住民自ら健康な生活を営めます</w:t>
            </w:r>
          </w:p>
        </w:tc>
        <w:tc>
          <w:tcPr>
            <w:tcW w:w="2500" w:type="pct"/>
            <w:shd w:val="clear" w:color="auto" w:fill="auto"/>
            <w:tcMar>
              <w:top w:w="40" w:type="dxa"/>
              <w:left w:w="40" w:type="dxa"/>
              <w:bottom w:w="40" w:type="dxa"/>
              <w:right w:w="40" w:type="dxa"/>
            </w:tcMar>
            <w:vAlign w:val="center"/>
          </w:tcPr>
          <w:p>
            <w:pPr>
              <w:pStyle w:val="0"/>
              <w:spacing w:line="276" w:lineRule="auto"/>
              <w:rPr>
                <w:rFonts w:hint="default"/>
                <w:b w:val="1"/>
              </w:rPr>
            </w:pPr>
            <w:r>
              <w:rPr>
                <w:rFonts w:hint="default"/>
                <w:b w:val="1"/>
              </w:rPr>
              <w:t>◀</w:t>
            </w:r>
            <w:r>
              <w:rPr>
                <w:rFonts w:hint="default"/>
                <w:b w:val="1"/>
              </w:rPr>
              <w:t>健康づくり</w:t>
            </w:r>
          </w:p>
          <w:p>
            <w:pPr>
              <w:pStyle w:val="0"/>
              <w:spacing w:line="276" w:lineRule="auto"/>
              <w:rPr>
                <w:rFonts w:hint="default"/>
                <w:b w:val="1"/>
              </w:rPr>
            </w:pPr>
            <w:r>
              <w:rPr>
                <w:rFonts w:hint="eastAsia"/>
                <w:b w:val="1"/>
              </w:rPr>
              <w:t>◀その他</w:t>
            </w:r>
            <w:r>
              <w:rPr>
                <w:rFonts w:hint="eastAsia"/>
                <w:b w:val="1"/>
              </w:rPr>
              <w:t>(</w:t>
            </w:r>
            <w:r>
              <w:rPr>
                <w:rFonts w:hint="eastAsia"/>
                <w:b w:val="1"/>
              </w:rPr>
              <w:t>医療費適正化</w:t>
            </w:r>
            <w:r>
              <w:rPr>
                <w:rFonts w:hint="eastAsia"/>
                <w:b w:val="1"/>
              </w:rPr>
              <w:t>)</w:t>
            </w:r>
          </w:p>
        </w:tc>
      </w:tr>
    </w:tbl>
    <w:p>
      <w:pPr>
        <w:pStyle w:val="0"/>
        <w:rPr>
          <w:rFonts w:hint="default"/>
        </w:rPr>
      </w:pPr>
      <w:r>
        <w:rPr>
          <w:rFonts w:hint="default"/>
        </w:rPr>
        <w:br w:type="page"/>
      </w:r>
    </w:p>
    <w:p>
      <w:pPr>
        <w:pStyle w:val="1"/>
        <w:rPr>
          <w:rFonts w:hint="default"/>
        </w:rPr>
      </w:pPr>
      <w:bookmarkStart w:id="219" w:name="_Ref156201414"/>
      <w:bookmarkStart w:id="220" w:name="_Toc162548733"/>
      <w:r>
        <w:rPr>
          <w:rFonts w:hint="default"/>
        </w:rPr>
        <w:t>計画の評価・見直し</w:t>
      </w:r>
      <w:bookmarkEnd w:id="219"/>
      <w:bookmarkEnd w:id="220"/>
    </w:p>
    <w:p>
      <w:pPr>
        <w:pStyle w:val="39"/>
        <w:ind w:firstLine="200"/>
        <w:rPr>
          <w:rFonts w:hint="default"/>
        </w:rPr>
      </w:pPr>
      <w:r>
        <w:rPr>
          <w:rFonts w:hint="eastAsia"/>
        </w:rPr>
        <w:fldChar w:fldCharType="begin"/>
      </w:r>
      <w:r>
        <w:rPr>
          <w:rFonts w:hint="eastAsia"/>
        </w:rPr>
        <w:instrText xml:space="preserve">REF _Ref156201414 \h \n </w:instrText>
      </w:r>
      <w:r>
        <w:rPr>
          <w:rFonts w:hint="eastAsia"/>
        </w:rPr>
        <w:fldChar w:fldCharType="separate"/>
      </w:r>
      <w:r>
        <w:rPr>
          <w:rFonts w:hint="eastAsia"/>
        </w:rPr>
        <w:t>第</w:t>
      </w:r>
      <w:r>
        <w:rPr>
          <w:rFonts w:hint="default"/>
        </w:rPr>
        <w:t>6</w:t>
      </w:r>
      <w:r>
        <w:rPr>
          <w:rFonts w:hint="default"/>
        </w:rPr>
        <w:t>章</w:t>
      </w:r>
      <w:r>
        <w:rPr>
          <w:rFonts w:hint="eastAsia"/>
        </w:rPr>
        <w:fldChar w:fldCharType="end"/>
      </w:r>
      <w:r>
        <w:rPr>
          <w:rFonts w:hint="eastAsia"/>
        </w:rPr>
        <w:t>から</w:t>
      </w:r>
      <w:r>
        <w:rPr>
          <w:rFonts w:hint="eastAsia"/>
        </w:rPr>
        <w:fldChar w:fldCharType="begin"/>
      </w:r>
      <w:r>
        <w:rPr>
          <w:rFonts w:hint="eastAsia"/>
        </w:rPr>
        <w:instrText xml:space="preserve">REF _Ref130902357 \r </w:instrText>
      </w:r>
      <w:r>
        <w:rPr>
          <w:rFonts w:hint="eastAsia"/>
        </w:rPr>
        <w:fldChar w:fldCharType="separate"/>
      </w:r>
      <w:r>
        <w:rPr>
          <w:rFonts w:hint="eastAsia"/>
        </w:rPr>
        <w:t>第</w:t>
      </w:r>
      <w:r>
        <w:rPr>
          <w:rFonts w:hint="default"/>
        </w:rPr>
        <w:t>9</w:t>
      </w:r>
      <w:r>
        <w:rPr>
          <w:rFonts w:hint="default"/>
        </w:rPr>
        <w:t>章</w:t>
      </w:r>
      <w:r>
        <w:rPr>
          <w:rFonts w:hint="eastAsia"/>
        </w:rPr>
        <w:fldChar w:fldCharType="end"/>
      </w:r>
      <w:r>
        <w:rPr>
          <w:rFonts w:hint="eastAsia"/>
        </w:rPr>
        <w:t>はデータヘルス計画策定の手引きに従った運用とする。以下、手引きより抜粋する。</w:t>
      </w:r>
    </w:p>
    <w:p>
      <w:pPr>
        <w:pStyle w:val="2"/>
        <w:rPr>
          <w:rFonts w:hint="default"/>
        </w:rPr>
      </w:pPr>
      <w:bookmarkStart w:id="221" w:name="_Toc162548734"/>
      <w:r>
        <w:rPr>
          <w:rFonts w:hint="default"/>
        </w:rPr>
        <w:t>評価の時期</w:t>
      </w:r>
      <w:bookmarkEnd w:id="221"/>
    </w:p>
    <w:p>
      <w:pPr>
        <w:pStyle w:val="3"/>
        <w:rPr>
          <w:rFonts w:hint="default"/>
        </w:rPr>
      </w:pPr>
      <w:bookmarkStart w:id="222" w:name="_Toc162548735"/>
      <w:r>
        <w:rPr>
          <w:rFonts w:hint="default"/>
        </w:rPr>
        <w:t>個別事業計画の</w:t>
      </w:r>
      <w:r>
        <w:rPr>
          <w:rFonts w:hint="eastAsia"/>
        </w:rPr>
        <w:t>評価・</w:t>
      </w:r>
      <w:r>
        <w:rPr>
          <w:rFonts w:hint="default"/>
        </w:rPr>
        <w:t>見直し</w:t>
      </w:r>
      <w:bookmarkEnd w:id="222"/>
    </w:p>
    <w:p>
      <w:pPr>
        <w:pStyle w:val="39"/>
        <w:ind w:firstLine="200"/>
        <w:rPr>
          <w:rFonts w:hint="default"/>
        </w:rPr>
      </w:pPr>
      <w:r>
        <w:rPr>
          <w:rFonts w:hint="default"/>
        </w:rPr>
        <w:t>個別の保健事業の評価は年度ごとに行うことを基本として、計画策定時に設定した保健事業ごとの評価指標に基づき、事業の効果や目標の達成状況を確認する。目標の達成状況が想定に達していない場合は、ストラクチャーやプロセスが適切であったか等を確認の上、目標を達成できなかった原因や事業の必要性等を検討して、次年度の保健事業の実施やデータヘルス計画の見直しに反映させる。</w:t>
      </w:r>
    </w:p>
    <w:p>
      <w:pPr>
        <w:pStyle w:val="3"/>
        <w:rPr>
          <w:rFonts w:hint="default"/>
        </w:rPr>
      </w:pPr>
      <w:bookmarkStart w:id="223" w:name="_Toc162548736"/>
      <w:r>
        <w:rPr>
          <w:rFonts w:hint="default"/>
        </w:rPr>
        <w:t>データヘルス計画の</w:t>
      </w:r>
      <w:r>
        <w:rPr>
          <w:rFonts w:hint="eastAsia"/>
        </w:rPr>
        <w:t>評価・</w:t>
      </w:r>
      <w:r>
        <w:rPr>
          <w:rFonts w:hint="default"/>
        </w:rPr>
        <w:t>見直し</w:t>
      </w:r>
      <w:bookmarkEnd w:id="223"/>
    </w:p>
    <w:p>
      <w:pPr>
        <w:pStyle w:val="39"/>
        <w:ind w:firstLine="200"/>
        <w:rPr>
          <w:rFonts w:hint="default"/>
        </w:rPr>
      </w:pPr>
      <w:r>
        <w:rPr>
          <w:rFonts w:hint="default"/>
        </w:rPr>
        <w:t>設定した評価指標に基づき、計画の最終年度のみならず、中間時点等計画期間の途中で進捗確認</w:t>
      </w:r>
      <w:r>
        <w:rPr>
          <w:rFonts w:hint="eastAsia"/>
        </w:rPr>
        <w:t>及び</w:t>
      </w:r>
      <w:r>
        <w:rPr>
          <w:rFonts w:hint="default"/>
        </w:rPr>
        <w:t>中間評価を実施する。また、計画の最終年度においては、その次の期の計画の策定を円滑に行うため、当該最終年度の上半期に仮評価を行う。</w:t>
      </w:r>
    </w:p>
    <w:p>
      <w:pPr>
        <w:pStyle w:val="0"/>
        <w:rPr>
          <w:rFonts w:hint="default"/>
        </w:rPr>
      </w:pPr>
    </w:p>
    <w:p>
      <w:pPr>
        <w:pStyle w:val="2"/>
        <w:rPr>
          <w:rFonts w:hint="default"/>
        </w:rPr>
      </w:pPr>
      <w:bookmarkStart w:id="224" w:name="_Toc162548737"/>
      <w:r>
        <w:rPr>
          <w:rFonts w:hint="default"/>
        </w:rPr>
        <w:t>評価方法・体制</w:t>
      </w:r>
      <w:bookmarkEnd w:id="224"/>
    </w:p>
    <w:p>
      <w:pPr>
        <w:pStyle w:val="39"/>
        <w:ind w:firstLine="200"/>
        <w:rPr>
          <w:rFonts w:hint="default"/>
        </w:rPr>
      </w:pPr>
      <w:r>
        <w:rPr>
          <w:rFonts w:hint="default"/>
        </w:rPr>
        <w:t>計画は、中長期的な計画運営を行うものであることを踏まえ、短期では評価が難しいアウトカム（成果）指標を中心とした評価指標による評価を行う。評価に当たっては、市町村国保における保健事業の評価を広域連合と連携して行うなど、必要に応じ他の保険者等との連携・協力体制を整備する。</w:t>
      </w:r>
    </w:p>
    <w:p>
      <w:pPr>
        <w:pStyle w:val="0"/>
        <w:tabs>
          <w:tab w:val="right" w:leader="none" w:pos="10204"/>
        </w:tabs>
        <w:rPr>
          <w:rFonts w:hint="default"/>
        </w:rPr>
      </w:pPr>
    </w:p>
    <w:p>
      <w:pPr>
        <w:pStyle w:val="1"/>
        <w:rPr>
          <w:rFonts w:hint="default"/>
        </w:rPr>
      </w:pPr>
      <w:bookmarkStart w:id="225" w:name="_Toc162548738"/>
      <w:r>
        <w:rPr>
          <w:rFonts w:hint="default"/>
        </w:rPr>
        <w:t>計画の公表・周知</w:t>
      </w:r>
      <w:bookmarkEnd w:id="225"/>
    </w:p>
    <w:p>
      <w:pPr>
        <w:pStyle w:val="39"/>
        <w:ind w:firstLine="200"/>
        <w:rPr>
          <w:rFonts w:hint="default"/>
        </w:rPr>
      </w:pPr>
      <w:r>
        <w:rPr>
          <w:rFonts w:hint="default"/>
        </w:rPr>
        <w:t>本計画は、被保険者や保健医療関係者等が容易に知り得るべきものとすることが重要であり、このため、国指針において、公表するものとされている。具体的</w:t>
      </w:r>
      <w:r>
        <w:rPr>
          <w:rFonts w:hint="eastAsia"/>
        </w:rPr>
        <w:t>に</w:t>
      </w:r>
      <w:r>
        <w:rPr>
          <w:rFonts w:hint="default"/>
        </w:rPr>
        <w:t>は、ホームページや広報誌を通じた周知のほか、都道府県、国保連、保健医療関係者経由で医療機関等に周知し、配布する。また、これらの公表</w:t>
      </w:r>
      <w:r>
        <w:rPr>
          <w:rFonts w:hint="eastAsia"/>
        </w:rPr>
        <w:t>・</w:t>
      </w:r>
      <w:r>
        <w:rPr>
          <w:rFonts w:hint="default"/>
        </w:rPr>
        <w:t>配布に当たって</w:t>
      </w:r>
      <w:r>
        <w:rPr>
          <w:rFonts w:hint="eastAsia"/>
        </w:rPr>
        <w:t>は、被保険者、保健医療</w:t>
      </w:r>
      <w:r>
        <w:rPr>
          <w:rFonts w:hint="default"/>
        </w:rPr>
        <w:t>関係者の理解を促進するため、計画の要旨等をまとめた概要版を策定し併せて公表する。</w:t>
      </w:r>
    </w:p>
    <w:p>
      <w:pPr>
        <w:pStyle w:val="0"/>
        <w:rPr>
          <w:rFonts w:hint="default"/>
        </w:rPr>
      </w:pPr>
    </w:p>
    <w:p>
      <w:pPr>
        <w:pStyle w:val="1"/>
        <w:rPr>
          <w:rFonts w:hint="default"/>
        </w:rPr>
      </w:pPr>
      <w:bookmarkStart w:id="226" w:name="_Toc162548739"/>
      <w:r>
        <w:rPr>
          <w:rFonts w:hint="default"/>
        </w:rPr>
        <w:t>個人情報の取扱い</w:t>
      </w:r>
      <w:bookmarkEnd w:id="226"/>
    </w:p>
    <w:p>
      <w:pPr>
        <w:pStyle w:val="39"/>
        <w:ind w:firstLine="200"/>
        <w:rPr>
          <w:rFonts w:hint="default"/>
        </w:rPr>
      </w:pPr>
      <w:r>
        <w:rPr>
          <w:rFonts w:hint="default"/>
        </w:rPr>
        <w:t>計画の策定に当たっては、活用するデータの種類や活用方法が多岐にわたり、特に</w:t>
      </w:r>
      <w:r>
        <w:rPr>
          <w:rFonts w:hint="default"/>
        </w:rPr>
        <w:t>KDB</w:t>
      </w:r>
      <w:r>
        <w:rPr>
          <w:rFonts w:hint="eastAsia"/>
        </w:rPr>
        <w:t>システム</w:t>
      </w:r>
      <w:r>
        <w:rPr>
          <w:rFonts w:hint="default"/>
        </w:rPr>
        <w:t>を活用する場合等には、健診結果やレセプトデータ情報を突合し加工した統計情報と、個別の個人情報とが存在する。</w:t>
      </w:r>
    </w:p>
    <w:p>
      <w:pPr>
        <w:pStyle w:val="39"/>
        <w:ind w:firstLine="200"/>
        <w:rPr>
          <w:rFonts w:hint="default"/>
        </w:rPr>
      </w:pPr>
      <w:r>
        <w:rPr>
          <w:rFonts w:hint="default"/>
        </w:rPr>
        <w:t>特に、健診データやレセプトに関する個人情報は、一般的には</w:t>
      </w:r>
      <w:r>
        <w:rPr>
          <w:rFonts w:hint="eastAsia"/>
        </w:rPr>
        <w:t>「</w:t>
      </w:r>
      <w:r>
        <w:rPr>
          <w:rFonts w:hint="default"/>
        </w:rPr>
        <w:t>個人情報の保護に関する法律</w:t>
      </w:r>
      <w:r>
        <w:rPr>
          <w:rFonts w:hint="eastAsia"/>
        </w:rPr>
        <w:t>」</w:t>
      </w:r>
      <w:r>
        <w:rPr>
          <w:rFonts w:hint="default"/>
        </w:rPr>
        <w:t>（平成</w:t>
      </w:r>
      <w:r>
        <w:rPr>
          <w:rFonts w:hint="default"/>
        </w:rPr>
        <w:t>15</w:t>
      </w:r>
      <w:r>
        <w:rPr>
          <w:rFonts w:hint="default"/>
        </w:rPr>
        <w:t>年法律第</w:t>
      </w:r>
      <w:r>
        <w:rPr>
          <w:rFonts w:hint="default"/>
        </w:rPr>
        <w:t>57</w:t>
      </w:r>
      <w:r>
        <w:rPr>
          <w:rFonts w:hint="default"/>
        </w:rPr>
        <w:t>号。以下「個人情報保護法」という。）に定める要配慮個人情報に該当するため、慎重に取扱う。八街市では、個人情報の保護に関する各種法令</w:t>
      </w:r>
      <w:r>
        <w:rPr>
          <w:rFonts w:hint="eastAsia"/>
        </w:rPr>
        <w:t>と</w:t>
      </w:r>
      <w:r>
        <w:rPr>
          <w:rFonts w:hint="default"/>
        </w:rPr>
        <w:t>ガイドラインに基づき、庁内等での利用、外部委託事業者への業務委託等の各場面で、その保有する個人情報の適切な取扱いが確保されるよう措置を講じる。</w:t>
      </w:r>
    </w:p>
    <w:p>
      <w:pPr>
        <w:pStyle w:val="0"/>
        <w:rPr>
          <w:rFonts w:hint="default"/>
        </w:rPr>
      </w:pPr>
      <w:r>
        <w:rPr>
          <w:rFonts w:hint="default"/>
        </w:rPr>
        <w:br w:type="page"/>
      </w:r>
    </w:p>
    <w:p>
      <w:pPr>
        <w:pStyle w:val="1"/>
        <w:rPr>
          <w:rFonts w:hint="default"/>
        </w:rPr>
      </w:pPr>
      <w:bookmarkStart w:id="227" w:name="_Ref130902357"/>
      <w:bookmarkStart w:id="228" w:name="_Toc162548740"/>
      <w:r>
        <w:rPr>
          <w:rFonts w:hint="default"/>
        </w:rPr>
        <w:t>地域包括ケアに係る取組及びその他の留意事項</w:t>
      </w:r>
      <w:bookmarkEnd w:id="227"/>
      <w:bookmarkEnd w:id="228"/>
    </w:p>
    <w:p>
      <w:pPr>
        <w:pStyle w:val="39"/>
        <w:ind w:firstLine="200"/>
        <w:rPr>
          <w:rFonts w:hint="default"/>
        </w:rPr>
      </w:pPr>
      <w:r>
        <w:rPr>
          <w:rFonts w:hint="default"/>
        </w:rPr>
        <w:t>市町村国保では、介護保険サービスを利用する被保険者が相対的に多いという特性があることから、本計画では、国保</w:t>
      </w:r>
      <w:r>
        <w:rPr>
          <w:rFonts w:hint="eastAsia"/>
        </w:rPr>
        <w:t>及び</w:t>
      </w:r>
      <w:r>
        <w:rPr>
          <w:rFonts w:hint="default"/>
        </w:rPr>
        <w:t>後期高齢者の課題について一体的実施の観点を踏まえながら分析を行い、対象者に対する保健事業の実施や計画の評価を行う。また、関係機関と連携を実施しながら、被保険者を支えるための地域づくりや人材育成を推進する。</w:t>
      </w:r>
    </w:p>
    <w:p>
      <w:pPr>
        <w:pStyle w:val="0"/>
        <w:rPr>
          <w:rFonts w:hint="default"/>
        </w:rPr>
      </w:pPr>
      <w:bookmarkStart w:id="229" w:name="_r1g1thflyxrx"/>
      <w:bookmarkEnd w:id="229"/>
      <w:r>
        <w:rPr>
          <w:rFonts w:hint="default"/>
        </w:rPr>
        <w:br w:type="page"/>
      </w:r>
    </w:p>
    <w:p>
      <w:pPr>
        <w:pStyle w:val="1"/>
        <w:rPr>
          <w:rFonts w:hint="default"/>
        </w:rPr>
      </w:pPr>
      <w:bookmarkStart w:id="230" w:name="_Toc162548741"/>
      <w:r>
        <w:rPr>
          <w:rFonts w:hint="default"/>
        </w:rPr>
        <w:t>第</w:t>
      </w:r>
      <w:r>
        <w:rPr>
          <w:rFonts w:hint="eastAsia"/>
        </w:rPr>
        <w:t>4</w:t>
      </w:r>
      <w:r>
        <w:rPr>
          <w:rFonts w:hint="default"/>
        </w:rPr>
        <w:t>期</w:t>
      </w:r>
      <w:r>
        <w:rPr>
          <w:rFonts w:hint="default"/>
        </w:rPr>
        <w:t xml:space="preserve"> </w:t>
      </w:r>
      <w:r>
        <w:rPr>
          <w:rFonts w:hint="default"/>
        </w:rPr>
        <w:t>特定健康診査等実施計画</w:t>
      </w:r>
      <w:bookmarkEnd w:id="230"/>
    </w:p>
    <w:p>
      <w:pPr>
        <w:pStyle w:val="2"/>
        <w:rPr>
          <w:rFonts w:hint="default"/>
        </w:rPr>
      </w:pPr>
      <w:bookmarkStart w:id="231" w:name="_Toc162548742"/>
      <w:r>
        <w:rPr>
          <w:rFonts w:hint="default"/>
        </w:rPr>
        <w:t>計画の背景</w:t>
      </w:r>
      <w:r>
        <w:rPr>
          <w:rFonts w:hint="eastAsia"/>
        </w:rPr>
        <w:t>・</w:t>
      </w:r>
      <w:r>
        <w:rPr>
          <w:rFonts w:hint="default"/>
        </w:rPr>
        <w:t>趣旨</w:t>
      </w:r>
      <w:bookmarkEnd w:id="231"/>
    </w:p>
    <w:p>
      <w:pPr>
        <w:pStyle w:val="3"/>
        <w:rPr>
          <w:rFonts w:hint="default"/>
        </w:rPr>
      </w:pPr>
      <w:bookmarkStart w:id="232" w:name="_Toc162548743"/>
      <w:r>
        <w:rPr>
          <w:rFonts w:hint="default"/>
        </w:rPr>
        <w:t>計画策定の背景</w:t>
      </w:r>
      <w:r>
        <w:rPr>
          <w:rFonts w:hint="eastAsia"/>
        </w:rPr>
        <w:t>・</w:t>
      </w:r>
      <w:r>
        <w:rPr>
          <w:rFonts w:hint="default"/>
        </w:rPr>
        <w:t>趣旨</w:t>
      </w:r>
      <w:bookmarkEnd w:id="232"/>
    </w:p>
    <w:p>
      <w:pPr>
        <w:pStyle w:val="39"/>
        <w:ind w:firstLine="200"/>
        <w:rPr>
          <w:rFonts w:hint="default"/>
        </w:rPr>
      </w:pPr>
      <w:r>
        <w:rPr>
          <w:rFonts w:hint="default"/>
        </w:rPr>
        <w:t>生活習慣病の発症や重症化予防により、国民の健康保持及び医療費適正化を達成することを目的に、保険者においては平成</w:t>
      </w:r>
      <w:r>
        <w:rPr>
          <w:rFonts w:hint="default"/>
        </w:rPr>
        <w:t>20</w:t>
      </w:r>
      <w:r>
        <w:rPr>
          <w:rFonts w:hint="default"/>
        </w:rPr>
        <w:t>年度より「高齢者の医療の確保に関する法律」（昭和</w:t>
      </w:r>
      <w:r>
        <w:rPr>
          <w:rFonts w:hint="default"/>
        </w:rPr>
        <w:t>57</w:t>
      </w:r>
      <w:r>
        <w:rPr>
          <w:rFonts w:hint="default"/>
        </w:rPr>
        <w:t>年法律第</w:t>
      </w:r>
      <w:r>
        <w:rPr>
          <w:rFonts w:hint="default"/>
        </w:rPr>
        <w:t>80</w:t>
      </w:r>
      <w:r>
        <w:rPr>
          <w:rFonts w:hint="default"/>
        </w:rPr>
        <w:t>号）に基づき、特定健康診査（以下「特定健診」という。）及び特定保健指導の実施が義務付けられてきた。</w:t>
      </w:r>
    </w:p>
    <w:p>
      <w:pPr>
        <w:pStyle w:val="39"/>
        <w:ind w:firstLine="200"/>
        <w:rPr>
          <w:rFonts w:hint="default"/>
        </w:rPr>
      </w:pPr>
      <w:r>
        <w:rPr>
          <w:rFonts w:hint="default"/>
        </w:rPr>
        <w:t>八街市においても、同法律に基づき作成された特定健康</w:t>
      </w:r>
      <w:r>
        <w:rPr>
          <w:rFonts w:hint="eastAsia"/>
        </w:rPr>
        <w:t>診</w:t>
      </w:r>
      <w:r>
        <w:rPr>
          <w:rFonts w:hint="default"/>
        </w:rPr>
        <w:t>査等基本方針に基づき、実施計画を策定し、特定健診</w:t>
      </w:r>
      <w:r>
        <w:rPr>
          <w:rFonts w:hint="eastAsia"/>
        </w:rPr>
        <w:t>の受診率及び</w:t>
      </w:r>
      <w:r>
        <w:rPr>
          <w:rFonts w:hint="default"/>
        </w:rPr>
        <w:t>特定保健指導の実施率の向上に取組んできたところである。</w:t>
      </w:r>
    </w:p>
    <w:p>
      <w:pPr>
        <w:pStyle w:val="39"/>
        <w:ind w:firstLine="200"/>
        <w:rPr>
          <w:rFonts w:hint="default"/>
        </w:rPr>
      </w:pPr>
      <w:r>
        <w:rPr>
          <w:rFonts w:hint="default"/>
        </w:rPr>
        <w:t>近年、全世代型社会保障の構築に向け、生活習慣病の発症や重症化予防の重要性は一層高まっており、より効率的</w:t>
      </w:r>
      <w:r>
        <w:rPr>
          <w:rFonts w:hint="eastAsia"/>
        </w:rPr>
        <w:t>かつ</w:t>
      </w:r>
      <w:r>
        <w:rPr>
          <w:rFonts w:hint="default"/>
        </w:rPr>
        <w:t>効果的な特定健診</w:t>
      </w:r>
      <w:r>
        <w:rPr>
          <w:rFonts w:hint="eastAsia"/>
        </w:rPr>
        <w:t>及び</w:t>
      </w:r>
      <w:r>
        <w:rPr>
          <w:rFonts w:hint="default"/>
        </w:rPr>
        <w:t>特定保健指導の実施が求められている。令和</w:t>
      </w:r>
      <w:r>
        <w:rPr>
          <w:rFonts w:hint="eastAsia"/>
        </w:rPr>
        <w:t>5</w:t>
      </w:r>
      <w:r>
        <w:rPr>
          <w:rFonts w:hint="default"/>
        </w:rPr>
        <w:t>年</w:t>
      </w:r>
      <w:r>
        <w:rPr>
          <w:rFonts w:hint="eastAsia"/>
        </w:rPr>
        <w:t>3</w:t>
      </w:r>
      <w:r>
        <w:rPr>
          <w:rFonts w:hint="default"/>
        </w:rPr>
        <w:t>月に発表された「</w:t>
      </w:r>
      <w:r>
        <w:rPr>
          <w:rFonts w:hint="eastAsia"/>
        </w:rPr>
        <w:t>特定健康診査等実施計画作成の手引き（第</w:t>
      </w:r>
      <w:r>
        <w:rPr>
          <w:rFonts w:hint="default"/>
        </w:rPr>
        <w:t>4</w:t>
      </w:r>
      <w:r>
        <w:rPr>
          <w:rFonts w:hint="default"/>
        </w:rPr>
        <w:t>版）」「特定健康診査・特定保健指導の円滑な実施に向けた手引き（第</w:t>
      </w:r>
      <w:r>
        <w:rPr>
          <w:rFonts w:hint="default"/>
        </w:rPr>
        <w:t>4</w:t>
      </w:r>
      <w:r>
        <w:rPr>
          <w:rFonts w:hint="default"/>
        </w:rPr>
        <w:t>版）」では、成果を重視した特定保健指導の評価体系の</w:t>
      </w:r>
      <w:r>
        <w:rPr>
          <w:rFonts w:hint="eastAsia"/>
        </w:rPr>
        <w:t>見直し</w:t>
      </w:r>
      <w:r>
        <w:rPr>
          <w:rFonts w:hint="default"/>
        </w:rPr>
        <w:t>、特定保健指導の</w:t>
      </w:r>
      <w:r>
        <w:rPr>
          <w:rFonts w:hint="eastAsia"/>
        </w:rPr>
        <w:t>成果等の</w:t>
      </w:r>
      <w:r>
        <w:rPr>
          <w:rFonts w:hint="default"/>
        </w:rPr>
        <w:t>見える化の推進などの</w:t>
      </w:r>
      <w:r>
        <w:rPr>
          <w:rFonts w:hint="eastAsia"/>
        </w:rPr>
        <w:t>新たな</w:t>
      </w:r>
      <w:r>
        <w:rPr>
          <w:rFonts w:hint="default"/>
        </w:rPr>
        <w:t>方向性が示され、成果（アウトカム）に着目したより効率的</w:t>
      </w:r>
      <w:r>
        <w:rPr>
          <w:rFonts w:hint="eastAsia"/>
        </w:rPr>
        <w:t>かつ</w:t>
      </w:r>
      <w:r>
        <w:rPr>
          <w:rFonts w:hint="default"/>
        </w:rPr>
        <w:t>効果的な事業運営が求められることとなった。</w:t>
      </w:r>
    </w:p>
    <w:p>
      <w:pPr>
        <w:pStyle w:val="39"/>
        <w:ind w:firstLine="200"/>
        <w:rPr>
          <w:rFonts w:hint="default"/>
        </w:rPr>
      </w:pPr>
      <w:r>
        <w:rPr>
          <w:rFonts w:hint="default"/>
        </w:rPr>
        <w:t>本計画は、第</w:t>
      </w:r>
      <w:r>
        <w:rPr>
          <w:rFonts w:hint="default"/>
        </w:rPr>
        <w:t>3</w:t>
      </w:r>
      <w:r>
        <w:rPr>
          <w:rFonts w:hint="default"/>
        </w:rPr>
        <w:t>期計画期間（平成</w:t>
      </w:r>
      <w:r>
        <w:rPr>
          <w:rFonts w:hint="default"/>
        </w:rPr>
        <w:t>30</w:t>
      </w:r>
      <w:r>
        <w:rPr>
          <w:rFonts w:hint="default"/>
        </w:rPr>
        <w:t>年度</w:t>
      </w:r>
      <w:r>
        <w:rPr>
          <w:rFonts w:hint="eastAsia"/>
        </w:rPr>
        <w:t>から</w:t>
      </w:r>
      <w:r>
        <w:rPr>
          <w:rFonts w:hint="default"/>
        </w:rPr>
        <w:t>令和</w:t>
      </w:r>
      <w:r>
        <w:rPr>
          <w:rFonts w:hint="default"/>
        </w:rPr>
        <w:t>5</w:t>
      </w:r>
      <w:r>
        <w:rPr>
          <w:rFonts w:hint="default"/>
        </w:rPr>
        <w:t>年度）が終了することから、国</w:t>
      </w:r>
      <w:r>
        <w:rPr>
          <w:rFonts w:hint="eastAsia"/>
        </w:rPr>
        <w:t>で</w:t>
      </w:r>
      <w:r>
        <w:rPr>
          <w:rFonts w:hint="default"/>
        </w:rPr>
        <w:t>の方針の見直しの</w:t>
      </w:r>
      <w:r>
        <w:rPr>
          <w:rFonts w:hint="eastAsia"/>
        </w:rPr>
        <w:t>内容</w:t>
      </w:r>
      <w:r>
        <w:rPr>
          <w:rFonts w:hint="default"/>
        </w:rPr>
        <w:t>を踏まえ、八街市の現状を考慮した事業の運営を図ることを目的に策定するものである。</w:t>
      </w:r>
    </w:p>
    <w:p>
      <w:pPr>
        <w:pStyle w:val="0"/>
        <w:rPr>
          <w:rFonts w:hint="default"/>
        </w:rPr>
      </w:pPr>
      <w:bookmarkStart w:id="233" w:name="_m1834sp24csy"/>
      <w:bookmarkEnd w:id="233"/>
      <w:r>
        <w:rPr>
          <w:rFonts w:hint="default"/>
        </w:rPr>
        <w:br w:type="page"/>
      </w:r>
    </w:p>
    <w:p>
      <w:pPr>
        <w:pStyle w:val="3"/>
        <w:rPr>
          <w:rFonts w:hint="default"/>
        </w:rPr>
      </w:pPr>
      <w:bookmarkStart w:id="234" w:name="_Toc162548744"/>
      <w:r>
        <w:rPr>
          <w:rFonts w:hint="default"/>
        </w:rPr>
        <w:t>特定健診・特定保健指導を巡る国の動向</w:t>
      </w:r>
      <w:bookmarkEnd w:id="234"/>
    </w:p>
    <w:p>
      <w:pPr>
        <w:pStyle w:val="4"/>
        <w:rPr>
          <w:rFonts w:hint="default"/>
        </w:rPr>
      </w:pPr>
      <w:r>
        <w:rPr>
          <w:rFonts w:hint="default"/>
        </w:rPr>
        <w:t>エビデンスに基づく効率的</w:t>
      </w:r>
      <w:r>
        <w:rPr>
          <w:rFonts w:hint="eastAsia"/>
        </w:rPr>
        <w:t>かつ</w:t>
      </w:r>
      <w:r>
        <w:rPr>
          <w:rFonts w:hint="default"/>
        </w:rPr>
        <w:t>効果的な特定健診</w:t>
      </w:r>
      <w:r>
        <w:rPr>
          <w:rFonts w:hint="eastAsia"/>
        </w:rPr>
        <w:t>・</w:t>
      </w:r>
      <w:r>
        <w:rPr>
          <w:rFonts w:hint="default"/>
        </w:rPr>
        <w:t>特定保健指導の推進</w:t>
      </w:r>
    </w:p>
    <w:p>
      <w:pPr>
        <w:pStyle w:val="39"/>
        <w:ind w:firstLine="200"/>
        <w:rPr>
          <w:rFonts w:hint="default"/>
        </w:rPr>
      </w:pPr>
      <w:r>
        <w:rPr>
          <w:rFonts w:hint="eastAsia"/>
        </w:rPr>
        <w:t>わ</w:t>
      </w:r>
      <w:r>
        <w:rPr>
          <w:rFonts w:hint="default"/>
        </w:rPr>
        <w:t>が国においては、厳しい財政状況の</w:t>
      </w:r>
      <w:r>
        <w:rPr>
          <w:rFonts w:hint="eastAsia"/>
        </w:rPr>
        <w:t>中</w:t>
      </w:r>
      <w:r>
        <w:rPr>
          <w:rFonts w:hint="default"/>
        </w:rPr>
        <w:t>、より効率的</w:t>
      </w:r>
      <w:r>
        <w:rPr>
          <w:rFonts w:hint="eastAsia"/>
        </w:rPr>
        <w:t>かつ</w:t>
      </w:r>
      <w:r>
        <w:rPr>
          <w:rFonts w:hint="default"/>
        </w:rPr>
        <w:t>効果的な財政運営が必要とされており、国を挙げてエビデンスに基づく政策運営が進められている。</w:t>
      </w:r>
    </w:p>
    <w:p>
      <w:pPr>
        <w:pStyle w:val="39"/>
        <w:ind w:firstLine="200"/>
        <w:rPr>
          <w:rFonts w:hint="default"/>
        </w:rPr>
      </w:pPr>
      <w:r>
        <w:rPr>
          <w:rFonts w:hint="default"/>
        </w:rPr>
        <w:t>特定健診</w:t>
      </w:r>
      <w:r>
        <w:rPr>
          <w:rFonts w:hint="eastAsia"/>
        </w:rPr>
        <w:t>及び</w:t>
      </w:r>
      <w:r>
        <w:rPr>
          <w:rFonts w:hint="default"/>
        </w:rPr>
        <w:t>特定保健指導に関しても、第</w:t>
      </w:r>
      <w:r>
        <w:rPr>
          <w:rFonts w:hint="default"/>
        </w:rPr>
        <w:t>3</w:t>
      </w:r>
      <w:r>
        <w:rPr>
          <w:rFonts w:hint="default"/>
        </w:rPr>
        <w:t>期中に、大規模実証事業や特定保健指導のモデル実施の効果検証を通じ</w:t>
      </w:r>
      <w:r>
        <w:rPr>
          <w:rFonts w:hint="eastAsia"/>
        </w:rPr>
        <w:t>た</w:t>
      </w:r>
      <w:r>
        <w:rPr>
          <w:rFonts w:hint="default"/>
        </w:rPr>
        <w:t>エビデンス</w:t>
      </w:r>
      <w:r>
        <w:rPr>
          <w:rFonts w:hint="eastAsia"/>
        </w:rPr>
        <w:t>の</w:t>
      </w:r>
      <w:r>
        <w:rPr>
          <w:rFonts w:hint="default"/>
        </w:rPr>
        <w:t>構築</w:t>
      </w:r>
      <w:r>
        <w:rPr>
          <w:rFonts w:hint="eastAsia"/>
        </w:rPr>
        <w:t>、</w:t>
      </w:r>
      <w:r>
        <w:rPr>
          <w:rFonts w:hint="default"/>
        </w:rPr>
        <w:t>並びにエビデンスに基づく効果的な特定健診</w:t>
      </w:r>
      <w:r>
        <w:rPr>
          <w:rFonts w:hint="eastAsia"/>
        </w:rPr>
        <w:t>及び</w:t>
      </w:r>
      <w:r>
        <w:rPr>
          <w:rFonts w:hint="default"/>
        </w:rPr>
        <w:t>特定保健指導が推進されてきたところである。</w:t>
      </w:r>
    </w:p>
    <w:p>
      <w:pPr>
        <w:pStyle w:val="39"/>
        <w:ind w:firstLine="200"/>
        <w:rPr>
          <w:rFonts w:hint="default"/>
        </w:rPr>
      </w:pPr>
      <w:r>
        <w:rPr>
          <w:rFonts w:hint="eastAsia"/>
        </w:rPr>
        <w:t>「特定健康診査等実施計画作成の手引き（第</w:t>
      </w:r>
      <w:r>
        <w:rPr>
          <w:rFonts w:hint="default"/>
        </w:rPr>
        <w:t>4</w:t>
      </w:r>
      <w:r>
        <w:rPr>
          <w:rFonts w:hint="default"/>
        </w:rPr>
        <w:t>版）」「特定健康診査・特定保健指導の円滑な実施に向けた手引き（第</w:t>
      </w:r>
      <w:r>
        <w:rPr>
          <w:rFonts w:hint="default"/>
        </w:rPr>
        <w:t>4</w:t>
      </w:r>
      <w:r>
        <w:rPr>
          <w:rFonts w:hint="default"/>
        </w:rPr>
        <w:t>版）」においても、特定健診</w:t>
      </w:r>
      <w:r>
        <w:rPr>
          <w:rFonts w:hint="eastAsia"/>
        </w:rPr>
        <w:t>及び</w:t>
      </w:r>
      <w:r>
        <w:rPr>
          <w:rFonts w:hint="default"/>
        </w:rPr>
        <w:t>特定保健指導の第一の目的は生活習慣病に移行させないことであることに立ち返り、対象者の行動変容につながり成果が出たことを評価するという方針で、成果の</w:t>
      </w:r>
      <w:r>
        <w:rPr>
          <w:rFonts w:hint="eastAsia"/>
        </w:rPr>
        <w:t>見える</w:t>
      </w:r>
      <w:r>
        <w:rPr>
          <w:rFonts w:hint="default"/>
        </w:rPr>
        <w:t>化と事業の効果分析に基づいた効果的な特定健診</w:t>
      </w:r>
      <w:r>
        <w:rPr>
          <w:rFonts w:hint="eastAsia"/>
        </w:rPr>
        <w:t>及び</w:t>
      </w:r>
      <w:r>
        <w:rPr>
          <w:rFonts w:hint="default"/>
        </w:rPr>
        <w:t>特定保健指導</w:t>
      </w:r>
      <w:r>
        <w:rPr>
          <w:rFonts w:hint="eastAsia"/>
        </w:rPr>
        <w:t>が求められることとなった</w:t>
      </w:r>
      <w:r>
        <w:rPr>
          <w:rFonts w:hint="default"/>
        </w:rPr>
        <w:t>。</w:t>
      </w:r>
    </w:p>
    <w:p>
      <w:pPr>
        <w:pStyle w:val="0"/>
        <w:rPr>
          <w:rFonts w:hint="default"/>
        </w:rPr>
      </w:pPr>
    </w:p>
    <w:p>
      <w:pPr>
        <w:pStyle w:val="4"/>
        <w:rPr>
          <w:rFonts w:hint="default"/>
        </w:rPr>
      </w:pPr>
      <w:r>
        <w:rPr>
          <w:rFonts w:hint="default"/>
        </w:rPr>
        <w:t>第</w:t>
      </w:r>
      <w:r>
        <w:rPr>
          <w:rFonts w:hint="default"/>
        </w:rPr>
        <w:t>4</w:t>
      </w:r>
      <w:r>
        <w:rPr>
          <w:rFonts w:hint="default"/>
        </w:rPr>
        <w:t>期特定健診・特定保健指導の見直しの方向性</w:t>
      </w:r>
    </w:p>
    <w:p>
      <w:pPr>
        <w:pStyle w:val="39"/>
        <w:ind w:firstLine="200"/>
        <w:rPr>
          <w:rFonts w:hint="default"/>
        </w:rPr>
      </w:pPr>
      <w:r>
        <w:rPr>
          <w:rFonts w:hint="default"/>
        </w:rPr>
        <w:t>令和</w:t>
      </w:r>
      <w:r>
        <w:rPr>
          <w:rFonts w:hint="eastAsia"/>
        </w:rPr>
        <w:t>5</w:t>
      </w:r>
      <w:r>
        <w:rPr>
          <w:rFonts w:hint="default"/>
        </w:rPr>
        <w:t>年</w:t>
      </w:r>
      <w:r>
        <w:rPr>
          <w:rFonts w:hint="eastAsia"/>
        </w:rPr>
        <w:t>3</w:t>
      </w:r>
      <w:r>
        <w:rPr>
          <w:rFonts w:hint="default"/>
        </w:rPr>
        <w:t>月に発表された</w:t>
      </w:r>
      <w:r>
        <w:rPr>
          <w:rFonts w:hint="eastAsia"/>
        </w:rPr>
        <w:t>「特定健康診査・特定保健指導の円滑な実施に向けた手引き（第</w:t>
      </w:r>
      <w:r>
        <w:rPr>
          <w:rFonts w:hint="default"/>
        </w:rPr>
        <w:t>4</w:t>
      </w:r>
      <w:r>
        <w:rPr>
          <w:rFonts w:hint="default"/>
        </w:rPr>
        <w:t>版）」</w:t>
      </w:r>
      <w:r>
        <w:rPr>
          <w:rFonts w:hint="eastAsia"/>
        </w:rPr>
        <w:t>で</w:t>
      </w:r>
      <w:r>
        <w:rPr>
          <w:rFonts w:hint="default"/>
        </w:rPr>
        <w:t>の主な</w:t>
      </w:r>
      <w:r>
        <w:rPr>
          <w:rFonts w:hint="eastAsia"/>
        </w:rPr>
        <w:t>変更点</w:t>
      </w:r>
      <w:r>
        <w:rPr>
          <w:rFonts w:hint="default"/>
        </w:rPr>
        <w:t>は</w:t>
      </w:r>
      <w:r>
        <w:rPr>
          <w:rFonts w:hint="eastAsia"/>
        </w:rPr>
        <w:fldChar w:fldCharType="begin"/>
      </w:r>
      <w:r>
        <w:rPr>
          <w:rFonts w:hint="eastAsia"/>
        </w:rPr>
        <w:instrText xml:space="preserve">REF _Ref122543811 \h </w:instrText>
      </w:r>
      <w:r>
        <w:rPr>
          <w:rFonts w:hint="eastAsia"/>
        </w:rPr>
        <w:fldChar w:fldCharType="separate"/>
      </w:r>
      <w:r>
        <w:rPr>
          <w:rFonts w:hint="default"/>
        </w:rPr>
        <w:t>図表</w:t>
      </w:r>
      <w:r>
        <w:rPr>
          <w:rFonts w:hint="default"/>
        </w:rPr>
        <w:t>10</w:t>
      </w:r>
      <w:r>
        <w:rPr>
          <w:rFonts w:hint="eastAsia"/>
        </w:rPr>
        <w:t>-</w:t>
      </w:r>
      <w:r>
        <w:rPr>
          <w:rFonts w:hint="default"/>
        </w:rPr>
        <w:t>1</w:t>
      </w:r>
      <w:r>
        <w:rPr>
          <w:rFonts w:hint="eastAsia"/>
        </w:rPr>
        <w:t>-</w:t>
      </w:r>
      <w:r>
        <w:rPr>
          <w:rFonts w:hint="default"/>
        </w:rPr>
        <w:t>2</w:t>
      </w:r>
      <w:r>
        <w:rPr>
          <w:rFonts w:hint="eastAsia"/>
        </w:rPr>
        <w:t>-</w:t>
      </w:r>
      <w:r>
        <w:rPr>
          <w:rFonts w:hint="default"/>
        </w:rPr>
        <w:t>1</w:t>
      </w:r>
      <w:r>
        <w:rPr>
          <w:rFonts w:hint="eastAsia"/>
        </w:rPr>
        <w:fldChar w:fldCharType="end"/>
      </w:r>
      <w:r>
        <w:rPr>
          <w:rFonts w:hint="default"/>
        </w:rPr>
        <w:t>の</w:t>
      </w:r>
      <w:r>
        <w:rPr>
          <w:rFonts w:hint="eastAsia"/>
        </w:rPr>
        <w:t>とお</w:t>
      </w:r>
      <w:r>
        <w:rPr>
          <w:rFonts w:hint="default"/>
        </w:rPr>
        <w:t>りである。</w:t>
      </w:r>
    </w:p>
    <w:p>
      <w:pPr>
        <w:pStyle w:val="39"/>
        <w:ind w:firstLine="200"/>
        <w:rPr>
          <w:rFonts w:hint="default"/>
        </w:rPr>
      </w:pPr>
      <w:r>
        <w:rPr>
          <w:rFonts w:hint="default"/>
        </w:rPr>
        <w:t>八街市においても、これらの</w:t>
      </w:r>
      <w:r>
        <w:rPr>
          <w:rFonts w:hint="eastAsia"/>
        </w:rPr>
        <w:t>変更点</w:t>
      </w:r>
      <w:r>
        <w:rPr>
          <w:rFonts w:hint="default"/>
        </w:rPr>
        <w:t>を踏まえて第</w:t>
      </w:r>
      <w:r>
        <w:rPr>
          <w:rFonts w:hint="default"/>
        </w:rPr>
        <w:t>4</w:t>
      </w:r>
      <w:r>
        <w:rPr>
          <w:rFonts w:hint="default"/>
        </w:rPr>
        <w:t>期特定健診</w:t>
      </w:r>
      <w:r>
        <w:rPr>
          <w:rFonts w:hint="eastAsia"/>
        </w:rPr>
        <w:t>及び</w:t>
      </w:r>
      <w:r>
        <w:rPr>
          <w:rFonts w:hint="default"/>
        </w:rPr>
        <w:t>特定保健指導を実施していく。</w:t>
      </w:r>
    </w:p>
    <w:p>
      <w:pPr>
        <w:pStyle w:val="0"/>
        <w:rPr>
          <w:rFonts w:hint="default"/>
        </w:rPr>
      </w:pPr>
    </w:p>
    <w:p>
      <w:pPr>
        <w:pStyle w:val="38"/>
        <w:rPr>
          <w:rFonts w:hint="default"/>
          <w:color w:val="0000FF"/>
        </w:rPr>
      </w:pPr>
      <w:bookmarkStart w:id="235" w:name="_Ref122543811"/>
      <w:bookmarkStart w:id="236" w:name="_Toc124936864"/>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35"/>
      <w:r>
        <w:rPr>
          <w:rFonts w:hint="default"/>
        </w:rPr>
        <w:t>：第</w:t>
      </w:r>
      <w:r>
        <w:rPr>
          <w:rFonts w:hint="default"/>
        </w:rPr>
        <w:t>4</w:t>
      </w:r>
      <w:r>
        <w:rPr>
          <w:rFonts w:hint="default"/>
        </w:rPr>
        <w:t>期特定健診・特定保健指導の主な</w:t>
      </w:r>
      <w:r>
        <w:rPr>
          <w:rFonts w:hint="eastAsia"/>
        </w:rPr>
        <w:t>変更点</w:t>
      </w:r>
      <w:bookmarkEnd w:id="236"/>
    </w:p>
    <w:tbl>
      <w:tblPr>
        <w:tblStyle w:val="11"/>
        <w:tblW w:w="47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852"/>
        <w:gridCol w:w="1038"/>
        <w:gridCol w:w="7091"/>
      </w:tblGrid>
      <w:tr>
        <w:trPr>
          <w:trHeight w:val="20" w:hRule="atLeast"/>
        </w:trPr>
        <w:tc>
          <w:tcPr>
            <w:tcW w:w="474" w:type="pct"/>
            <w:shd w:val="clear" w:color="auto" w:fill="CCD6FF"/>
            <w:tcMar>
              <w:top w:w="28" w:type="dxa"/>
              <w:left w:w="28" w:type="dxa"/>
              <w:bottom w:w="28" w:type="dxa"/>
              <w:right w:w="28" w:type="dxa"/>
            </w:tcMar>
            <w:vAlign w:val="top"/>
          </w:tcPr>
          <w:p>
            <w:pPr>
              <w:pStyle w:val="0"/>
              <w:jc w:val="center"/>
              <w:rPr>
                <w:rFonts w:hint="default"/>
                <w:b w:val="1"/>
              </w:rPr>
            </w:pPr>
            <w:bookmarkStart w:id="237" w:name="_Hlk133501434"/>
            <w:r>
              <w:rPr>
                <w:rFonts w:hint="default"/>
                <w:b w:val="1"/>
              </w:rPr>
              <w:t>区分</w:t>
            </w:r>
            <w:bookmarkEnd w:id="237"/>
          </w:p>
        </w:tc>
        <w:tc>
          <w:tcPr>
            <w:tcW w:w="4526" w:type="pct"/>
            <w:gridSpan w:val="2"/>
            <w:shd w:val="clear" w:color="auto" w:fill="CCD6FF"/>
            <w:tcMar>
              <w:top w:w="28" w:type="dxa"/>
              <w:left w:w="28" w:type="dxa"/>
              <w:bottom w:w="28" w:type="dxa"/>
              <w:right w:w="28" w:type="dxa"/>
            </w:tcMar>
            <w:vAlign w:val="top"/>
          </w:tcPr>
          <w:p>
            <w:pPr>
              <w:pStyle w:val="0"/>
              <w:jc w:val="center"/>
              <w:rPr>
                <w:rFonts w:hint="default"/>
                <w:b w:val="1"/>
              </w:rPr>
            </w:pPr>
            <w:r>
              <w:rPr>
                <w:rFonts w:hint="eastAsia"/>
                <w:b w:val="1"/>
              </w:rPr>
              <w:t>変更点</w:t>
            </w:r>
            <w:r>
              <w:rPr>
                <w:rFonts w:hint="default"/>
                <w:b w:val="1"/>
              </w:rPr>
              <w:t>の概要</w:t>
            </w:r>
          </w:p>
        </w:tc>
      </w:tr>
      <w:tr>
        <w:trPr>
          <w:trHeight w:val="20" w:hRule="atLeast"/>
        </w:trPr>
        <w:tc>
          <w:tcPr>
            <w:tcW w:w="474"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特定健診</w:t>
            </w:r>
          </w:p>
        </w:tc>
        <w:tc>
          <w:tcPr>
            <w:tcW w:w="578" w:type="pct"/>
            <w:shd w:val="clear" w:color="auto" w:fill="auto"/>
            <w:tcMar>
              <w:top w:w="28" w:type="dxa"/>
              <w:left w:w="28" w:type="dxa"/>
              <w:bottom w:w="28" w:type="dxa"/>
              <w:right w:w="28" w:type="dxa"/>
            </w:tcMar>
            <w:vAlign w:val="center"/>
          </w:tcPr>
          <w:p>
            <w:pPr>
              <w:pStyle w:val="0"/>
              <w:rPr>
                <w:rFonts w:hint="default"/>
              </w:rPr>
            </w:pPr>
            <w:r>
              <w:rPr>
                <w:rFonts w:hint="eastAsia"/>
              </w:rPr>
              <w:t>基本的な</w:t>
            </w:r>
          </w:p>
          <w:p>
            <w:pPr>
              <w:pStyle w:val="0"/>
              <w:rPr>
                <w:rFonts w:hint="default"/>
              </w:rPr>
            </w:pPr>
            <w:r>
              <w:rPr>
                <w:rFonts w:hint="eastAsia"/>
              </w:rPr>
              <w:t>健診の</w:t>
            </w:r>
            <w:r>
              <w:rPr>
                <w:rFonts w:hint="default"/>
              </w:rPr>
              <w:t>項目</w:t>
            </w:r>
          </w:p>
        </w:tc>
        <w:tc>
          <w:tcPr>
            <w:tcW w:w="3948" w:type="pct"/>
            <w:shd w:val="clear" w:color="auto" w:fill="auto"/>
            <w:tcMar>
              <w:top w:w="28" w:type="dxa"/>
              <w:left w:w="28" w:type="dxa"/>
              <w:bottom w:w="28" w:type="dxa"/>
              <w:right w:w="28" w:type="dxa"/>
            </w:tcMar>
            <w:vAlign w:val="center"/>
          </w:tcPr>
          <w:p>
            <w:pPr>
              <w:pStyle w:val="0"/>
              <w:ind w:left="160" w:hanging="160" w:hangingChars="100"/>
              <w:rPr>
                <w:rFonts w:hint="default"/>
              </w:rPr>
            </w:pPr>
            <w:r>
              <w:rPr>
                <w:rFonts w:hint="eastAsia"/>
              </w:rPr>
              <w:t>・血中脂質検査の中性脂肪は、やむを得ない場合は随時中性脂肪での測定を可とする。</w:t>
            </w:r>
          </w:p>
        </w:tc>
      </w:tr>
      <w:tr>
        <w:trPr>
          <w:trHeight w:val="20" w:hRule="atLeast"/>
        </w:trPr>
        <w:tc>
          <w:tcPr>
            <w:tcW w:w="474" w:type="pct"/>
            <w:vMerge w:val="continue"/>
            <w:tcMar>
              <w:top w:w="28" w:type="dxa"/>
              <w:left w:w="28" w:type="dxa"/>
              <w:bottom w:w="28" w:type="dxa"/>
              <w:right w:w="28" w:type="dxa"/>
            </w:tcMar>
            <w:vAlign w:val="center"/>
          </w:tcPr>
          <w:p>
            <w:pPr>
              <w:pStyle w:val="0"/>
              <w:rPr>
                <w:rFonts w:hint="default"/>
                <w:color w:val="0000FF"/>
              </w:rPr>
            </w:pPr>
          </w:p>
        </w:tc>
        <w:tc>
          <w:tcPr>
            <w:tcW w:w="578" w:type="pct"/>
            <w:shd w:val="clear" w:color="auto" w:fill="auto"/>
            <w:tcMar>
              <w:top w:w="28" w:type="dxa"/>
              <w:left w:w="28" w:type="dxa"/>
              <w:bottom w:w="28" w:type="dxa"/>
              <w:right w:w="28" w:type="dxa"/>
            </w:tcMar>
            <w:vAlign w:val="center"/>
          </w:tcPr>
          <w:p>
            <w:pPr>
              <w:pStyle w:val="0"/>
              <w:rPr>
                <w:rFonts w:hint="default"/>
              </w:rPr>
            </w:pPr>
            <w:r>
              <w:rPr>
                <w:rFonts w:hint="eastAsia"/>
              </w:rPr>
              <w:t>標準的な</w:t>
            </w:r>
          </w:p>
          <w:p>
            <w:pPr>
              <w:pStyle w:val="0"/>
              <w:rPr>
                <w:rFonts w:hint="default"/>
              </w:rPr>
            </w:pPr>
            <w:r>
              <w:rPr>
                <w:rFonts w:hint="eastAsia"/>
              </w:rPr>
              <w:t>質問票</w:t>
            </w:r>
          </w:p>
        </w:tc>
        <w:tc>
          <w:tcPr>
            <w:tcW w:w="3948" w:type="pct"/>
            <w:shd w:val="clear" w:color="auto" w:fill="auto"/>
            <w:tcMar>
              <w:top w:w="28" w:type="dxa"/>
              <w:left w:w="28" w:type="dxa"/>
              <w:bottom w:w="28" w:type="dxa"/>
              <w:right w:w="28" w:type="dxa"/>
            </w:tcMar>
            <w:vAlign w:val="center"/>
          </w:tcPr>
          <w:p>
            <w:pPr>
              <w:pStyle w:val="0"/>
              <w:ind w:left="160" w:hanging="160" w:hangingChars="100"/>
              <w:rPr>
                <w:rFonts w:hint="default"/>
              </w:rPr>
            </w:pPr>
            <w:r>
              <w:rPr>
                <w:rFonts w:hint="eastAsia"/>
              </w:rPr>
              <w:t>・喫煙や飲酒の項目は、より正確にリスクを把握するために詳細な選択肢へ修正。</w:t>
            </w:r>
          </w:p>
          <w:p>
            <w:pPr>
              <w:pStyle w:val="0"/>
              <w:ind w:left="160" w:hanging="160" w:hangingChars="100"/>
              <w:rPr>
                <w:rFonts w:hint="default"/>
              </w:rPr>
            </w:pPr>
            <w:r>
              <w:rPr>
                <w:rFonts w:hint="eastAsia"/>
              </w:rPr>
              <w:t>・特定保健指導の項目は、利用意向から利用歴を確認する内容へ修正。</w:t>
            </w:r>
          </w:p>
        </w:tc>
      </w:tr>
      <w:tr>
        <w:trPr>
          <w:trHeight w:val="1195" w:hRule="atLeast"/>
        </w:trPr>
        <w:tc>
          <w:tcPr>
            <w:tcW w:w="474"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特定保健</w:t>
            </w:r>
          </w:p>
          <w:p>
            <w:pPr>
              <w:pStyle w:val="0"/>
              <w:rPr>
                <w:rFonts w:hint="default"/>
              </w:rPr>
            </w:pPr>
            <w:r>
              <w:rPr>
                <w:rFonts w:hint="default"/>
              </w:rPr>
              <w:t>指導</w:t>
            </w:r>
          </w:p>
        </w:tc>
        <w:tc>
          <w:tcPr>
            <w:tcW w:w="578" w:type="pct"/>
            <w:shd w:val="clear" w:color="auto" w:fill="auto"/>
            <w:tcMar>
              <w:top w:w="28" w:type="dxa"/>
              <w:left w:w="28" w:type="dxa"/>
              <w:bottom w:w="28" w:type="dxa"/>
              <w:right w:w="28" w:type="dxa"/>
            </w:tcMar>
            <w:vAlign w:val="center"/>
          </w:tcPr>
          <w:p>
            <w:pPr>
              <w:pStyle w:val="0"/>
              <w:rPr>
                <w:rFonts w:hint="default"/>
              </w:rPr>
            </w:pPr>
            <w:r>
              <w:rPr>
                <w:rFonts w:hint="default"/>
              </w:rPr>
              <w:t>評価</w:t>
            </w:r>
            <w:r>
              <w:rPr>
                <w:rFonts w:hint="eastAsia"/>
              </w:rPr>
              <w:t>体系</w:t>
            </w:r>
          </w:p>
        </w:tc>
        <w:tc>
          <w:tcPr>
            <w:tcW w:w="3948" w:type="pct"/>
            <w:shd w:val="clear" w:color="auto" w:fill="auto"/>
            <w:tcMar>
              <w:top w:w="28" w:type="dxa"/>
              <w:left w:w="28" w:type="dxa"/>
              <w:bottom w:w="28" w:type="dxa"/>
              <w:right w:w="28" w:type="dxa"/>
            </w:tcMar>
            <w:vAlign w:val="center"/>
          </w:tcPr>
          <w:p>
            <w:pPr>
              <w:pStyle w:val="0"/>
              <w:ind w:left="160" w:hanging="160" w:hangingChars="100"/>
              <w:rPr>
                <w:rFonts w:hint="default"/>
              </w:rPr>
            </w:pPr>
            <w:r>
              <w:rPr>
                <w:rFonts w:hint="eastAsia"/>
              </w:rPr>
              <w:t>・実績評価にアウトカム評価を導入。主要達成目標を腹囲</w:t>
            </w:r>
            <w:r>
              <w:rPr>
                <w:rFonts w:hint="eastAsia"/>
              </w:rPr>
              <w:t>2</w:t>
            </w:r>
            <w:r>
              <w:rPr>
                <w:rFonts w:hint="default"/>
              </w:rPr>
              <w:t>cm</w:t>
            </w:r>
            <w:r>
              <w:rPr>
                <w:rFonts w:hint="eastAsia"/>
              </w:rPr>
              <w:t>・</w:t>
            </w:r>
            <w:r>
              <w:rPr>
                <w:rFonts w:hint="default"/>
              </w:rPr>
              <w:t>体重</w:t>
            </w:r>
            <w:r>
              <w:rPr>
                <w:rFonts w:hint="eastAsia"/>
              </w:rPr>
              <w:t>2</w:t>
            </w:r>
            <w:r>
              <w:rPr>
                <w:rFonts w:hint="default"/>
              </w:rPr>
              <w:t>kg</w:t>
            </w:r>
            <w:r>
              <w:rPr>
                <w:rFonts w:hint="default"/>
              </w:rPr>
              <w:t>減</w:t>
            </w:r>
            <w:r>
              <w:rPr>
                <w:rFonts w:hint="eastAsia"/>
              </w:rPr>
              <w:t>、</w:t>
            </w:r>
            <w:r>
              <w:rPr>
                <w:rFonts w:hint="default"/>
              </w:rPr>
              <w:t>その他目標</w:t>
            </w:r>
            <w:r>
              <w:rPr>
                <w:rFonts w:hint="eastAsia"/>
              </w:rPr>
              <w:t>を生活習慣病予防につながる行動変容（食習慣・運動習慣・喫煙習慣・休養習慣・その他生活習慣の改善）や腹囲</w:t>
            </w:r>
            <w:r>
              <w:rPr>
                <w:rFonts w:hint="eastAsia"/>
              </w:rPr>
              <w:t>1</w:t>
            </w:r>
            <w:r>
              <w:rPr>
                <w:rFonts w:hint="default"/>
              </w:rPr>
              <w:t>cm</w:t>
            </w:r>
            <w:r>
              <w:rPr>
                <w:rFonts w:hint="eastAsia"/>
              </w:rPr>
              <w:t>・</w:t>
            </w:r>
            <w:r>
              <w:rPr>
                <w:rFonts w:hint="default"/>
              </w:rPr>
              <w:t>体重</w:t>
            </w:r>
            <w:r>
              <w:rPr>
                <w:rFonts w:hint="eastAsia"/>
              </w:rPr>
              <w:t>1</w:t>
            </w:r>
            <w:r>
              <w:rPr>
                <w:rFonts w:hint="default"/>
              </w:rPr>
              <w:t>kg</w:t>
            </w:r>
            <w:r>
              <w:rPr>
                <w:rFonts w:hint="default"/>
              </w:rPr>
              <w:t>減</w:t>
            </w:r>
            <w:r>
              <w:rPr>
                <w:rFonts w:hint="eastAsia"/>
              </w:rPr>
              <w:t>と設定。</w:t>
            </w:r>
          </w:p>
          <w:p>
            <w:pPr>
              <w:pStyle w:val="0"/>
              <w:ind w:left="160" w:hanging="160" w:hangingChars="100"/>
              <w:rPr>
                <w:rFonts w:hint="default"/>
              </w:rPr>
            </w:pPr>
            <w:r>
              <w:rPr>
                <w:rFonts w:hint="eastAsia"/>
              </w:rPr>
              <w:t>・プロセス評価は、個別支援</w:t>
            </w:r>
            <w:r>
              <w:rPr>
                <w:rFonts w:hint="default"/>
              </w:rPr>
              <w:t>、グループ支援、電話</w:t>
            </w:r>
            <w:r>
              <w:rPr>
                <w:rFonts w:hint="eastAsia"/>
              </w:rPr>
              <w:t>及び</w:t>
            </w:r>
            <w:r>
              <w:rPr>
                <w:rFonts w:hint="default"/>
              </w:rPr>
              <w:t>電</w:t>
            </w:r>
            <w:r>
              <w:rPr>
                <w:rFonts w:hint="eastAsia"/>
              </w:rPr>
              <w:t>子メール等とする。時間に比例したポイント設定ではなく介入</w:t>
            </w:r>
            <w:r>
              <w:rPr>
                <w:rFonts w:hint="eastAsia"/>
              </w:rPr>
              <w:t>1</w:t>
            </w:r>
            <w:r>
              <w:rPr>
                <w:rFonts w:hint="eastAsia"/>
              </w:rPr>
              <w:t>回ごとの評価とし、支援Ａと支援Ｂの区別は廃止。</w:t>
            </w:r>
            <w:r>
              <w:rPr>
                <w:rFonts w:hint="default"/>
              </w:rPr>
              <w:t>ICT</w:t>
            </w:r>
            <w:r>
              <w:rPr>
                <w:rFonts w:hint="default"/>
              </w:rPr>
              <w:t>を活用した場合も同水準の評価</w:t>
            </w:r>
            <w:r>
              <w:rPr>
                <w:rFonts w:hint="eastAsia"/>
              </w:rPr>
              <w:t>。特定健診実施後の特定保健指導の早期実施を新たに評価。</w:t>
            </w:r>
          </w:p>
          <w:p>
            <w:pPr>
              <w:pStyle w:val="0"/>
              <w:ind w:left="160" w:hanging="160" w:hangingChars="100"/>
              <w:rPr>
                <w:rFonts w:hint="default"/>
              </w:rPr>
            </w:pPr>
            <w:r>
              <w:rPr>
                <w:rFonts w:hint="eastAsia"/>
              </w:rPr>
              <w:t>・モデル実施は廃止。</w:t>
            </w:r>
          </w:p>
        </w:tc>
      </w:tr>
      <w:tr>
        <w:trPr>
          <w:trHeight w:val="20" w:hRule="atLeast"/>
        </w:trPr>
        <w:tc>
          <w:tcPr>
            <w:tcW w:w="474" w:type="pct"/>
            <w:vMerge w:val="continue"/>
            <w:tcMar>
              <w:top w:w="28" w:type="dxa"/>
              <w:left w:w="28" w:type="dxa"/>
              <w:bottom w:w="28" w:type="dxa"/>
              <w:right w:w="28" w:type="dxa"/>
            </w:tcMar>
            <w:vAlign w:val="center"/>
          </w:tcPr>
          <w:p>
            <w:pPr>
              <w:pStyle w:val="0"/>
              <w:rPr>
                <w:rFonts w:hint="default"/>
                <w:color w:val="0000FF"/>
              </w:rPr>
            </w:pPr>
          </w:p>
        </w:tc>
        <w:tc>
          <w:tcPr>
            <w:tcW w:w="578" w:type="pct"/>
            <w:shd w:val="clear" w:color="auto" w:fill="auto"/>
            <w:tcMar>
              <w:top w:w="28" w:type="dxa"/>
              <w:left w:w="28" w:type="dxa"/>
              <w:bottom w:w="28" w:type="dxa"/>
              <w:right w:w="28" w:type="dxa"/>
            </w:tcMar>
            <w:vAlign w:val="center"/>
          </w:tcPr>
          <w:p>
            <w:pPr>
              <w:pStyle w:val="0"/>
              <w:ind w:left="160" w:hanging="160" w:hangingChars="100"/>
              <w:rPr>
                <w:rFonts w:hint="default"/>
              </w:rPr>
            </w:pPr>
            <w:r>
              <w:rPr>
                <w:rFonts w:hint="eastAsia"/>
              </w:rPr>
              <w:t>その他</w:t>
            </w:r>
          </w:p>
        </w:tc>
        <w:tc>
          <w:tcPr>
            <w:tcW w:w="3948" w:type="pct"/>
            <w:shd w:val="clear" w:color="auto" w:fill="auto"/>
            <w:tcMar>
              <w:top w:w="28" w:type="dxa"/>
              <w:left w:w="28" w:type="dxa"/>
              <w:bottom w:w="28" w:type="dxa"/>
              <w:right w:w="28" w:type="dxa"/>
            </w:tcMar>
            <w:vAlign w:val="center"/>
          </w:tcPr>
          <w:p>
            <w:pPr>
              <w:pStyle w:val="0"/>
              <w:rPr>
                <w:rFonts w:hint="default"/>
              </w:rPr>
            </w:pPr>
            <w:r>
              <w:rPr>
                <w:rFonts w:hint="default"/>
              </w:rPr>
              <w:t>①</w:t>
            </w:r>
            <w:r>
              <w:rPr>
                <w:rFonts w:hint="default"/>
              </w:rPr>
              <w:t>初回面接の分割実施の条件緩和</w:t>
            </w:r>
          </w:p>
          <w:p>
            <w:pPr>
              <w:pStyle w:val="0"/>
              <w:ind w:left="160" w:hanging="160" w:hangingChars="100"/>
              <w:rPr>
                <w:rFonts w:hint="default"/>
              </w:rPr>
            </w:pPr>
            <w:r>
              <w:rPr>
                <w:rFonts w:hint="eastAsia"/>
              </w:rPr>
              <w:t>・初回面接は、特定健診実施日から</w:t>
            </w:r>
            <w:r>
              <w:rPr>
                <w:rFonts w:hint="eastAsia"/>
              </w:rPr>
              <w:t>1</w:t>
            </w:r>
            <w:r>
              <w:rPr>
                <w:rFonts w:hint="eastAsia"/>
              </w:rPr>
              <w:t>週間以内であれば初回面接の分割実施と取り扱う。</w:t>
            </w:r>
          </w:p>
          <w:p>
            <w:pPr>
              <w:pStyle w:val="0"/>
              <w:rPr>
                <w:rFonts w:hint="default"/>
              </w:rPr>
            </w:pPr>
            <w:r>
              <w:rPr>
                <w:rFonts w:hint="eastAsia"/>
              </w:rPr>
              <w:t>②</w:t>
            </w:r>
            <w:r>
              <w:rPr>
                <w:rFonts w:hint="default"/>
              </w:rPr>
              <w:t>生活習慣病に係る服薬を開始した場合の実施率</w:t>
            </w:r>
            <w:r>
              <w:rPr>
                <w:rFonts w:hint="eastAsia"/>
              </w:rPr>
              <w:t>の考え方</w:t>
            </w:r>
          </w:p>
          <w:p>
            <w:pPr>
              <w:pStyle w:val="0"/>
              <w:ind w:left="160" w:hanging="160" w:hangingChars="100"/>
              <w:rPr>
                <w:rFonts w:hint="default"/>
              </w:rPr>
            </w:pPr>
            <w:r>
              <w:rPr>
                <w:rFonts w:hint="eastAsia"/>
              </w:rPr>
              <w:t>・特定健診または特定保健指導開始後に服薬開始の場合、特定保健指導の対象者として分母に含めないことを可能とする。</w:t>
            </w:r>
          </w:p>
          <w:p>
            <w:pPr>
              <w:pStyle w:val="0"/>
              <w:rPr>
                <w:rFonts w:hint="default"/>
              </w:rPr>
            </w:pPr>
            <w:r>
              <w:rPr>
                <w:rFonts w:hint="eastAsia"/>
              </w:rPr>
              <w:t>③</w:t>
            </w:r>
            <w:r>
              <w:rPr>
                <w:rFonts w:hint="default"/>
              </w:rPr>
              <w:t>生活習慣病に係る服薬中の者</w:t>
            </w:r>
            <w:r>
              <w:rPr>
                <w:rFonts w:hint="eastAsia"/>
              </w:rPr>
              <w:t>への</w:t>
            </w:r>
            <w:r>
              <w:rPr>
                <w:rFonts w:hint="default"/>
              </w:rPr>
              <w:t>服薬状況の確認</w:t>
            </w:r>
            <w:r>
              <w:rPr>
                <w:rFonts w:hint="eastAsia"/>
              </w:rPr>
              <w:t>、</w:t>
            </w:r>
            <w:r>
              <w:rPr>
                <w:rFonts w:hint="default"/>
              </w:rPr>
              <w:t>及び特定保健指導対象者</w:t>
            </w:r>
            <w:r>
              <w:rPr>
                <w:rFonts w:hint="eastAsia"/>
              </w:rPr>
              <w:t>からの除外</w:t>
            </w:r>
          </w:p>
          <w:p>
            <w:pPr>
              <w:pStyle w:val="0"/>
              <w:ind w:left="160" w:hanging="160" w:hangingChars="100"/>
              <w:rPr>
                <w:rFonts w:hint="default"/>
              </w:rPr>
            </w:pPr>
            <w:r>
              <w:rPr>
                <w:rFonts w:hint="eastAsia"/>
              </w:rPr>
              <w:t>・服薬中の者の特定保健指導対象者からの除外に当たり、確認する医薬品の種類、確認手順等を保険者があらかじめ定めている場合は、専門職以外でも事実関係の再確認と同意取得を行うことを可能とする。</w:t>
            </w:r>
          </w:p>
          <w:p>
            <w:pPr>
              <w:pStyle w:val="0"/>
              <w:rPr>
                <w:rFonts w:hint="default"/>
              </w:rPr>
            </w:pPr>
            <w:r>
              <w:rPr>
                <w:rFonts w:hint="eastAsia"/>
              </w:rPr>
              <w:t>④</w:t>
            </w:r>
            <w:r>
              <w:rPr>
                <w:rFonts w:hint="default"/>
              </w:rPr>
              <w:t>運用の改善</w:t>
            </w:r>
          </w:p>
          <w:p>
            <w:pPr>
              <w:pStyle w:val="0"/>
              <w:ind w:left="160" w:hanging="160" w:hangingChars="100"/>
              <w:rPr>
                <w:rFonts w:hint="default"/>
              </w:rPr>
            </w:pPr>
            <w:r>
              <w:rPr>
                <w:rFonts w:hint="eastAsia"/>
              </w:rPr>
              <w:t>・看護師が特定保健指導を行える暫定期間を第</w:t>
            </w:r>
            <w:r>
              <w:rPr>
                <w:rFonts w:hint="eastAsia"/>
              </w:rPr>
              <w:t>4</w:t>
            </w:r>
            <w:r>
              <w:rPr>
                <w:rFonts w:hint="eastAsia"/>
              </w:rPr>
              <w:t>期期間においても延長する。</w:t>
            </w:r>
          </w:p>
        </w:tc>
      </w:tr>
    </w:tbl>
    <w:p>
      <w:pPr>
        <w:pStyle w:val="44"/>
        <w:ind w:right="400"/>
        <w:rPr>
          <w:rFonts w:hint="default"/>
          <w:color w:val="0000FF"/>
        </w:rPr>
      </w:pPr>
      <w:bookmarkStart w:id="238" w:name="_Hlk133501466"/>
      <w:r>
        <w:rPr>
          <w:rFonts w:hint="default"/>
        </w:rPr>
        <w:t>【出典】</w:t>
      </w:r>
      <w:r>
        <w:rPr>
          <w:rFonts w:hint="eastAsia"/>
        </w:rPr>
        <w:t>特定健康診査・特定保健指導の円滑な実施に向けた手引き（第</w:t>
      </w:r>
      <w:r>
        <w:rPr>
          <w:rFonts w:hint="default"/>
        </w:rPr>
        <w:t>4</w:t>
      </w:r>
      <w:r>
        <w:rPr>
          <w:rFonts w:hint="default"/>
        </w:rPr>
        <w:t>版）</w:t>
      </w:r>
      <w:r>
        <w:rPr>
          <w:rFonts w:hint="eastAsia"/>
        </w:rPr>
        <w:t>　改変</w:t>
      </w:r>
    </w:p>
    <w:p>
      <w:pPr>
        <w:pStyle w:val="0"/>
        <w:widowControl w:val="0"/>
        <w:jc w:val="right"/>
        <w:rPr>
          <w:rFonts w:hint="default"/>
          <w:color w:val="0000FF"/>
        </w:rPr>
      </w:pPr>
      <w:bookmarkEnd w:id="238"/>
    </w:p>
    <w:p>
      <w:pPr>
        <w:pStyle w:val="3"/>
        <w:rPr>
          <w:rFonts w:hint="default"/>
        </w:rPr>
      </w:pPr>
      <w:bookmarkStart w:id="239" w:name="_Toc162548745"/>
      <w:r>
        <w:rPr>
          <w:rFonts w:hint="default"/>
        </w:rPr>
        <w:t>計画期間</w:t>
      </w:r>
      <w:bookmarkEnd w:id="239"/>
    </w:p>
    <w:p>
      <w:pPr>
        <w:pStyle w:val="39"/>
        <w:ind w:firstLine="200"/>
        <w:rPr>
          <w:rFonts w:hint="default"/>
        </w:rPr>
      </w:pPr>
      <w:r>
        <w:rPr>
          <w:rFonts w:hint="default"/>
        </w:rPr>
        <w:t>本計画の期間は、令和</w:t>
      </w:r>
      <w:r>
        <w:rPr>
          <w:rFonts w:hint="default"/>
        </w:rPr>
        <w:t>6</w:t>
      </w:r>
      <w:r>
        <w:rPr>
          <w:rFonts w:hint="default"/>
        </w:rPr>
        <w:t>年度（</w:t>
      </w:r>
      <w:r>
        <w:rPr>
          <w:rFonts w:hint="default"/>
        </w:rPr>
        <w:t>2024</w:t>
      </w:r>
      <w:r>
        <w:rPr>
          <w:rFonts w:hint="default"/>
        </w:rPr>
        <w:t>年）から令和</w:t>
      </w:r>
      <w:r>
        <w:rPr>
          <w:rFonts w:hint="default"/>
        </w:rPr>
        <w:t>11</w:t>
      </w:r>
      <w:r>
        <w:rPr>
          <w:rFonts w:hint="default"/>
        </w:rPr>
        <w:t>年度（</w:t>
      </w:r>
      <w:r>
        <w:rPr>
          <w:rFonts w:hint="default"/>
        </w:rPr>
        <w:t>2029</w:t>
      </w:r>
      <w:r>
        <w:rPr>
          <w:rFonts w:hint="default"/>
        </w:rPr>
        <w:t>年）までの</w:t>
      </w:r>
      <w:r>
        <w:rPr>
          <w:rFonts w:hint="default"/>
        </w:rPr>
        <w:t>6</w:t>
      </w:r>
      <w:r>
        <w:rPr>
          <w:rFonts w:hint="default"/>
        </w:rPr>
        <w:t>年間である。</w:t>
      </w:r>
    </w:p>
    <w:p>
      <w:pPr>
        <w:pStyle w:val="0"/>
        <w:rPr>
          <w:rFonts w:hint="default"/>
        </w:rPr>
      </w:pPr>
      <w:bookmarkStart w:id="240" w:name="_vegnu72ueoee"/>
      <w:bookmarkEnd w:id="240"/>
      <w:r>
        <w:rPr>
          <w:rFonts w:hint="default"/>
        </w:rPr>
        <w:br w:type="page"/>
      </w:r>
    </w:p>
    <w:p>
      <w:pPr>
        <w:pStyle w:val="2"/>
        <w:rPr>
          <w:rFonts w:hint="default"/>
        </w:rPr>
      </w:pPr>
      <w:bookmarkStart w:id="241" w:name="_Toc162548746"/>
      <w:r>
        <w:rPr>
          <w:rFonts w:hint="default"/>
        </w:rPr>
        <w:t>第</w:t>
      </w:r>
      <w:r>
        <w:rPr>
          <w:rFonts w:hint="default"/>
        </w:rPr>
        <w:t>3</w:t>
      </w:r>
      <w:r>
        <w:rPr>
          <w:rFonts w:hint="default"/>
        </w:rPr>
        <w:t>期計画における目標達成状況</w:t>
      </w:r>
      <w:bookmarkEnd w:id="241"/>
    </w:p>
    <w:p>
      <w:pPr>
        <w:pStyle w:val="3"/>
        <w:rPr>
          <w:rFonts w:hint="default"/>
        </w:rPr>
      </w:pPr>
      <w:bookmarkStart w:id="242" w:name="_Toc162548747"/>
      <w:r>
        <w:rPr>
          <w:rFonts w:hint="default"/>
        </w:rPr>
        <w:t>全国の状況</w:t>
      </w:r>
      <w:bookmarkEnd w:id="242"/>
    </w:p>
    <w:p>
      <w:pPr>
        <w:pStyle w:val="39"/>
        <w:ind w:firstLine="200"/>
        <w:rPr>
          <w:rFonts w:hint="default"/>
        </w:rPr>
      </w:pPr>
      <w:r>
        <w:rPr>
          <w:rFonts w:hint="default"/>
        </w:rPr>
        <w:t>特定健診及び特定保健指導の目標として</w:t>
      </w:r>
      <w:r>
        <w:rPr>
          <w:rFonts w:hint="eastAsia"/>
        </w:rPr>
        <w:t>は</w:t>
      </w:r>
      <w:r>
        <w:rPr>
          <w:rFonts w:hint="default"/>
        </w:rPr>
        <w:t>、特定健診受診率及び特定保健指導実施率の向上</w:t>
      </w:r>
      <w:r>
        <w:rPr>
          <w:rFonts w:hint="eastAsia"/>
        </w:rPr>
        <w:t>、並びに</w:t>
      </w:r>
      <w:r>
        <w:rPr>
          <w:rFonts w:hint="default"/>
        </w:rPr>
        <w:t>メタボリックシンドローム該当者及び</w:t>
      </w:r>
      <w:r>
        <w:rPr>
          <w:rFonts w:hint="eastAsia"/>
        </w:rPr>
        <w:t>メタボリックシンドローム</w:t>
      </w:r>
      <w:r>
        <w:rPr>
          <w:rFonts w:hint="default"/>
        </w:rPr>
        <w:t>予備群</w:t>
      </w:r>
      <w:r>
        <w:rPr>
          <w:rFonts w:hint="eastAsia"/>
        </w:rPr>
        <w:t>該当者</w:t>
      </w:r>
      <w:r>
        <w:rPr>
          <w:rFonts w:hint="default"/>
        </w:rPr>
        <w:t>（以下、</w:t>
      </w:r>
      <w:r>
        <w:rPr>
          <w:rFonts w:hint="eastAsia"/>
        </w:rPr>
        <w:t>それぞれ</w:t>
      </w:r>
      <w:r>
        <w:rPr>
          <w:rFonts w:hint="default"/>
        </w:rPr>
        <w:t>メタボ該当者</w:t>
      </w:r>
      <w:r>
        <w:rPr>
          <w:rFonts w:hint="eastAsia"/>
        </w:rPr>
        <w:t>、及びメタボ予備群該当者</w:t>
      </w:r>
      <w:r>
        <w:rPr>
          <w:rFonts w:hint="default"/>
        </w:rPr>
        <w:t>と</w:t>
      </w:r>
      <w:r>
        <w:rPr>
          <w:rFonts w:hint="eastAsia"/>
        </w:rPr>
        <w:t>いう。</w:t>
      </w:r>
      <w:r>
        <w:rPr>
          <w:rFonts w:hint="default"/>
        </w:rPr>
        <w:t>）の減少が掲げられている。</w:t>
      </w:r>
    </w:p>
    <w:p>
      <w:pPr>
        <w:pStyle w:val="39"/>
        <w:ind w:firstLine="200"/>
        <w:rPr>
          <w:rFonts w:hint="default"/>
        </w:rPr>
      </w:pPr>
      <w:r>
        <w:rPr>
          <w:rFonts w:hint="default"/>
        </w:rPr>
        <w:t>第</w:t>
      </w:r>
      <w:r>
        <w:rPr>
          <w:rFonts w:hint="default"/>
        </w:rPr>
        <w:t>3</w:t>
      </w:r>
      <w:r>
        <w:rPr>
          <w:rFonts w:hint="default"/>
        </w:rPr>
        <w:t>期計画においては、全保険者で特定健診受診率を令和</w:t>
      </w:r>
      <w:r>
        <w:rPr>
          <w:rFonts w:hint="default"/>
        </w:rPr>
        <w:t>5</w:t>
      </w:r>
      <w:r>
        <w:rPr>
          <w:rFonts w:hint="default"/>
        </w:rPr>
        <w:t>年度までに</w:t>
      </w:r>
      <w:r>
        <w:rPr>
          <w:rFonts w:hint="default"/>
        </w:rPr>
        <w:t>70.0%</w:t>
      </w:r>
      <w:r>
        <w:rPr>
          <w:rFonts w:hint="default"/>
        </w:rPr>
        <w:t>まで、特定保健指導実施率を</w:t>
      </w:r>
      <w:r>
        <w:rPr>
          <w:rFonts w:hint="default"/>
        </w:rPr>
        <w:t>45.0%</w:t>
      </w:r>
      <w:r>
        <w:rPr>
          <w:rFonts w:hint="default"/>
        </w:rPr>
        <w:t>まで引き上げることが目標とされていたが、令和</w:t>
      </w:r>
      <w:r>
        <w:rPr>
          <w:rFonts w:hint="default"/>
        </w:rPr>
        <w:t>3</w:t>
      </w:r>
      <w:r>
        <w:rPr>
          <w:rFonts w:hint="default"/>
        </w:rPr>
        <w:t>年度時点で全保険者の特定健診平均受診率は</w:t>
      </w:r>
      <w:r>
        <w:rPr>
          <w:rFonts w:hint="default"/>
        </w:rPr>
        <w:t>56.5%</w:t>
      </w:r>
      <w:r>
        <w:rPr>
          <w:rFonts w:hint="default"/>
        </w:rPr>
        <w:t>、特定保健指導平均実施率は</w:t>
      </w:r>
      <w:r>
        <w:rPr>
          <w:rFonts w:hint="default"/>
        </w:rPr>
        <w:t>24.6%</w:t>
      </w:r>
      <w:r>
        <w:rPr>
          <w:rFonts w:hint="default"/>
        </w:rPr>
        <w:t>となっており、目標値から大きく乖離して</w:t>
      </w:r>
      <w:r>
        <w:rPr>
          <w:rFonts w:hint="eastAsia"/>
        </w:rPr>
        <w:t>いて</w:t>
      </w:r>
      <w:r>
        <w:rPr>
          <w:rFonts w:hint="default"/>
        </w:rPr>
        <w:t>目標達成が困難な状況にある</w:t>
      </w:r>
      <w:r>
        <w:rPr>
          <w:rFonts w:hint="eastAsia"/>
        </w:rPr>
        <w:t>（</w:t>
      </w:r>
      <w:r>
        <w:rPr>
          <w:rFonts w:hint="eastAsia"/>
        </w:rPr>
        <w:fldChar w:fldCharType="begin"/>
      </w:r>
      <w:r>
        <w:rPr>
          <w:rFonts w:hint="eastAsia"/>
        </w:rPr>
        <w:instrText xml:space="preserve">REF _Ref124930578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1</w:t>
      </w:r>
      <w:r>
        <w:rPr>
          <w:rFonts w:hint="eastAsia"/>
        </w:rPr>
        <w:t>-</w:t>
      </w:r>
      <w:r>
        <w:rPr>
          <w:rFonts w:hint="default"/>
        </w:rPr>
        <w:t>1</w:t>
      </w:r>
      <w:r>
        <w:rPr>
          <w:rFonts w:hint="eastAsia"/>
        </w:rPr>
        <w:fldChar w:fldCharType="end"/>
      </w:r>
      <w:r>
        <w:rPr>
          <w:rFonts w:hint="eastAsia"/>
        </w:rPr>
        <w:t>）</w:t>
      </w:r>
      <w:r>
        <w:rPr>
          <w:rFonts w:hint="default"/>
        </w:rPr>
        <w:t>。市町村国保の</w:t>
      </w:r>
      <w:r>
        <w:rPr>
          <w:rFonts w:hint="eastAsia"/>
        </w:rPr>
        <w:t>特定健診</w:t>
      </w:r>
      <w:r>
        <w:rPr>
          <w:rFonts w:hint="default"/>
        </w:rPr>
        <w:t>受診率及び</w:t>
      </w:r>
      <w:r>
        <w:rPr>
          <w:rFonts w:hint="eastAsia"/>
        </w:rPr>
        <w:t>特定保健指導</w:t>
      </w:r>
      <w:r>
        <w:rPr>
          <w:rFonts w:hint="default"/>
        </w:rPr>
        <w:t>実施率も、全保険者と同様の傾向となっている。</w:t>
      </w:r>
    </w:p>
    <w:p>
      <w:pPr>
        <w:pStyle w:val="0"/>
        <w:tabs>
          <w:tab w:val="right" w:leader="none" w:pos="10204"/>
        </w:tabs>
        <w:spacing w:before="60" w:beforeLines="0" w:beforeAutospacing="0" w:line="240" w:lineRule="auto"/>
        <w:rPr>
          <w:rFonts w:hint="default"/>
        </w:rPr>
      </w:pPr>
    </w:p>
    <w:p>
      <w:pPr>
        <w:pStyle w:val="38"/>
        <w:rPr>
          <w:rFonts w:hint="default"/>
        </w:rPr>
      </w:pPr>
      <w:bookmarkStart w:id="243" w:name="_Ref124930578"/>
      <w:bookmarkStart w:id="244" w:name="_Toc124936865"/>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43"/>
      <w:r>
        <w:rPr>
          <w:rFonts w:hint="default"/>
        </w:rPr>
        <w:t>：第</w:t>
      </w:r>
      <w:r>
        <w:rPr>
          <w:rFonts w:hint="default"/>
        </w:rPr>
        <w:t>3</w:t>
      </w:r>
      <w:r>
        <w:rPr>
          <w:rFonts w:hint="default"/>
        </w:rPr>
        <w:t>期計画における全保険者及び市町村国保の特定健診受診率・特定保健指導実施率の目標</w:t>
      </w:r>
      <w:r>
        <w:rPr>
          <w:rFonts w:hint="eastAsia"/>
        </w:rPr>
        <w:t>値及び</w:t>
      </w:r>
      <w:r>
        <w:rPr>
          <w:rFonts w:hint="default"/>
        </w:rPr>
        <w:t>実績</w:t>
      </w:r>
      <w:bookmarkEnd w:id="244"/>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981"/>
        <w:gridCol w:w="1055"/>
        <w:gridCol w:w="1055"/>
        <w:gridCol w:w="1056"/>
        <w:gridCol w:w="1058"/>
        <w:gridCol w:w="1058"/>
        <w:gridCol w:w="1058"/>
        <w:gridCol w:w="1054"/>
      </w:tblGrid>
      <w:tr>
        <w:trPr>
          <w:trHeight w:val="32" w:hRule="atLeast"/>
          <w:tblHeader/>
        </w:trPr>
        <w:tc>
          <w:tcPr>
            <w:tcW w:w="1057" w:type="pct"/>
            <w:vMerge w:val="restart"/>
            <w:shd w:val="clear" w:color="auto" w:fill="CCD6FF"/>
            <w:tcMar>
              <w:top w:w="28" w:type="dxa"/>
              <w:left w:w="28" w:type="dxa"/>
              <w:bottom w:w="28" w:type="dxa"/>
              <w:right w:w="28" w:type="dxa"/>
            </w:tcMar>
            <w:vAlign w:val="center"/>
          </w:tcPr>
          <w:p>
            <w:pPr>
              <w:pStyle w:val="0"/>
              <w:jc w:val="center"/>
              <w:rPr>
                <w:rFonts w:hint="default"/>
              </w:rPr>
            </w:pPr>
          </w:p>
        </w:tc>
        <w:tc>
          <w:tcPr>
            <w:tcW w:w="1125"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全保険者</w:t>
            </w:r>
          </w:p>
        </w:tc>
        <w:tc>
          <w:tcPr>
            <w:tcW w:w="2818" w:type="pct"/>
            <w:gridSpan w:val="5"/>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市町村国保</w:t>
            </w:r>
          </w:p>
        </w:tc>
      </w:tr>
      <w:tr>
        <w:trPr>
          <w:trHeight w:val="20" w:hRule="atLeast"/>
          <w:tblHeader/>
        </w:trPr>
        <w:tc>
          <w:tcPr>
            <w:tcW w:w="1057" w:type="pct"/>
            <w:vMerge w:val="continue"/>
            <w:shd w:val="clear" w:color="auto" w:fill="CCD6FF"/>
            <w:tcMar>
              <w:top w:w="28" w:type="dxa"/>
              <w:left w:w="28" w:type="dxa"/>
              <w:bottom w:w="28" w:type="dxa"/>
              <w:right w:w="28" w:type="dxa"/>
            </w:tcMar>
            <w:vAlign w:val="center"/>
          </w:tcPr>
          <w:p>
            <w:pPr>
              <w:pStyle w:val="0"/>
              <w:jc w:val="center"/>
              <w:rPr>
                <w:rFonts w:hint="default"/>
              </w:rPr>
            </w:pPr>
          </w:p>
        </w:tc>
        <w:tc>
          <w:tcPr>
            <w:tcW w:w="56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5</w:t>
            </w:r>
            <w:r>
              <w:rPr>
                <w:rFonts w:hint="default"/>
                <w:b w:val="1"/>
              </w:rPr>
              <w:t>年度</w:t>
            </w:r>
          </w:p>
          <w:p>
            <w:pPr>
              <w:pStyle w:val="0"/>
              <w:jc w:val="center"/>
              <w:rPr>
                <w:rFonts w:hint="default"/>
                <w:b w:val="1"/>
              </w:rPr>
            </w:pPr>
            <w:r>
              <w:rPr>
                <w:rFonts w:hint="default"/>
                <w:b w:val="1"/>
              </w:rPr>
              <w:t>目標値</w:t>
            </w:r>
          </w:p>
        </w:tc>
        <w:tc>
          <w:tcPr>
            <w:tcW w:w="56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p>
            <w:pPr>
              <w:pStyle w:val="0"/>
              <w:jc w:val="center"/>
              <w:rPr>
                <w:rFonts w:hint="default"/>
                <w:b w:val="1"/>
              </w:rPr>
            </w:pPr>
            <w:r>
              <w:rPr>
                <w:rFonts w:hint="default"/>
                <w:b w:val="1"/>
              </w:rPr>
              <w:t>実績</w:t>
            </w:r>
          </w:p>
        </w:tc>
        <w:tc>
          <w:tcPr>
            <w:tcW w:w="563"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5</w:t>
            </w:r>
            <w:r>
              <w:rPr>
                <w:rFonts w:hint="default"/>
                <w:b w:val="1"/>
              </w:rPr>
              <w:t>年度</w:t>
            </w:r>
          </w:p>
          <w:p>
            <w:pPr>
              <w:pStyle w:val="0"/>
              <w:jc w:val="center"/>
              <w:rPr>
                <w:rFonts w:hint="default"/>
                <w:b w:val="1"/>
              </w:rPr>
            </w:pPr>
            <w:r>
              <w:rPr>
                <w:rFonts w:hint="default"/>
                <w:b w:val="1"/>
              </w:rPr>
              <w:t>目標値</w:t>
            </w:r>
          </w:p>
        </w:tc>
        <w:tc>
          <w:tcPr>
            <w:tcW w:w="2255" w:type="pct"/>
            <w:gridSpan w:val="4"/>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r>
              <w:rPr>
                <w:rFonts w:hint="eastAsia"/>
                <w:b w:val="1"/>
              </w:rPr>
              <w:t xml:space="preserve"> </w:t>
            </w:r>
            <w:r>
              <w:rPr>
                <w:rFonts w:hint="default"/>
                <w:b w:val="1"/>
              </w:rPr>
              <w:t>実績</w:t>
            </w:r>
          </w:p>
        </w:tc>
      </w:tr>
      <w:tr>
        <w:trPr>
          <w:trHeight w:val="32" w:hRule="atLeast"/>
          <w:tblHeader/>
        </w:trPr>
        <w:tc>
          <w:tcPr>
            <w:tcW w:w="1057" w:type="pct"/>
            <w:vMerge w:val="continue"/>
            <w:shd w:val="clear" w:color="auto" w:fill="CCD6FF"/>
            <w:tcMar>
              <w:top w:w="28" w:type="dxa"/>
              <w:left w:w="28" w:type="dxa"/>
              <w:bottom w:w="28" w:type="dxa"/>
              <w:right w:w="28" w:type="dxa"/>
            </w:tcMar>
            <w:vAlign w:val="center"/>
          </w:tcPr>
          <w:p>
            <w:pPr>
              <w:pStyle w:val="0"/>
              <w:jc w:val="center"/>
              <w:rPr>
                <w:rFonts w:hint="default"/>
              </w:rPr>
            </w:pPr>
          </w:p>
        </w:tc>
        <w:tc>
          <w:tcPr>
            <w:tcW w:w="56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6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6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64" w:type="pct"/>
            <w:vMerge w:val="restar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全体</w:t>
            </w:r>
          </w:p>
        </w:tc>
        <w:tc>
          <w:tcPr>
            <w:tcW w:w="1691" w:type="pct"/>
            <w:gridSpan w:val="3"/>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特定健診対象者数</w:t>
            </w:r>
          </w:p>
        </w:tc>
      </w:tr>
      <w:tr>
        <w:trPr>
          <w:trHeight w:val="32" w:hRule="atLeast"/>
          <w:tblHeader/>
        </w:trPr>
        <w:tc>
          <w:tcPr>
            <w:tcW w:w="1057" w:type="pct"/>
            <w:vMerge w:val="continue"/>
            <w:shd w:val="clear" w:color="auto" w:fill="CCD6FF"/>
            <w:tcMar>
              <w:top w:w="28" w:type="dxa"/>
              <w:left w:w="28" w:type="dxa"/>
              <w:bottom w:w="28" w:type="dxa"/>
              <w:right w:w="28" w:type="dxa"/>
            </w:tcMar>
            <w:vAlign w:val="center"/>
          </w:tcPr>
          <w:p>
            <w:pPr>
              <w:pStyle w:val="0"/>
              <w:jc w:val="center"/>
              <w:rPr>
                <w:rFonts w:hint="default"/>
              </w:rPr>
            </w:pPr>
          </w:p>
        </w:tc>
        <w:tc>
          <w:tcPr>
            <w:tcW w:w="56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6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63" w:type="pct"/>
            <w:vMerge w:val="continue"/>
            <w:shd w:val="clear" w:color="auto" w:fill="CCD6FF"/>
            <w:tcMar>
              <w:top w:w="28" w:type="dxa"/>
              <w:left w:w="28" w:type="dxa"/>
              <w:bottom w:w="28" w:type="dxa"/>
              <w:right w:w="28" w:type="dxa"/>
            </w:tcMar>
            <w:vAlign w:val="center"/>
          </w:tcPr>
          <w:p>
            <w:pPr>
              <w:pStyle w:val="0"/>
              <w:jc w:val="center"/>
              <w:rPr>
                <w:rFonts w:hint="default"/>
                <w:b w:val="1"/>
              </w:rPr>
            </w:pPr>
          </w:p>
        </w:tc>
        <w:tc>
          <w:tcPr>
            <w:tcW w:w="564" w:type="pct"/>
            <w:vMerge w:val="continue"/>
            <w:shd w:val="clear" w:color="auto" w:fill="CCD6FF"/>
            <w:tcMar>
              <w:top w:w="28" w:type="dxa"/>
              <w:left w:w="28" w:type="dxa"/>
              <w:bottom w:w="28" w:type="dxa"/>
              <w:right w:w="28" w:type="dxa"/>
            </w:tcMar>
            <w:vAlign w:val="center"/>
          </w:tcPr>
          <w:p>
            <w:pPr>
              <w:pStyle w:val="0"/>
              <w:jc w:val="center"/>
              <w:rPr>
                <w:rFonts w:hint="default"/>
                <w:b w:val="1"/>
                <w:sz w:val="14"/>
              </w:rPr>
            </w:pPr>
          </w:p>
        </w:tc>
        <w:tc>
          <w:tcPr>
            <w:tcW w:w="56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10</w:t>
            </w:r>
            <w:r>
              <w:rPr>
                <w:rFonts w:hint="default"/>
                <w:b w:val="1"/>
                <w:sz w:val="14"/>
              </w:rPr>
              <w:t>万人以上</w:t>
            </w:r>
          </w:p>
        </w:tc>
        <w:tc>
          <w:tcPr>
            <w:tcW w:w="56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5</w:t>
            </w:r>
            <w:r>
              <w:rPr>
                <w:rFonts w:hint="default"/>
                <w:b w:val="1"/>
                <w:sz w:val="14"/>
              </w:rPr>
              <w:t>千</w:t>
            </w:r>
            <w:r>
              <w:rPr>
                <w:rFonts w:hint="eastAsia"/>
                <w:b w:val="1"/>
                <w:sz w:val="14"/>
              </w:rPr>
              <w:t>人以上</w:t>
            </w:r>
          </w:p>
          <w:p>
            <w:pPr>
              <w:pStyle w:val="0"/>
              <w:jc w:val="center"/>
              <w:rPr>
                <w:rFonts w:hint="default"/>
                <w:b w:val="1"/>
                <w:sz w:val="14"/>
              </w:rPr>
            </w:pPr>
            <w:r>
              <w:rPr>
                <w:rFonts w:hint="default"/>
                <w:b w:val="1"/>
                <w:sz w:val="14"/>
              </w:rPr>
              <w:t>10</w:t>
            </w:r>
            <w:r>
              <w:rPr>
                <w:rFonts w:hint="default"/>
                <w:b w:val="1"/>
                <w:sz w:val="14"/>
              </w:rPr>
              <w:t>万人未満</w:t>
            </w:r>
          </w:p>
        </w:tc>
        <w:tc>
          <w:tcPr>
            <w:tcW w:w="562"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5</w:t>
            </w:r>
            <w:r>
              <w:rPr>
                <w:rFonts w:hint="default"/>
                <w:b w:val="1"/>
                <w:sz w:val="14"/>
              </w:rPr>
              <w:t>千人未満</w:t>
            </w:r>
          </w:p>
        </w:tc>
      </w:tr>
      <w:tr>
        <w:trPr>
          <w:trHeight w:val="20" w:hRule="atLeast"/>
        </w:trPr>
        <w:tc>
          <w:tcPr>
            <w:tcW w:w="1057" w:type="pct"/>
            <w:shd w:val="clear" w:color="auto" w:fill="auto"/>
            <w:tcMar>
              <w:top w:w="28" w:type="dxa"/>
              <w:left w:w="28" w:type="dxa"/>
              <w:bottom w:w="28" w:type="dxa"/>
              <w:right w:w="28" w:type="dxa"/>
            </w:tcMar>
            <w:vAlign w:val="center"/>
          </w:tcPr>
          <w:p>
            <w:pPr>
              <w:pStyle w:val="0"/>
              <w:rPr>
                <w:rFonts w:hint="default"/>
              </w:rPr>
            </w:pPr>
            <w:r>
              <w:rPr>
                <w:rFonts w:hint="default"/>
              </w:rPr>
              <w:t>特定健診平均受診率</w:t>
            </w:r>
          </w:p>
        </w:tc>
        <w:tc>
          <w:tcPr>
            <w:tcW w:w="563" w:type="pct"/>
            <w:shd w:val="clear" w:color="auto" w:fill="auto"/>
            <w:tcMar>
              <w:top w:w="28" w:type="dxa"/>
              <w:left w:w="28" w:type="dxa"/>
              <w:bottom w:w="28" w:type="dxa"/>
              <w:right w:w="28" w:type="dxa"/>
            </w:tcMar>
            <w:vAlign w:val="center"/>
          </w:tcPr>
          <w:p>
            <w:pPr>
              <w:pStyle w:val="0"/>
              <w:jc w:val="right"/>
              <w:rPr>
                <w:rFonts w:hint="default"/>
              </w:rPr>
            </w:pPr>
            <w:r>
              <w:rPr>
                <w:rFonts w:hint="default"/>
              </w:rPr>
              <w:t>70.0%</w:t>
            </w:r>
          </w:p>
        </w:tc>
        <w:tc>
          <w:tcPr>
            <w:tcW w:w="563" w:type="pct"/>
            <w:shd w:val="clear" w:color="auto" w:fill="auto"/>
            <w:tcMar>
              <w:top w:w="28" w:type="dxa"/>
              <w:left w:w="28" w:type="dxa"/>
              <w:bottom w:w="28" w:type="dxa"/>
              <w:right w:w="28" w:type="dxa"/>
            </w:tcMar>
            <w:vAlign w:val="center"/>
          </w:tcPr>
          <w:p>
            <w:pPr>
              <w:pStyle w:val="0"/>
              <w:jc w:val="right"/>
              <w:rPr>
                <w:rFonts w:hint="default"/>
              </w:rPr>
            </w:pPr>
            <w:r>
              <w:rPr>
                <w:rFonts w:hint="default"/>
              </w:rPr>
              <w:t>56.5%</w:t>
            </w:r>
          </w:p>
        </w:tc>
        <w:tc>
          <w:tcPr>
            <w:tcW w:w="563" w:type="pct"/>
            <w:shd w:val="clear" w:color="auto" w:fill="auto"/>
            <w:tcMar>
              <w:top w:w="28" w:type="dxa"/>
              <w:left w:w="28" w:type="dxa"/>
              <w:bottom w:w="28" w:type="dxa"/>
              <w:right w:w="28" w:type="dxa"/>
            </w:tcMar>
            <w:vAlign w:val="center"/>
          </w:tcPr>
          <w:p>
            <w:pPr>
              <w:pStyle w:val="0"/>
              <w:jc w:val="right"/>
              <w:rPr>
                <w:rFonts w:hint="default"/>
              </w:rPr>
            </w:pPr>
            <w:r>
              <w:rPr>
                <w:rFonts w:hint="default"/>
              </w:rPr>
              <w:t>60.0%</w:t>
            </w:r>
          </w:p>
        </w:tc>
        <w:tc>
          <w:tcPr>
            <w:tcW w:w="564" w:type="pct"/>
            <w:shd w:val="clear" w:color="auto" w:fill="auto"/>
            <w:tcMar>
              <w:top w:w="28" w:type="dxa"/>
              <w:left w:w="28" w:type="dxa"/>
              <w:bottom w:w="28" w:type="dxa"/>
              <w:right w:w="28" w:type="dxa"/>
            </w:tcMar>
            <w:vAlign w:val="center"/>
          </w:tcPr>
          <w:p>
            <w:pPr>
              <w:pStyle w:val="0"/>
              <w:jc w:val="right"/>
              <w:rPr>
                <w:rFonts w:hint="default"/>
              </w:rPr>
            </w:pPr>
            <w:r>
              <w:rPr>
                <w:rFonts w:hint="default"/>
              </w:rPr>
              <w:t>36.4</w:t>
            </w:r>
            <w:r>
              <w:rPr>
                <w:rFonts w:hint="eastAsia"/>
              </w:rPr>
              <w:t>%</w:t>
            </w:r>
          </w:p>
        </w:tc>
        <w:tc>
          <w:tcPr>
            <w:tcW w:w="564" w:type="pct"/>
            <w:shd w:val="clear" w:color="auto" w:fill="auto"/>
            <w:tcMar>
              <w:top w:w="28" w:type="dxa"/>
              <w:left w:w="28" w:type="dxa"/>
              <w:bottom w:w="28" w:type="dxa"/>
              <w:right w:w="28" w:type="dxa"/>
            </w:tcMar>
            <w:vAlign w:val="center"/>
          </w:tcPr>
          <w:p>
            <w:pPr>
              <w:pStyle w:val="0"/>
              <w:jc w:val="right"/>
              <w:rPr>
                <w:rFonts w:hint="default"/>
              </w:rPr>
            </w:pPr>
            <w:r>
              <w:rPr>
                <w:rFonts w:hint="default"/>
              </w:rPr>
              <w:t>28.2%</w:t>
            </w:r>
          </w:p>
        </w:tc>
        <w:tc>
          <w:tcPr>
            <w:tcW w:w="564" w:type="pct"/>
            <w:shd w:val="clear" w:color="auto" w:fill="auto"/>
            <w:tcMar>
              <w:top w:w="28" w:type="dxa"/>
              <w:left w:w="28" w:type="dxa"/>
              <w:bottom w:w="28" w:type="dxa"/>
              <w:right w:w="28" w:type="dxa"/>
            </w:tcMar>
            <w:vAlign w:val="center"/>
          </w:tcPr>
          <w:p>
            <w:pPr>
              <w:pStyle w:val="0"/>
              <w:jc w:val="right"/>
              <w:rPr>
                <w:rFonts w:hint="default"/>
              </w:rPr>
            </w:pPr>
            <w:r>
              <w:rPr>
                <w:rFonts w:hint="default"/>
              </w:rPr>
              <w:t>37.6%</w:t>
            </w:r>
          </w:p>
        </w:tc>
        <w:tc>
          <w:tcPr>
            <w:tcW w:w="562" w:type="pct"/>
            <w:shd w:val="clear" w:color="auto" w:fill="auto"/>
            <w:tcMar>
              <w:top w:w="28" w:type="dxa"/>
              <w:left w:w="28" w:type="dxa"/>
              <w:bottom w:w="28" w:type="dxa"/>
              <w:right w:w="28" w:type="dxa"/>
            </w:tcMar>
            <w:vAlign w:val="center"/>
          </w:tcPr>
          <w:p>
            <w:pPr>
              <w:pStyle w:val="0"/>
              <w:jc w:val="right"/>
              <w:rPr>
                <w:rFonts w:hint="default"/>
              </w:rPr>
            </w:pPr>
            <w:r>
              <w:rPr>
                <w:rFonts w:hint="default"/>
              </w:rPr>
              <w:t>42.5%</w:t>
            </w:r>
          </w:p>
        </w:tc>
      </w:tr>
      <w:tr>
        <w:trPr>
          <w:trHeight w:val="20" w:hRule="atLeast"/>
        </w:trPr>
        <w:tc>
          <w:tcPr>
            <w:tcW w:w="1057" w:type="pct"/>
            <w:shd w:val="clear" w:color="auto" w:fill="auto"/>
            <w:tcMar>
              <w:top w:w="28" w:type="dxa"/>
              <w:left w:w="28" w:type="dxa"/>
              <w:bottom w:w="28" w:type="dxa"/>
              <w:right w:w="28" w:type="dxa"/>
            </w:tcMar>
            <w:vAlign w:val="center"/>
          </w:tcPr>
          <w:p>
            <w:pPr>
              <w:pStyle w:val="0"/>
              <w:rPr>
                <w:rFonts w:hint="default"/>
              </w:rPr>
            </w:pPr>
            <w:r>
              <w:rPr>
                <w:rFonts w:hint="default"/>
              </w:rPr>
              <w:t>特定保健指導平均実施率</w:t>
            </w:r>
          </w:p>
        </w:tc>
        <w:tc>
          <w:tcPr>
            <w:tcW w:w="563" w:type="pct"/>
            <w:shd w:val="clear" w:color="auto" w:fill="auto"/>
            <w:tcMar>
              <w:top w:w="28" w:type="dxa"/>
              <w:left w:w="28" w:type="dxa"/>
              <w:bottom w:w="28" w:type="dxa"/>
              <w:right w:w="28" w:type="dxa"/>
            </w:tcMar>
            <w:vAlign w:val="center"/>
          </w:tcPr>
          <w:p>
            <w:pPr>
              <w:pStyle w:val="0"/>
              <w:jc w:val="right"/>
              <w:rPr>
                <w:rFonts w:hint="default"/>
              </w:rPr>
            </w:pPr>
            <w:r>
              <w:rPr>
                <w:rFonts w:hint="default"/>
              </w:rPr>
              <w:t>45.0%</w:t>
            </w:r>
          </w:p>
        </w:tc>
        <w:tc>
          <w:tcPr>
            <w:tcW w:w="563" w:type="pct"/>
            <w:shd w:val="clear" w:color="auto" w:fill="auto"/>
            <w:tcMar>
              <w:top w:w="28" w:type="dxa"/>
              <w:left w:w="28" w:type="dxa"/>
              <w:bottom w:w="28" w:type="dxa"/>
              <w:right w:w="28" w:type="dxa"/>
            </w:tcMar>
            <w:vAlign w:val="center"/>
          </w:tcPr>
          <w:p>
            <w:pPr>
              <w:pStyle w:val="0"/>
              <w:jc w:val="right"/>
              <w:rPr>
                <w:rFonts w:hint="default"/>
              </w:rPr>
            </w:pPr>
            <w:r>
              <w:rPr>
                <w:rFonts w:hint="default"/>
              </w:rPr>
              <w:t>24.6%</w:t>
            </w:r>
          </w:p>
        </w:tc>
        <w:tc>
          <w:tcPr>
            <w:tcW w:w="563" w:type="pct"/>
            <w:shd w:val="clear" w:color="auto" w:fill="auto"/>
            <w:tcMar>
              <w:top w:w="28" w:type="dxa"/>
              <w:left w:w="28" w:type="dxa"/>
              <w:bottom w:w="28" w:type="dxa"/>
              <w:right w:w="28" w:type="dxa"/>
            </w:tcMar>
            <w:vAlign w:val="center"/>
          </w:tcPr>
          <w:p>
            <w:pPr>
              <w:pStyle w:val="0"/>
              <w:jc w:val="right"/>
              <w:rPr>
                <w:rFonts w:hint="default"/>
              </w:rPr>
            </w:pPr>
            <w:r>
              <w:rPr>
                <w:rFonts w:hint="default"/>
              </w:rPr>
              <w:t>60.0%</w:t>
            </w:r>
          </w:p>
        </w:tc>
        <w:tc>
          <w:tcPr>
            <w:tcW w:w="564" w:type="pct"/>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564" w:type="pct"/>
            <w:shd w:val="clear" w:color="auto" w:fill="auto"/>
            <w:tcMar>
              <w:top w:w="28" w:type="dxa"/>
              <w:left w:w="28" w:type="dxa"/>
              <w:bottom w:w="28" w:type="dxa"/>
              <w:right w:w="28" w:type="dxa"/>
            </w:tcMar>
            <w:vAlign w:val="center"/>
          </w:tcPr>
          <w:p>
            <w:pPr>
              <w:pStyle w:val="0"/>
              <w:jc w:val="right"/>
              <w:rPr>
                <w:rFonts w:hint="default"/>
              </w:rPr>
            </w:pPr>
            <w:r>
              <w:rPr>
                <w:rFonts w:hint="default"/>
              </w:rPr>
              <w:t>13.9%</w:t>
            </w:r>
          </w:p>
        </w:tc>
        <w:tc>
          <w:tcPr>
            <w:tcW w:w="564" w:type="pct"/>
            <w:shd w:val="clear" w:color="auto" w:fill="auto"/>
            <w:tcMar>
              <w:top w:w="28" w:type="dxa"/>
              <w:left w:w="28" w:type="dxa"/>
              <w:bottom w:w="28" w:type="dxa"/>
              <w:right w:w="28" w:type="dxa"/>
            </w:tcMar>
            <w:vAlign w:val="center"/>
          </w:tcPr>
          <w:p>
            <w:pPr>
              <w:pStyle w:val="0"/>
              <w:jc w:val="right"/>
              <w:rPr>
                <w:rFonts w:hint="default"/>
              </w:rPr>
            </w:pPr>
            <w:r>
              <w:rPr>
                <w:rFonts w:hint="default"/>
              </w:rPr>
              <w:t>27.7%</w:t>
            </w:r>
          </w:p>
        </w:tc>
        <w:tc>
          <w:tcPr>
            <w:tcW w:w="562" w:type="pct"/>
            <w:shd w:val="clear" w:color="auto" w:fill="auto"/>
            <w:tcMar>
              <w:top w:w="28" w:type="dxa"/>
              <w:left w:w="28" w:type="dxa"/>
              <w:bottom w:w="28" w:type="dxa"/>
              <w:right w:w="28" w:type="dxa"/>
            </w:tcMar>
            <w:vAlign w:val="center"/>
          </w:tcPr>
          <w:p>
            <w:pPr>
              <w:pStyle w:val="0"/>
              <w:jc w:val="right"/>
              <w:rPr>
                <w:rFonts w:hint="default"/>
              </w:rPr>
            </w:pPr>
            <w:r>
              <w:rPr>
                <w:rFonts w:hint="default"/>
              </w:rPr>
              <w:t>44.9%</w:t>
            </w:r>
          </w:p>
        </w:tc>
      </w:tr>
    </w:tbl>
    <w:p>
      <w:pPr>
        <w:pStyle w:val="44"/>
        <w:rPr>
          <w:rFonts w:hint="default"/>
        </w:rPr>
      </w:pPr>
      <w:r>
        <w:rPr>
          <w:rFonts w:hint="default"/>
        </w:rPr>
        <w:t>【出典】厚生労働省</w:t>
      </w:r>
      <w:r>
        <w:rPr>
          <w:rFonts w:hint="eastAsia"/>
        </w:rPr>
        <w:t xml:space="preserve"> </w:t>
      </w:r>
      <w:r>
        <w:rPr>
          <w:rFonts w:hint="eastAsia"/>
        </w:rPr>
        <w:t>特定健康診査等実施計画作成の手引き（第</w:t>
      </w:r>
      <w:r>
        <w:rPr>
          <w:rFonts w:hint="eastAsia"/>
        </w:rPr>
        <w:t>4</w:t>
      </w:r>
      <w:r>
        <w:rPr>
          <w:rFonts w:hint="eastAsia"/>
        </w:rPr>
        <w:t>版）</w:t>
      </w:r>
    </w:p>
    <w:p>
      <w:pPr>
        <w:pStyle w:val="0"/>
        <w:rPr>
          <w:rFonts w:hint="default"/>
        </w:rPr>
      </w:pPr>
      <w:r>
        <w:rPr>
          <w:rFonts w:hint="eastAsia"/>
        </w:rPr>
        <w:t>厚生労働省</w:t>
      </w:r>
      <w:r>
        <w:rPr>
          <w:rFonts w:hint="eastAsia"/>
        </w:rPr>
        <w:t xml:space="preserve"> 2021</w:t>
      </w:r>
      <w:r>
        <w:rPr>
          <w:rFonts w:hint="eastAsia"/>
        </w:rPr>
        <w:t>年度</w:t>
      </w:r>
      <w:r>
        <w:rPr>
          <w:rFonts w:hint="eastAsia"/>
        </w:rPr>
        <w:t xml:space="preserve"> </w:t>
      </w:r>
      <w:r>
        <w:rPr>
          <w:rFonts w:hint="default"/>
        </w:rPr>
        <w:t>特定健康診査・特定保健指導の実施状況</w:t>
      </w:r>
    </w:p>
    <w:p>
      <w:pPr>
        <w:pStyle w:val="0"/>
        <w:rPr>
          <w:rFonts w:hint="default"/>
        </w:rPr>
      </w:pPr>
    </w:p>
    <w:p>
      <w:pPr>
        <w:pStyle w:val="39"/>
        <w:ind w:firstLine="200"/>
        <w:rPr>
          <w:rFonts w:hint="default"/>
        </w:rPr>
      </w:pPr>
      <w:r>
        <w:rPr>
          <w:rFonts w:hint="default"/>
        </w:rPr>
        <w:t>メタボ該当者及び</w:t>
      </w:r>
      <w:r>
        <w:rPr>
          <w:rFonts w:hint="eastAsia"/>
        </w:rPr>
        <w:t>メタボ</w:t>
      </w:r>
      <w:r>
        <w:rPr>
          <w:rFonts w:hint="default"/>
        </w:rPr>
        <w:t>予備群該当者の減少率は、令和</w:t>
      </w:r>
      <w:r>
        <w:rPr>
          <w:rFonts w:hint="default"/>
        </w:rPr>
        <w:t>5</w:t>
      </w:r>
      <w:r>
        <w:rPr>
          <w:rFonts w:hint="default"/>
        </w:rPr>
        <w:t>年度までに平成</w:t>
      </w:r>
      <w:r>
        <w:rPr>
          <w:rFonts w:hint="default"/>
        </w:rPr>
        <w:t>20</w:t>
      </w:r>
      <w:r>
        <w:rPr>
          <w:rFonts w:hint="default"/>
        </w:rPr>
        <w:t>年度比</w:t>
      </w:r>
      <w:r>
        <w:rPr>
          <w:rFonts w:hint="default"/>
        </w:rPr>
        <w:t>25</w:t>
      </w:r>
      <w:r>
        <w:rPr>
          <w:rFonts w:hint="eastAsia"/>
        </w:rPr>
        <w:t>.0</w:t>
      </w:r>
      <w:r>
        <w:rPr>
          <w:rFonts w:hint="default"/>
        </w:rPr>
        <w:t>%</w:t>
      </w:r>
      <w:r>
        <w:rPr>
          <w:rFonts w:hint="default"/>
        </w:rPr>
        <w:t>以上減が目標として設定されていたが、令和</w:t>
      </w:r>
      <w:r>
        <w:rPr>
          <w:rFonts w:hint="default"/>
        </w:rPr>
        <w:t>3</w:t>
      </w:r>
      <w:r>
        <w:rPr>
          <w:rFonts w:hint="default"/>
        </w:rPr>
        <w:t>年度時点では</w:t>
      </w:r>
      <w:r>
        <w:rPr>
          <w:rFonts w:hint="default"/>
        </w:rPr>
        <w:t>13.8%</w:t>
      </w:r>
      <w:r>
        <w:rPr>
          <w:rFonts w:hint="default"/>
        </w:rPr>
        <w:t>減となっており、目標達成が厳しい状況にある（</w:t>
      </w:r>
      <w:r>
        <w:rPr>
          <w:rFonts w:hint="eastAsia"/>
        </w:rPr>
        <w:fldChar w:fldCharType="begin"/>
      </w:r>
      <w:r>
        <w:rPr>
          <w:rFonts w:hint="eastAsia"/>
        </w:rPr>
        <w:instrText xml:space="preserve">REF _Ref124930660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1</w:t>
      </w:r>
      <w:r>
        <w:rPr>
          <w:rFonts w:hint="eastAsia"/>
        </w:rPr>
        <w:t>-</w:t>
      </w:r>
      <w:r>
        <w:rPr>
          <w:rFonts w:hint="default"/>
        </w:rPr>
        <w:t>2</w:t>
      </w:r>
      <w:r>
        <w:rPr>
          <w:rFonts w:hint="eastAsia"/>
        </w:rPr>
        <w:fldChar w:fldCharType="end"/>
      </w:r>
      <w:r>
        <w:rPr>
          <w:rFonts w:hint="default"/>
        </w:rPr>
        <w:t>）。</w:t>
      </w:r>
    </w:p>
    <w:p>
      <w:pPr>
        <w:pStyle w:val="39"/>
        <w:ind w:firstLine="200"/>
        <w:rPr>
          <w:rFonts w:hint="default"/>
        </w:rPr>
      </w:pPr>
      <w:r>
        <w:rPr>
          <w:rFonts w:hint="default"/>
        </w:rPr>
        <w:t>なお、メタボ該当者及び</w:t>
      </w:r>
      <w:r>
        <w:rPr>
          <w:rFonts w:hint="eastAsia"/>
        </w:rPr>
        <w:t>メタボ</w:t>
      </w:r>
      <w:r>
        <w:rPr>
          <w:rFonts w:hint="default"/>
        </w:rPr>
        <w:t>予備群</w:t>
      </w:r>
      <w:r>
        <w:rPr>
          <w:rFonts w:hint="eastAsia"/>
        </w:rPr>
        <w:t>該当者</w:t>
      </w:r>
      <w:r>
        <w:rPr>
          <w:rFonts w:hint="default"/>
        </w:rPr>
        <w:t>の減少率は、保険者</w:t>
      </w:r>
      <w:r>
        <w:rPr>
          <w:rFonts w:hint="eastAsia"/>
        </w:rPr>
        <w:t>ごと</w:t>
      </w:r>
      <w:r>
        <w:rPr>
          <w:rFonts w:hint="default"/>
        </w:rPr>
        <w:t>に目標設定されているものではなく、特定保健指導の効果を検証するための指標として保険者が活用することを推奨されているものである。</w:t>
      </w:r>
    </w:p>
    <w:p>
      <w:pPr>
        <w:pStyle w:val="0"/>
        <w:rPr>
          <w:rFonts w:hint="default"/>
        </w:rPr>
      </w:pPr>
    </w:p>
    <w:p>
      <w:pPr>
        <w:pStyle w:val="38"/>
        <w:rPr>
          <w:rFonts w:hint="default"/>
        </w:rPr>
      </w:pPr>
      <w:bookmarkStart w:id="245" w:name="_Ref124930660"/>
      <w:bookmarkStart w:id="246" w:name="_Toc12493686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245"/>
      <w:r>
        <w:rPr>
          <w:rFonts w:hint="default"/>
        </w:rPr>
        <w:t>：第</w:t>
      </w:r>
      <w:r>
        <w:rPr>
          <w:rFonts w:hint="default"/>
        </w:rPr>
        <w:t>3</w:t>
      </w:r>
      <w:r>
        <w:rPr>
          <w:rFonts w:hint="default"/>
        </w:rPr>
        <w:t>期計画</w:t>
      </w:r>
      <w:r>
        <w:rPr>
          <w:rFonts w:hint="eastAsia"/>
        </w:rPr>
        <w:t>における</w:t>
      </w:r>
      <w:r>
        <w:rPr>
          <w:rFonts w:hint="default"/>
        </w:rPr>
        <w:t>メタボ該当者</w:t>
      </w:r>
      <w:r>
        <w:rPr>
          <w:rFonts w:hint="eastAsia"/>
        </w:rPr>
        <w:t>・メタボ</w:t>
      </w:r>
      <w:r>
        <w:rPr>
          <w:rFonts w:hint="default"/>
        </w:rPr>
        <w:t>予備群該当者の減少率の目標値及び実績</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4673"/>
        <w:gridCol w:w="2351"/>
        <w:gridCol w:w="2351"/>
      </w:tblGrid>
      <w:tr>
        <w:trPr/>
        <w:tc>
          <w:tcPr>
            <w:tcW w:w="2492" w:type="pct"/>
            <w:shd w:val="clear" w:color="auto" w:fill="CCD6FF"/>
            <w:tcMar>
              <w:top w:w="28" w:type="dxa"/>
              <w:left w:w="28" w:type="dxa"/>
              <w:bottom w:w="28" w:type="dxa"/>
              <w:right w:w="28" w:type="dxa"/>
            </w:tcMar>
            <w:vAlign w:val="center"/>
          </w:tcPr>
          <w:p>
            <w:pPr>
              <w:pStyle w:val="0"/>
              <w:jc w:val="center"/>
              <w:rPr>
                <w:rFonts w:hint="default"/>
              </w:rPr>
            </w:pPr>
            <w:bookmarkEnd w:id="246"/>
          </w:p>
        </w:tc>
        <w:tc>
          <w:tcPr>
            <w:tcW w:w="125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5</w:t>
            </w:r>
            <w:r>
              <w:rPr>
                <w:rFonts w:hint="default"/>
                <w:b w:val="1"/>
              </w:rPr>
              <w:t>年度</w:t>
            </w:r>
            <w:r>
              <w:rPr>
                <w:rFonts w:hint="eastAsia"/>
                <w:b w:val="1"/>
              </w:rPr>
              <w:t>_</w:t>
            </w:r>
            <w:r>
              <w:rPr>
                <w:rFonts w:hint="default"/>
                <w:b w:val="1"/>
              </w:rPr>
              <w:t>目標値</w:t>
            </w:r>
            <w:r>
              <w:rPr>
                <w:rFonts w:hint="eastAsia"/>
                <w:b w:val="1"/>
              </w:rPr>
              <w:t>_</w:t>
            </w:r>
            <w:r>
              <w:rPr>
                <w:rFonts w:hint="default"/>
                <w:b w:val="1"/>
              </w:rPr>
              <w:t>全保険者</w:t>
            </w:r>
          </w:p>
        </w:tc>
        <w:tc>
          <w:tcPr>
            <w:tcW w:w="125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r>
              <w:rPr>
                <w:rFonts w:hint="eastAsia"/>
                <w:b w:val="1"/>
              </w:rPr>
              <w:t>_</w:t>
            </w:r>
            <w:r>
              <w:rPr>
                <w:rFonts w:hint="default"/>
                <w:b w:val="1"/>
              </w:rPr>
              <w:t>実績</w:t>
            </w:r>
            <w:r>
              <w:rPr>
                <w:rFonts w:hint="eastAsia"/>
                <w:b w:val="1"/>
              </w:rPr>
              <w:t>_</w:t>
            </w:r>
            <w:r>
              <w:rPr>
                <w:rFonts w:hint="default"/>
                <w:b w:val="1"/>
              </w:rPr>
              <w:t>全保険者</w:t>
            </w:r>
          </w:p>
        </w:tc>
      </w:tr>
      <w:tr>
        <w:trPr/>
        <w:tc>
          <w:tcPr>
            <w:tcW w:w="2492" w:type="pct"/>
            <w:shd w:val="clear" w:color="auto" w:fill="auto"/>
            <w:tcMar>
              <w:top w:w="28" w:type="dxa"/>
              <w:left w:w="28" w:type="dxa"/>
              <w:bottom w:w="28" w:type="dxa"/>
              <w:right w:w="28" w:type="dxa"/>
            </w:tcMar>
            <w:vAlign w:val="center"/>
          </w:tcPr>
          <w:p>
            <w:pPr>
              <w:pStyle w:val="0"/>
              <w:rPr>
                <w:rFonts w:hint="default"/>
              </w:rPr>
            </w:pPr>
            <w:r>
              <w:rPr>
                <w:rFonts w:hint="default"/>
              </w:rPr>
              <w:t>メタボ該当者</w:t>
            </w:r>
            <w:r>
              <w:rPr>
                <w:rFonts w:hint="eastAsia"/>
              </w:rPr>
              <w:t>・</w:t>
            </w:r>
            <w:r>
              <w:rPr>
                <w:rFonts w:hint="default"/>
              </w:rPr>
              <w:t>メタボ予備群該当者の減少率（平成</w:t>
            </w:r>
            <w:r>
              <w:rPr>
                <w:rFonts w:hint="default"/>
              </w:rPr>
              <w:t>20</w:t>
            </w:r>
            <w:r>
              <w:rPr>
                <w:rFonts w:hint="default"/>
              </w:rPr>
              <w:t>年度比）</w:t>
            </w:r>
          </w:p>
        </w:tc>
        <w:tc>
          <w:tcPr>
            <w:tcW w:w="1254" w:type="pct"/>
            <w:shd w:val="clear" w:color="auto" w:fill="auto"/>
            <w:tcMar>
              <w:top w:w="28" w:type="dxa"/>
              <w:left w:w="28" w:type="dxa"/>
              <w:bottom w:w="28" w:type="dxa"/>
              <w:right w:w="28" w:type="dxa"/>
            </w:tcMar>
            <w:vAlign w:val="center"/>
          </w:tcPr>
          <w:p>
            <w:pPr>
              <w:pStyle w:val="0"/>
              <w:jc w:val="right"/>
              <w:rPr>
                <w:rFonts w:hint="default"/>
              </w:rPr>
            </w:pPr>
            <w:r>
              <w:rPr>
                <w:rFonts w:hint="default"/>
              </w:rPr>
              <w:t>25</w:t>
            </w:r>
            <w:r>
              <w:rPr>
                <w:rFonts w:hint="eastAsia"/>
              </w:rPr>
              <w:t>.0</w:t>
            </w:r>
            <w:r>
              <w:rPr>
                <w:rFonts w:hint="default"/>
              </w:rPr>
              <w:t>%</w:t>
            </w:r>
          </w:p>
        </w:tc>
        <w:tc>
          <w:tcPr>
            <w:tcW w:w="1254" w:type="pct"/>
            <w:shd w:val="clear" w:color="auto" w:fill="auto"/>
            <w:tcMar>
              <w:top w:w="28" w:type="dxa"/>
              <w:left w:w="28" w:type="dxa"/>
              <w:bottom w:w="28" w:type="dxa"/>
              <w:right w:w="28" w:type="dxa"/>
            </w:tcMar>
            <w:vAlign w:val="center"/>
          </w:tcPr>
          <w:p>
            <w:pPr>
              <w:pStyle w:val="0"/>
              <w:jc w:val="right"/>
              <w:rPr>
                <w:rFonts w:hint="default"/>
              </w:rPr>
            </w:pPr>
            <w:r>
              <w:rPr>
                <w:rFonts w:hint="default"/>
              </w:rPr>
              <w:t>13.8%</w:t>
            </w:r>
          </w:p>
        </w:tc>
      </w:tr>
    </w:tbl>
    <w:p>
      <w:pPr>
        <w:pStyle w:val="44"/>
        <w:rPr>
          <w:rFonts w:hint="default"/>
        </w:rPr>
      </w:pPr>
      <w:r>
        <w:rPr>
          <w:rFonts w:hint="default"/>
        </w:rPr>
        <w:t>【出典】厚生労働省</w:t>
      </w:r>
      <w:r>
        <w:rPr>
          <w:rFonts w:hint="eastAsia"/>
        </w:rPr>
        <w:t xml:space="preserve"> </w:t>
      </w:r>
      <w:r>
        <w:rPr>
          <w:rFonts w:hint="eastAsia"/>
        </w:rPr>
        <w:t>特定健康診査等実施計画作成の手引き（第</w:t>
      </w:r>
      <w:r>
        <w:rPr>
          <w:rFonts w:hint="eastAsia"/>
        </w:rPr>
        <w:t>4</w:t>
      </w:r>
      <w:r>
        <w:rPr>
          <w:rFonts w:hint="eastAsia"/>
        </w:rPr>
        <w:t>版）</w:t>
      </w:r>
    </w:p>
    <w:p>
      <w:pPr>
        <w:pStyle w:val="0"/>
        <w:rPr>
          <w:rFonts w:hint="default"/>
        </w:rPr>
      </w:pPr>
      <w:r>
        <w:rPr>
          <w:rFonts w:hint="eastAsia"/>
        </w:rPr>
        <w:t>厚生労働省</w:t>
      </w:r>
      <w:r>
        <w:rPr>
          <w:rFonts w:hint="eastAsia"/>
        </w:rPr>
        <w:t xml:space="preserve"> </w:t>
      </w:r>
      <w:r>
        <w:rPr>
          <w:rFonts w:hint="default"/>
        </w:rPr>
        <w:t>2021</w:t>
      </w:r>
      <w:r>
        <w:rPr>
          <w:rFonts w:hint="eastAsia"/>
        </w:rPr>
        <w:t>年度</w:t>
      </w:r>
      <w:r>
        <w:rPr>
          <w:rFonts w:hint="eastAsia"/>
        </w:rPr>
        <w:t xml:space="preserve"> </w:t>
      </w:r>
      <w:r>
        <w:rPr>
          <w:rFonts w:hint="default"/>
        </w:rPr>
        <w:t>特定健康診査・特定保健指導の実施状況</w:t>
      </w:r>
    </w:p>
    <w:p>
      <w:pPr>
        <w:pStyle w:val="42"/>
        <w:rPr>
          <w:rFonts w:hint="default"/>
        </w:rPr>
      </w:pPr>
      <w:r>
        <w:rPr>
          <w:rFonts w:hint="eastAsia"/>
        </w:rPr>
        <w:t>※</w:t>
      </w:r>
      <w:r>
        <w:rPr>
          <w:rFonts w:hint="default"/>
        </w:rPr>
        <w:t>平成</w:t>
      </w:r>
      <w:r>
        <w:rPr>
          <w:rFonts w:hint="default"/>
        </w:rPr>
        <w:t>20</w:t>
      </w:r>
      <w:r>
        <w:rPr>
          <w:rFonts w:hint="default"/>
        </w:rPr>
        <w:t>年度と令和</w:t>
      </w:r>
      <w:r>
        <w:rPr>
          <w:rFonts w:hint="default"/>
        </w:rPr>
        <w:t>3</w:t>
      </w:r>
      <w:r>
        <w:rPr>
          <w:rFonts w:hint="default"/>
        </w:rPr>
        <w:t>年度の推定数の差分を平成</w:t>
      </w:r>
      <w:r>
        <w:rPr>
          <w:rFonts w:hint="default"/>
        </w:rPr>
        <w:t>20</w:t>
      </w:r>
      <w:r>
        <w:rPr>
          <w:rFonts w:hint="default"/>
        </w:rPr>
        <w:t>年度の推定数で除して算出</w:t>
      </w:r>
    </w:p>
    <w:p>
      <w:pPr>
        <w:pStyle w:val="42"/>
        <w:rPr>
          <w:rFonts w:hint="default"/>
        </w:rPr>
      </w:pPr>
      <w:r>
        <w:rPr>
          <w:rFonts w:hint="eastAsia"/>
        </w:rPr>
        <w:t>※</w:t>
      </w:r>
      <w:r>
        <w:rPr>
          <w:rFonts w:hint="default"/>
        </w:rPr>
        <w:t>推定数は、特定健診の実施率及び年齢構成比の変化による影響を排除するため、性・年齢階層別に各年度の特定健診受診者に占める出現割合に各年度の住民基本台帳の人口を乗じて算出</w:t>
      </w:r>
    </w:p>
    <w:p>
      <w:pPr>
        <w:pStyle w:val="0"/>
        <w:rPr>
          <w:rFonts w:hint="default"/>
        </w:rPr>
      </w:pPr>
      <w:bookmarkStart w:id="247" w:name="_i082fz6hs1w6"/>
      <w:bookmarkEnd w:id="247"/>
      <w:r>
        <w:rPr>
          <w:rFonts w:hint="default"/>
        </w:rPr>
        <w:br w:type="page"/>
      </w:r>
    </w:p>
    <w:p>
      <w:pPr>
        <w:pStyle w:val="3"/>
        <w:rPr>
          <w:rFonts w:hint="default"/>
        </w:rPr>
      </w:pPr>
      <w:bookmarkStart w:id="248" w:name="_Toc162548748"/>
      <w:r>
        <w:rPr>
          <w:rFonts w:hint="default"/>
        </w:rPr>
        <w:t>八街市の状況</w:t>
      </w:r>
      <w:bookmarkEnd w:id="248"/>
    </w:p>
    <w:p>
      <w:pPr>
        <w:pStyle w:val="4"/>
        <w:rPr>
          <w:rFonts w:hint="default"/>
        </w:rPr>
      </w:pPr>
      <w:r>
        <w:rPr>
          <w:rFonts w:hint="default"/>
        </w:rPr>
        <w:t>特定健診受診率</w:t>
      </w:r>
    </w:p>
    <w:p>
      <w:pPr>
        <w:pStyle w:val="39"/>
        <w:ind w:firstLine="200"/>
        <w:rPr>
          <w:rFonts w:hint="default"/>
        </w:rPr>
      </w:pPr>
      <w:r>
        <w:rPr>
          <w:rFonts w:hint="eastAsia"/>
        </w:rPr>
        <w:t>第</w:t>
      </w:r>
      <w:r>
        <w:rPr>
          <w:rFonts w:hint="default"/>
        </w:rPr>
        <w:t>3</w:t>
      </w:r>
      <w:r>
        <w:rPr>
          <w:rFonts w:hint="default"/>
        </w:rPr>
        <w:t>期計画における特定健診の受診状況</w:t>
      </w:r>
      <w:r>
        <w:rPr>
          <w:rFonts w:hint="eastAsia"/>
        </w:rPr>
        <w:t>をみると（</w:t>
      </w:r>
      <w:r>
        <w:rPr>
          <w:rFonts w:hint="eastAsia"/>
        </w:rPr>
        <w:fldChar w:fldCharType="begin"/>
      </w:r>
      <w:r>
        <w:rPr>
          <w:rFonts w:hint="eastAsia"/>
        </w:rPr>
        <w:instrText xml:space="preserve">REF _Ref124772512 \h </w:instrText>
      </w:r>
      <w:r>
        <w:rPr>
          <w:rFonts w:hint="eastAsia"/>
        </w:rPr>
        <w:fldChar w:fldCharType="separate"/>
      </w:r>
      <w:r>
        <w:rPr>
          <w:rFonts w:hint="default"/>
        </w:rPr>
        <w:t>図表</w:t>
      </w:r>
      <w:r>
        <w:rPr>
          <w:rFonts w:hint="default"/>
        </w:rPr>
        <w:t>10-2-2-1</w:t>
      </w:r>
      <w:r>
        <w:rPr>
          <w:rFonts w:hint="eastAsia"/>
        </w:rPr>
        <w:fldChar w:fldCharType="end"/>
      </w:r>
      <w:r>
        <w:rPr>
          <w:rFonts w:hint="eastAsia"/>
        </w:rPr>
        <w:t>）、特定健診受診率は、前期計画終了年度にあたる令和</w:t>
      </w:r>
      <w:r>
        <w:rPr>
          <w:rFonts w:hint="default"/>
        </w:rPr>
        <w:t>5</w:t>
      </w:r>
      <w:r>
        <w:rPr>
          <w:rFonts w:hint="default"/>
        </w:rPr>
        <w:t>年度の目標値を</w:t>
      </w:r>
      <w:r>
        <w:rPr>
          <w:rFonts w:hint="eastAsia"/>
        </w:rPr>
        <w:t>4</w:t>
      </w:r>
      <w:r>
        <w:rPr>
          <w:rFonts w:hint="default"/>
        </w:rPr>
        <w:t>0.0%</w:t>
      </w:r>
      <w:r>
        <w:rPr>
          <w:rFonts w:hint="default"/>
        </w:rPr>
        <w:t>としていたが、</w:t>
      </w:r>
      <w:bookmarkStart w:id="249" w:name="_Hlk152705575"/>
      <w:r>
        <w:rPr>
          <w:rFonts w:hint="default"/>
        </w:rPr>
        <w:t>令和</w:t>
      </w:r>
      <w:r>
        <w:rPr>
          <w:rFonts w:hint="default"/>
        </w:rPr>
        <w:t>4</w:t>
      </w:r>
      <w:r>
        <w:rPr>
          <w:rFonts w:hint="default"/>
        </w:rPr>
        <w:t>年度の速報値では</w:t>
      </w:r>
      <w:r>
        <w:rPr>
          <w:rFonts w:hint="eastAsia"/>
        </w:rPr>
        <w:t>2</w:t>
      </w:r>
      <w:r>
        <w:rPr>
          <w:rFonts w:hint="default"/>
        </w:rPr>
        <w:t>8.</w:t>
      </w:r>
      <w:r>
        <w:rPr>
          <w:rFonts w:hint="eastAsia"/>
        </w:rPr>
        <w:t>9</w:t>
      </w:r>
      <w:r>
        <w:rPr>
          <w:rFonts w:hint="default"/>
        </w:rPr>
        <w:t>%</w:t>
      </w:r>
      <w:r>
        <w:rPr>
          <w:rFonts w:hint="default"/>
        </w:rPr>
        <w:t>となっており、令和</w:t>
      </w:r>
      <w:r>
        <w:rPr>
          <w:rFonts w:hint="eastAsia"/>
        </w:rPr>
        <w:t>1</w:t>
      </w:r>
      <w:r>
        <w:rPr>
          <w:rFonts w:hint="default"/>
        </w:rPr>
        <w:t>年度の特定健診受診率</w:t>
      </w:r>
      <w:r>
        <w:rPr>
          <w:rFonts w:hint="default"/>
        </w:rPr>
        <w:t>3</w:t>
      </w:r>
      <w:r>
        <w:rPr>
          <w:rFonts w:hint="eastAsia"/>
        </w:rPr>
        <w:t>6</w:t>
      </w:r>
      <w:r>
        <w:rPr>
          <w:rFonts w:hint="default"/>
        </w:rPr>
        <w:t>.</w:t>
      </w:r>
      <w:r>
        <w:rPr>
          <w:rFonts w:hint="eastAsia"/>
        </w:rPr>
        <w:t>2</w:t>
      </w:r>
      <w:r>
        <w:rPr>
          <w:rFonts w:hint="default"/>
        </w:rPr>
        <w:t>%</w:t>
      </w:r>
      <w:r>
        <w:rPr>
          <w:rFonts w:hint="default"/>
        </w:rPr>
        <w:t>と比較すると</w:t>
      </w:r>
      <w:r>
        <w:rPr>
          <w:rFonts w:hint="eastAsia"/>
        </w:rPr>
        <w:t>7</w:t>
      </w:r>
      <w:r>
        <w:rPr>
          <w:rFonts w:hint="default"/>
        </w:rPr>
        <w:t>.</w:t>
      </w:r>
      <w:r>
        <w:rPr>
          <w:rFonts w:hint="eastAsia"/>
        </w:rPr>
        <w:t>3</w:t>
      </w:r>
      <w:r>
        <w:rPr>
          <w:rFonts w:hint="default"/>
        </w:rPr>
        <w:t>ポイント低下している。</w:t>
      </w:r>
    </w:p>
    <w:p>
      <w:pPr>
        <w:pStyle w:val="39"/>
        <w:ind w:firstLine="200"/>
        <w:rPr>
          <w:rFonts w:hint="default"/>
        </w:rPr>
      </w:pPr>
      <w:r>
        <w:rPr>
          <w:rFonts w:hint="eastAsia"/>
        </w:rPr>
        <w:t>令和</w:t>
      </w:r>
      <w:r>
        <w:rPr>
          <w:rFonts w:hint="default"/>
        </w:rPr>
        <w:t>3</w:t>
      </w:r>
      <w:r>
        <w:rPr>
          <w:rFonts w:hint="default"/>
        </w:rPr>
        <w:t>年度までで国や県の推移をみると、令和</w:t>
      </w:r>
      <w:r>
        <w:rPr>
          <w:rFonts w:hint="eastAsia"/>
        </w:rPr>
        <w:t>1</w:t>
      </w:r>
      <w:r>
        <w:rPr>
          <w:rFonts w:hint="default"/>
        </w:rPr>
        <w:t>年度と比較して令和</w:t>
      </w:r>
      <w:r>
        <w:rPr>
          <w:rFonts w:hint="default"/>
        </w:rPr>
        <w:t>3</w:t>
      </w:r>
      <w:r>
        <w:rPr>
          <w:rFonts w:hint="default"/>
        </w:rPr>
        <w:t>年度の特定健診受診率について国・県はともに低下している。</w:t>
      </w:r>
      <w:bookmarkEnd w:id="249"/>
    </w:p>
    <w:p>
      <w:pPr>
        <w:pStyle w:val="39"/>
        <w:ind w:firstLine="200"/>
        <w:rPr>
          <w:rFonts w:hint="default"/>
        </w:rPr>
      </w:pPr>
      <w:r>
        <w:rPr>
          <w:rFonts w:hint="eastAsia"/>
        </w:rPr>
        <w:t>男女別及び</w:t>
      </w:r>
      <w:r>
        <w:rPr>
          <w:rFonts w:hint="default"/>
        </w:rPr>
        <w:t>年代別</w:t>
      </w:r>
      <w:r>
        <w:rPr>
          <w:rFonts w:hint="eastAsia"/>
        </w:rPr>
        <w:t>における</w:t>
      </w:r>
      <w:r>
        <w:rPr>
          <w:rFonts w:hint="default"/>
        </w:rPr>
        <w:t>令和</w:t>
      </w:r>
      <w:r>
        <w:rPr>
          <w:rFonts w:hint="default"/>
        </w:rPr>
        <w:t>1</w:t>
      </w:r>
      <w:r>
        <w:rPr>
          <w:rFonts w:hint="default"/>
        </w:rPr>
        <w:t>年度と令和</w:t>
      </w:r>
      <w:r>
        <w:rPr>
          <w:rFonts w:hint="default"/>
        </w:rPr>
        <w:t>4</w:t>
      </w:r>
      <w:r>
        <w:rPr>
          <w:rFonts w:hint="default"/>
        </w:rPr>
        <w:t>年度の特定健診受診率をみると（</w:t>
      </w:r>
      <w:r>
        <w:rPr>
          <w:rFonts w:hint="eastAsia"/>
        </w:rPr>
        <w:fldChar w:fldCharType="begin"/>
      </w:r>
      <w:r>
        <w:rPr>
          <w:rFonts w:hint="eastAsia"/>
        </w:rPr>
        <w:instrText xml:space="preserve">REF _Ref124772710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2</w:t>
      </w:r>
      <w:r>
        <w:rPr>
          <w:rFonts w:hint="eastAsia"/>
        </w:rPr>
        <w:fldChar w:fldCharType="end"/>
      </w:r>
      <w:r>
        <w:rPr>
          <w:rFonts w:hint="eastAsia"/>
        </w:rPr>
        <w:t>・</w:t>
      </w:r>
      <w:r>
        <w:rPr>
          <w:rFonts w:hint="eastAsia"/>
        </w:rPr>
        <w:fldChar w:fldCharType="begin"/>
      </w:r>
      <w:r>
        <w:rPr>
          <w:rFonts w:hint="eastAsia"/>
        </w:rPr>
        <w:instrText xml:space="preserve">REF _Ref124772711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3</w:t>
      </w:r>
      <w:r>
        <w:rPr>
          <w:rFonts w:hint="eastAsia"/>
        </w:rPr>
        <w:fldChar w:fldCharType="end"/>
      </w:r>
      <w:r>
        <w:rPr>
          <w:rFonts w:hint="default"/>
        </w:rPr>
        <w:t>）、男性ではいずれの年齢階層でも向上しておらず、</w:t>
      </w:r>
      <w:r>
        <w:rPr>
          <w:rFonts w:hint="default"/>
        </w:rPr>
        <w:t>70-74</w:t>
      </w:r>
      <w:r>
        <w:rPr>
          <w:rFonts w:hint="default"/>
        </w:rPr>
        <w:t>歳で最も低下している</w:t>
      </w:r>
      <w:r>
        <w:rPr>
          <w:rFonts w:hint="eastAsia"/>
        </w:rPr>
        <w:t>。</w:t>
      </w:r>
      <w:r>
        <w:rPr>
          <w:rFonts w:hint="default"/>
        </w:rPr>
        <w:t>女性ではいずれの年齢階層でも向上しておらず</w:t>
      </w:r>
      <w:r>
        <w:rPr>
          <w:rFonts w:hint="eastAsia"/>
        </w:rPr>
        <w:t>、</w:t>
      </w:r>
      <w:r>
        <w:rPr>
          <w:rFonts w:hint="default"/>
        </w:rPr>
        <w:t>65-69</w:t>
      </w:r>
      <w:r>
        <w:rPr>
          <w:rFonts w:hint="default"/>
        </w:rPr>
        <w:t>歳で最も低下している。</w:t>
      </w:r>
    </w:p>
    <w:p>
      <w:pPr>
        <w:pStyle w:val="0"/>
        <w:tabs>
          <w:tab w:val="right" w:leader="none" w:pos="10204"/>
        </w:tabs>
        <w:rPr>
          <w:rFonts w:hint="default"/>
        </w:rPr>
      </w:pPr>
    </w:p>
    <w:p>
      <w:pPr>
        <w:pStyle w:val="38"/>
        <w:rPr>
          <w:rFonts w:hint="default"/>
        </w:rPr>
      </w:pPr>
      <w:bookmarkStart w:id="250" w:name="_Ref124772512"/>
      <w:bookmarkStart w:id="251" w:name="_Toc12493686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default"/>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default"/>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default"/>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50"/>
      <w:r>
        <w:rPr>
          <w:rFonts w:hint="default"/>
        </w:rPr>
        <w:t>：第</w:t>
      </w:r>
      <w:r>
        <w:rPr>
          <w:rFonts w:hint="default"/>
        </w:rPr>
        <w:t>3</w:t>
      </w:r>
      <w:r>
        <w:rPr>
          <w:rFonts w:hint="default"/>
        </w:rPr>
        <w:t>期計画における特定健診の受診状況</w:t>
      </w:r>
      <w:r>
        <w:rPr>
          <w:rFonts w:hint="eastAsia"/>
        </w:rPr>
        <w:t>（法定報告値）</w:t>
      </w:r>
      <w:bookmarkEnd w:id="251"/>
    </w:p>
    <w:p>
      <w:pPr>
        <w:pStyle w:val="0"/>
        <w:tabs>
          <w:tab w:val="right" w:leader="none" w:pos="10204"/>
        </w:tabs>
        <w:jc w:val="center"/>
        <w:rPr>
          <w:rFonts w:hint="default"/>
        </w:rPr>
      </w:pPr>
      <w:r>
        <w:rPr>
          <w:rFonts w:hint="default"/>
        </w:rPr>
        <w:drawing>
          <wp:inline distT="0" distB="0" distL="0" distR="0">
            <wp:extent cx="5939790" cy="2519680"/>
            <wp:effectExtent l="0" t="0" r="0" b="0"/>
            <wp:docPr id="1103" name="オブジェクト 0"/>
            <a:graphic xmlns:a="http://schemas.openxmlformats.org/drawingml/2006/main">
              <a:graphicData uri="http://schemas.openxmlformats.org/drawingml/2006/chart">
                <c:chart xmlns:c="http://schemas.openxmlformats.org/drawingml/2006/chart" r:id="rId55"/>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278"/>
        <w:gridCol w:w="2089"/>
        <w:gridCol w:w="1202"/>
        <w:gridCol w:w="1202"/>
        <w:gridCol w:w="1202"/>
        <w:gridCol w:w="1202"/>
        <w:gridCol w:w="1200"/>
      </w:tblGrid>
      <w:tr>
        <w:trPr>
          <w:trHeight w:val="174" w:hRule="atLeast"/>
        </w:trPr>
        <w:tc>
          <w:tcPr>
            <w:tcW w:w="1796" w:type="pct"/>
            <w:gridSpan w:val="2"/>
            <w:shd w:val="clear" w:color="auto" w:fill="CCD6FF"/>
            <w:tcMar>
              <w:top w:w="28" w:type="dxa"/>
              <w:left w:w="28" w:type="dxa"/>
              <w:bottom w:w="28" w:type="dxa"/>
              <w:right w:w="28" w:type="dxa"/>
            </w:tcMar>
            <w:vAlign w:val="center"/>
          </w:tcPr>
          <w:p>
            <w:pPr>
              <w:pStyle w:val="0"/>
              <w:jc w:val="center"/>
              <w:rPr>
                <w:rFonts w:hint="default"/>
                <w:b w:val="1"/>
              </w:rPr>
            </w:pP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640"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5</w:t>
            </w:r>
            <w:r>
              <w:rPr>
                <w:rFonts w:hint="default"/>
                <w:b w:val="1"/>
              </w:rPr>
              <w:t>年度</w:t>
            </w:r>
          </w:p>
        </w:tc>
      </w:tr>
      <w:tr>
        <w:trPr>
          <w:trHeight w:val="250" w:hRule="atLeast"/>
        </w:trPr>
        <w:tc>
          <w:tcPr>
            <w:tcW w:w="682"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特定健診受診率</w:t>
            </w: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八街市</w:t>
            </w:r>
            <w:r>
              <w:rPr>
                <w:rFonts w:hint="default"/>
              </w:rPr>
              <w:t>_</w:t>
            </w:r>
            <w:r>
              <w:rPr>
                <w:rFonts w:hint="default"/>
              </w:rPr>
              <w:t>目標値</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60.0%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60.0%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40.0%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40.0%</w:t>
            </w:r>
          </w:p>
        </w:tc>
        <w:tc>
          <w:tcPr>
            <w:tcW w:w="640" w:type="pct"/>
            <w:shd w:val="clear" w:color="auto" w:fill="auto"/>
            <w:tcMar>
              <w:top w:w="28" w:type="dxa"/>
              <w:left w:w="28" w:type="dxa"/>
              <w:bottom w:w="28" w:type="dxa"/>
              <w:right w:w="28" w:type="dxa"/>
            </w:tcMar>
            <w:vAlign w:val="center"/>
          </w:tcPr>
          <w:p>
            <w:pPr>
              <w:pStyle w:val="0"/>
              <w:jc w:val="right"/>
              <w:rPr>
                <w:rFonts w:hint="default"/>
              </w:rPr>
            </w:pPr>
            <w:r>
              <w:rPr>
                <w:rFonts w:hint="default"/>
              </w:rPr>
              <w:t>40.0%</w:t>
            </w:r>
          </w:p>
        </w:tc>
      </w:tr>
      <w:tr>
        <w:trPr>
          <w:trHeight w:val="250" w:hRule="atLeast"/>
        </w:trPr>
        <w:tc>
          <w:tcPr>
            <w:tcW w:w="682" w:type="pct"/>
            <w:vMerge w:val="continue"/>
            <w:shd w:val="clear" w:color="auto" w:fill="auto"/>
            <w:tcMar>
              <w:top w:w="28" w:type="dxa"/>
              <w:left w:w="28" w:type="dxa"/>
              <w:bottom w:w="28" w:type="dxa"/>
              <w:right w:w="28" w:type="dxa"/>
            </w:tcMar>
            <w:vAlign w:val="center"/>
          </w:tcPr>
          <w:p>
            <w:pPr>
              <w:pStyle w:val="0"/>
              <w:rPr>
                <w:rFonts w:hint="default"/>
              </w:rPr>
            </w:pP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八街市</w:t>
            </w:r>
            <w:r>
              <w:rPr>
                <w:rFonts w:hint="default"/>
              </w:rPr>
              <w:t>_</w:t>
            </w:r>
            <w:r>
              <w:rPr>
                <w:rFonts w:hint="default"/>
              </w:rPr>
              <w:t>実績値</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36.2%</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19.6%</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28.7%</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28.9%</w:t>
            </w:r>
          </w:p>
        </w:tc>
        <w:tc>
          <w:tcPr>
            <w:tcW w:w="640"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161" w:hRule="atLeast"/>
        </w:trPr>
        <w:tc>
          <w:tcPr>
            <w:tcW w:w="682" w:type="pct"/>
            <w:vMerge w:val="continue"/>
            <w:shd w:val="clear" w:color="auto" w:fill="auto"/>
            <w:tcMar>
              <w:top w:w="28" w:type="dxa"/>
              <w:left w:w="28" w:type="dxa"/>
              <w:bottom w:w="28" w:type="dxa"/>
              <w:right w:w="28" w:type="dxa"/>
            </w:tcMar>
            <w:vAlign w:val="center"/>
          </w:tcPr>
          <w:p>
            <w:pPr>
              <w:pStyle w:val="0"/>
              <w:rPr>
                <w:rFonts w:hint="default"/>
              </w:rPr>
            </w:pP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641" w:type="pct"/>
            <w:tcMar>
              <w:top w:w="28" w:type="dxa"/>
              <w:left w:w="28" w:type="dxa"/>
              <w:bottom w:w="28" w:type="dxa"/>
              <w:right w:w="28" w:type="dxa"/>
            </w:tcMar>
            <w:vAlign w:val="center"/>
          </w:tcPr>
          <w:p>
            <w:pPr>
              <w:pStyle w:val="0"/>
              <w:jc w:val="right"/>
              <w:rPr>
                <w:rFonts w:hint="default"/>
              </w:rPr>
            </w:pPr>
            <w:r>
              <w:rPr>
                <w:rFonts w:hint="default"/>
              </w:rPr>
              <w:t>38.0%</w:t>
            </w:r>
          </w:p>
        </w:tc>
        <w:tc>
          <w:tcPr>
            <w:tcW w:w="641" w:type="pct"/>
            <w:tcMar>
              <w:top w:w="28" w:type="dxa"/>
              <w:left w:w="28" w:type="dxa"/>
              <w:bottom w:w="28" w:type="dxa"/>
              <w:right w:w="28" w:type="dxa"/>
            </w:tcMar>
            <w:vAlign w:val="center"/>
          </w:tcPr>
          <w:p>
            <w:pPr>
              <w:pStyle w:val="0"/>
              <w:jc w:val="right"/>
              <w:rPr>
                <w:rFonts w:hint="default"/>
              </w:rPr>
            </w:pPr>
            <w:r>
              <w:rPr>
                <w:rFonts w:hint="default"/>
              </w:rPr>
              <w:t>33.7%</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36.4%</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640"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161" w:hRule="atLeast"/>
        </w:trPr>
        <w:tc>
          <w:tcPr>
            <w:tcW w:w="682" w:type="pct"/>
            <w:vMerge w:val="continue"/>
            <w:shd w:val="clear" w:color="auto" w:fill="auto"/>
            <w:tcMar>
              <w:top w:w="28" w:type="dxa"/>
              <w:left w:w="28" w:type="dxa"/>
              <w:bottom w:w="28" w:type="dxa"/>
              <w:right w:w="28" w:type="dxa"/>
            </w:tcMar>
            <w:vAlign w:val="center"/>
          </w:tcPr>
          <w:p>
            <w:pPr>
              <w:pStyle w:val="0"/>
              <w:rPr>
                <w:rFonts w:hint="default"/>
              </w:rPr>
            </w:pP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641" w:type="pct"/>
            <w:tcMar>
              <w:top w:w="28" w:type="dxa"/>
              <w:left w:w="28" w:type="dxa"/>
              <w:bottom w:w="28" w:type="dxa"/>
              <w:right w:w="28" w:type="dxa"/>
            </w:tcMar>
            <w:vAlign w:val="center"/>
          </w:tcPr>
          <w:p>
            <w:pPr>
              <w:pStyle w:val="0"/>
              <w:jc w:val="right"/>
              <w:rPr>
                <w:rFonts w:hint="default"/>
              </w:rPr>
            </w:pPr>
            <w:r>
              <w:rPr>
                <w:rFonts w:hint="default"/>
              </w:rPr>
              <w:t>40.9%</w:t>
            </w:r>
          </w:p>
        </w:tc>
        <w:tc>
          <w:tcPr>
            <w:tcW w:w="641" w:type="pct"/>
            <w:tcMar>
              <w:top w:w="28" w:type="dxa"/>
              <w:left w:w="28" w:type="dxa"/>
              <w:bottom w:w="28" w:type="dxa"/>
              <w:right w:w="28" w:type="dxa"/>
            </w:tcMar>
            <w:vAlign w:val="center"/>
          </w:tcPr>
          <w:p>
            <w:pPr>
              <w:pStyle w:val="0"/>
              <w:jc w:val="right"/>
              <w:rPr>
                <w:rFonts w:hint="default"/>
              </w:rPr>
            </w:pPr>
            <w:r>
              <w:rPr>
                <w:rFonts w:hint="default"/>
              </w:rPr>
              <w:t>33.0%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36.6%</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r>
              <w:rPr>
                <w:rFonts w:hint="eastAsia"/>
              </w:rPr>
              <w:t>8</w:t>
            </w:r>
            <w:r>
              <w:rPr>
                <w:rFonts w:hint="default"/>
              </w:rPr>
              <w:t>.</w:t>
            </w:r>
            <w:r>
              <w:rPr>
                <w:rFonts w:hint="eastAsia"/>
              </w:rPr>
              <w:t>2</w:t>
            </w:r>
            <w:r>
              <w:rPr>
                <w:rFonts w:hint="default"/>
              </w:rPr>
              <w:t>%</w:t>
            </w:r>
          </w:p>
        </w:tc>
        <w:tc>
          <w:tcPr>
            <w:tcW w:w="640"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161" w:hRule="atLeast"/>
        </w:trPr>
        <w:tc>
          <w:tcPr>
            <w:tcW w:w="1796" w:type="pct"/>
            <w:gridSpan w:val="2"/>
            <w:shd w:val="clear" w:color="auto" w:fill="auto"/>
            <w:tcMar>
              <w:top w:w="28" w:type="dxa"/>
              <w:left w:w="28" w:type="dxa"/>
              <w:bottom w:w="28" w:type="dxa"/>
              <w:right w:w="28" w:type="dxa"/>
            </w:tcMar>
            <w:vAlign w:val="center"/>
          </w:tcPr>
          <w:p>
            <w:pPr>
              <w:pStyle w:val="0"/>
              <w:rPr>
                <w:rFonts w:hint="default"/>
              </w:rPr>
            </w:pPr>
            <w:r>
              <w:rPr>
                <w:rFonts w:hint="default"/>
              </w:rPr>
              <w:t>特定健診対象者数（人）</w:t>
            </w:r>
          </w:p>
        </w:tc>
        <w:tc>
          <w:tcPr>
            <w:tcW w:w="641" w:type="pct"/>
            <w:tcMar>
              <w:top w:w="28" w:type="dxa"/>
              <w:left w:w="28" w:type="dxa"/>
              <w:bottom w:w="28" w:type="dxa"/>
              <w:right w:w="28" w:type="dxa"/>
            </w:tcMar>
            <w:vAlign w:val="center"/>
          </w:tcPr>
          <w:p>
            <w:pPr>
              <w:pStyle w:val="0"/>
              <w:jc w:val="right"/>
              <w:rPr>
                <w:rFonts w:hint="default"/>
              </w:rPr>
            </w:pPr>
            <w:r>
              <w:rPr>
                <w:rFonts w:hint="default"/>
              </w:rPr>
              <w:t>13,547</w:t>
            </w:r>
          </w:p>
        </w:tc>
        <w:tc>
          <w:tcPr>
            <w:tcW w:w="641" w:type="pct"/>
            <w:tcMar>
              <w:top w:w="28" w:type="dxa"/>
              <w:left w:w="28" w:type="dxa"/>
              <w:bottom w:w="28" w:type="dxa"/>
              <w:right w:w="28" w:type="dxa"/>
            </w:tcMar>
            <w:vAlign w:val="center"/>
          </w:tcPr>
          <w:p>
            <w:pPr>
              <w:pStyle w:val="0"/>
              <w:jc w:val="right"/>
              <w:rPr>
                <w:rFonts w:hint="default"/>
              </w:rPr>
            </w:pPr>
            <w:r>
              <w:rPr>
                <w:rFonts w:hint="default"/>
              </w:rPr>
              <w:t>13,421</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13,185</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12,442</w:t>
            </w:r>
          </w:p>
        </w:tc>
        <w:tc>
          <w:tcPr>
            <w:tcW w:w="640"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30" w:hRule="atLeast"/>
        </w:trPr>
        <w:tc>
          <w:tcPr>
            <w:tcW w:w="1796" w:type="pct"/>
            <w:gridSpan w:val="2"/>
            <w:shd w:val="clear" w:color="auto" w:fill="auto"/>
            <w:tcMar>
              <w:top w:w="28" w:type="dxa"/>
              <w:left w:w="28" w:type="dxa"/>
              <w:bottom w:w="28" w:type="dxa"/>
              <w:right w:w="28" w:type="dxa"/>
            </w:tcMar>
            <w:vAlign w:val="center"/>
          </w:tcPr>
          <w:p>
            <w:pPr>
              <w:pStyle w:val="0"/>
              <w:rPr>
                <w:rFonts w:hint="default"/>
              </w:rPr>
            </w:pPr>
            <w:r>
              <w:rPr>
                <w:rFonts w:hint="default"/>
              </w:rPr>
              <w:t>特定健診受診者数（人）</w:t>
            </w:r>
          </w:p>
        </w:tc>
        <w:tc>
          <w:tcPr>
            <w:tcW w:w="641" w:type="pct"/>
            <w:tcMar>
              <w:top w:w="28" w:type="dxa"/>
              <w:left w:w="28" w:type="dxa"/>
              <w:bottom w:w="28" w:type="dxa"/>
              <w:right w:w="28" w:type="dxa"/>
            </w:tcMar>
            <w:vAlign w:val="center"/>
          </w:tcPr>
          <w:p>
            <w:pPr>
              <w:pStyle w:val="0"/>
              <w:jc w:val="right"/>
              <w:rPr>
                <w:rFonts w:hint="default"/>
              </w:rPr>
            </w:pPr>
            <w:r>
              <w:rPr>
                <w:rFonts w:hint="default"/>
              </w:rPr>
              <w:t>4,899</w:t>
            </w:r>
          </w:p>
        </w:tc>
        <w:tc>
          <w:tcPr>
            <w:tcW w:w="641" w:type="pct"/>
            <w:tcMar>
              <w:top w:w="28" w:type="dxa"/>
              <w:left w:w="28" w:type="dxa"/>
              <w:bottom w:w="28" w:type="dxa"/>
              <w:right w:w="28" w:type="dxa"/>
            </w:tcMar>
            <w:vAlign w:val="center"/>
          </w:tcPr>
          <w:p>
            <w:pPr>
              <w:pStyle w:val="0"/>
              <w:jc w:val="right"/>
              <w:rPr>
                <w:rFonts w:hint="default"/>
              </w:rPr>
            </w:pPr>
            <w:r>
              <w:rPr>
                <w:rFonts w:hint="default"/>
              </w:rPr>
              <w:t>2,624</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3,789</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3,599</w:t>
            </w:r>
          </w:p>
        </w:tc>
        <w:tc>
          <w:tcPr>
            <w:tcW w:w="640"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bl>
    <w:p>
      <w:pPr>
        <w:pStyle w:val="44"/>
        <w:rPr>
          <w:rFonts w:hint="default"/>
        </w:rPr>
      </w:pPr>
      <w:r>
        <w:rPr>
          <w:rFonts w:hint="eastAsia"/>
        </w:rPr>
        <w:t>【出典】目標値：前期計画</w:t>
      </w:r>
    </w:p>
    <w:p>
      <w:pPr>
        <w:pStyle w:val="44"/>
        <w:rPr>
          <w:rFonts w:hint="default"/>
        </w:rPr>
      </w:pPr>
      <w:r>
        <w:rPr>
          <w:rFonts w:hint="eastAsia"/>
        </w:rPr>
        <w:t>実績値：厚生労働省</w:t>
      </w:r>
      <w:r>
        <w:rPr>
          <w:rFonts w:hint="default"/>
        </w:rPr>
        <w:t xml:space="preserve"> 201</w:t>
      </w:r>
      <w:r>
        <w:rPr>
          <w:rFonts w:hint="eastAsia"/>
        </w:rPr>
        <w:t>9</w:t>
      </w:r>
      <w:r>
        <w:rPr>
          <w:rFonts w:hint="default"/>
        </w:rPr>
        <w:t>年度から</w:t>
      </w:r>
      <w:r>
        <w:rPr>
          <w:rFonts w:hint="default"/>
        </w:rPr>
        <w:t>2021</w:t>
      </w:r>
      <w:r>
        <w:rPr>
          <w:rFonts w:hint="eastAsia"/>
        </w:rPr>
        <w:t>年度</w:t>
      </w:r>
      <w:r>
        <w:rPr>
          <w:rFonts w:hint="default"/>
        </w:rPr>
        <w:t xml:space="preserve"> </w:t>
      </w:r>
      <w:r>
        <w:rPr>
          <w:rFonts w:hint="default"/>
        </w:rPr>
        <w:t>特定健診・</w:t>
      </w:r>
      <w:r>
        <w:rPr>
          <w:rFonts w:hint="eastAsia"/>
        </w:rPr>
        <w:t>特定</w:t>
      </w:r>
      <w:r>
        <w:rPr>
          <w:rFonts w:hint="default"/>
        </w:rPr>
        <w:t>保健指導</w:t>
      </w:r>
      <w:r>
        <w:rPr>
          <w:rFonts w:hint="eastAsia"/>
        </w:rPr>
        <w:t>の</w:t>
      </w:r>
      <w:r>
        <w:rPr>
          <w:rFonts w:hint="default"/>
        </w:rPr>
        <w:t>実施状況（保険者別）</w:t>
      </w:r>
    </w:p>
    <w:p>
      <w:pPr>
        <w:pStyle w:val="40"/>
        <w:rPr>
          <w:rFonts w:hint="default"/>
        </w:rPr>
      </w:pPr>
      <w:r>
        <w:rPr>
          <w:rFonts w:hint="eastAsia"/>
        </w:rPr>
        <w:t>公益社団法人</w:t>
      </w:r>
      <w:r>
        <w:rPr>
          <w:rFonts w:hint="eastAsia"/>
        </w:rPr>
        <w:t xml:space="preserve"> </w:t>
      </w:r>
      <w:r>
        <w:rPr>
          <w:rFonts w:hint="eastAsia"/>
        </w:rPr>
        <w:t>国民健康保険中央会</w:t>
      </w:r>
      <w:r>
        <w:rPr>
          <w:rFonts w:hint="eastAsia"/>
        </w:rPr>
        <w:t xml:space="preserve"> </w:t>
      </w:r>
      <w:r>
        <w:rPr>
          <w:rFonts w:hint="eastAsia"/>
        </w:rPr>
        <w:t>市町村国保特定健康診査・特定保健指導実施状況報告書</w:t>
      </w:r>
      <w:r>
        <w:rPr>
          <w:rFonts w:hint="eastAsia"/>
        </w:rPr>
        <w:t xml:space="preserve"> </w:t>
      </w:r>
      <w:r>
        <w:rPr>
          <w:rFonts w:hint="eastAsia"/>
        </w:rPr>
        <w:t>令和</w:t>
      </w:r>
      <w:r>
        <w:rPr>
          <w:rFonts w:hint="eastAsia"/>
        </w:rPr>
        <w:t>1</w:t>
      </w:r>
      <w:r>
        <w:rPr>
          <w:rFonts w:hint="eastAsia"/>
        </w:rPr>
        <w:t>年度から令和</w:t>
      </w:r>
      <w:r>
        <w:rPr>
          <w:rFonts w:hint="eastAsia"/>
        </w:rPr>
        <w:t>3</w:t>
      </w:r>
      <w:r>
        <w:rPr>
          <w:rFonts w:hint="eastAsia"/>
        </w:rPr>
        <w:t>年度</w:t>
      </w:r>
    </w:p>
    <w:p>
      <w:pPr>
        <w:pStyle w:val="42"/>
        <w:rPr>
          <w:rFonts w:hint="default"/>
        </w:rPr>
      </w:pPr>
      <w:r>
        <w:rPr>
          <w:rFonts w:hint="eastAsia"/>
        </w:rPr>
        <w:t>※表内の「国」とは、市町村国保全体を指す（</w:t>
      </w:r>
      <w:r>
        <w:rPr>
          <w:rFonts w:hint="default"/>
        </w:rPr>
        <w:t>以下同様）</w:t>
      </w:r>
    </w:p>
    <w:p>
      <w:pPr>
        <w:pStyle w:val="42"/>
        <w:rPr>
          <w:rFonts w:hint="default"/>
        </w:rPr>
      </w:pPr>
      <w:bookmarkStart w:id="252" w:name="_Hlk152705674"/>
      <w:r>
        <w:rPr>
          <w:rFonts w:hint="eastAsia"/>
        </w:rPr>
        <w:t>※令和</w:t>
      </w:r>
      <w:r>
        <w:rPr>
          <w:rFonts w:hint="default"/>
        </w:rPr>
        <w:t>4</w:t>
      </w:r>
      <w:r>
        <w:rPr>
          <w:rFonts w:hint="default"/>
        </w:rPr>
        <w:t>年度の国の法定報告値及び令和</w:t>
      </w:r>
      <w:r>
        <w:rPr>
          <w:rFonts w:hint="default"/>
        </w:rPr>
        <w:t>5</w:t>
      </w:r>
      <w:r>
        <w:rPr>
          <w:rFonts w:hint="default"/>
        </w:rPr>
        <w:t>年度法定報告値は令和</w:t>
      </w:r>
      <w:r>
        <w:rPr>
          <w:rFonts w:hint="eastAsia"/>
        </w:rPr>
        <w:t>6</w:t>
      </w:r>
      <w:r>
        <w:rPr>
          <w:rFonts w:hint="default"/>
        </w:rPr>
        <w:t>年</w:t>
      </w:r>
      <w:r>
        <w:rPr>
          <w:rFonts w:hint="eastAsia"/>
        </w:rPr>
        <w:t>3</w:t>
      </w:r>
      <w:r>
        <w:rPr>
          <w:rFonts w:hint="default"/>
        </w:rPr>
        <w:t>月時点で未公表のため、表は「</w:t>
      </w:r>
      <w:r>
        <w:rPr>
          <w:rFonts w:hint="default"/>
        </w:rPr>
        <w:t>-</w:t>
      </w:r>
      <w:r>
        <w:rPr>
          <w:rFonts w:hint="default"/>
        </w:rPr>
        <w:t>」と表記している</w:t>
      </w:r>
    </w:p>
    <w:p>
      <w:pPr>
        <w:pStyle w:val="0"/>
        <w:rPr>
          <w:rFonts w:hint="default"/>
        </w:rPr>
      </w:pPr>
      <w:bookmarkEnd w:id="252"/>
      <w:r>
        <w:rPr>
          <w:rFonts w:hint="default"/>
        </w:rPr>
        <w:br w:type="page"/>
      </w:r>
    </w:p>
    <w:p>
      <w:pPr>
        <w:pStyle w:val="38"/>
        <w:rPr>
          <w:rFonts w:hint="default"/>
        </w:rPr>
      </w:pPr>
      <w:bookmarkStart w:id="253" w:name="_Ref124772710"/>
      <w:bookmarkStart w:id="254" w:name="_Toc12493686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253"/>
      <w:r>
        <w:rPr>
          <w:rFonts w:hint="default"/>
        </w:rPr>
        <w:t>：</w:t>
      </w:r>
      <w:r>
        <w:rPr>
          <w:rFonts w:hint="eastAsia"/>
        </w:rPr>
        <w:t>年齢階層</w:t>
      </w:r>
      <w:r>
        <w:rPr>
          <w:rFonts w:hint="default"/>
        </w:rPr>
        <w:t>別</w:t>
      </w:r>
      <w:r>
        <w:rPr>
          <w:rFonts w:hint="eastAsia"/>
        </w:rPr>
        <w:t>_</w:t>
      </w:r>
      <w:r>
        <w:rPr>
          <w:rFonts w:hint="default"/>
        </w:rPr>
        <w:t>特定健診受診率</w:t>
      </w:r>
      <w:r>
        <w:rPr>
          <w:rFonts w:hint="default"/>
        </w:rPr>
        <w:t>_</w:t>
      </w:r>
      <w:r>
        <w:rPr>
          <w:rFonts w:hint="default"/>
        </w:rPr>
        <w:t>男性</w:t>
      </w:r>
      <w:bookmarkEnd w:id="254"/>
    </w:p>
    <w:p>
      <w:pPr>
        <w:pStyle w:val="0"/>
        <w:jc w:val="center"/>
        <w:rPr>
          <w:rFonts w:hint="default"/>
        </w:rPr>
      </w:pPr>
      <w:r>
        <w:rPr>
          <w:rFonts w:hint="eastAsia"/>
          <w:color w:val="000540"/>
        </w:rPr>
        <w:drawing>
          <wp:inline distT="0" distB="0" distL="0" distR="0">
            <wp:extent cx="5939790" cy="2519680"/>
            <wp:effectExtent l="0" t="0" r="0" b="0"/>
            <wp:docPr id="1104" name="オブジェクト 0"/>
            <a:graphic xmlns:a="http://schemas.openxmlformats.org/drawingml/2006/main">
              <a:graphicData uri="http://schemas.openxmlformats.org/drawingml/2006/chart">
                <c:chart xmlns:c="http://schemas.openxmlformats.org/drawingml/2006/chart" r:id="rId56"/>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407"/>
        <w:gridCol w:w="995"/>
        <w:gridCol w:w="995"/>
        <w:gridCol w:w="996"/>
        <w:gridCol w:w="996"/>
        <w:gridCol w:w="996"/>
        <w:gridCol w:w="996"/>
        <w:gridCol w:w="994"/>
      </w:tblGrid>
      <w:tr>
        <w:trPr>
          <w:trHeight w:val="20" w:hRule="atLeast"/>
        </w:trPr>
        <w:tc>
          <w:tcPr>
            <w:tcW w:w="1284" w:type="pct"/>
            <w:shd w:val="clear" w:color="auto" w:fill="CCD6FF"/>
            <w:tcMar>
              <w:top w:w="28" w:type="dxa"/>
              <w:left w:w="28" w:type="dxa"/>
              <w:bottom w:w="28" w:type="dxa"/>
              <w:right w:w="28" w:type="dxa"/>
            </w:tcMar>
            <w:vAlign w:val="center"/>
          </w:tcPr>
          <w:p>
            <w:pPr>
              <w:pStyle w:val="0"/>
              <w:jc w:val="center"/>
              <w:rPr>
                <w:rFonts w:hint="default"/>
                <w:b w:val="1"/>
              </w:rPr>
            </w:pP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40-44</w:t>
            </w:r>
            <w:r>
              <w:rPr>
                <w:rFonts w:hint="default"/>
                <w:b w:val="1"/>
              </w:rPr>
              <w:t>歳</w:t>
            </w: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45-49</w:t>
            </w:r>
            <w:r>
              <w:rPr>
                <w:rFonts w:hint="default"/>
                <w:b w:val="1"/>
              </w:rPr>
              <w:t>歳</w:t>
            </w: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50-54</w:t>
            </w:r>
            <w:r>
              <w:rPr>
                <w:rFonts w:hint="default"/>
                <w:b w:val="1"/>
              </w:rPr>
              <w:t>歳</w:t>
            </w: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55-59</w:t>
            </w:r>
            <w:r>
              <w:rPr>
                <w:rFonts w:hint="default"/>
                <w:b w:val="1"/>
              </w:rPr>
              <w:t>歳</w:t>
            </w: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60-64</w:t>
            </w:r>
            <w:r>
              <w:rPr>
                <w:rFonts w:hint="default"/>
                <w:b w:val="1"/>
              </w:rPr>
              <w:t>歳</w:t>
            </w: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65-69</w:t>
            </w:r>
            <w:r>
              <w:rPr>
                <w:rFonts w:hint="default"/>
                <w:b w:val="1"/>
              </w:rPr>
              <w:t>歳</w:t>
            </w:r>
          </w:p>
        </w:tc>
        <w:tc>
          <w:tcPr>
            <w:tcW w:w="53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70-74</w:t>
            </w:r>
            <w:r>
              <w:rPr>
                <w:rFonts w:hint="default"/>
                <w:b w:val="1"/>
              </w:rPr>
              <w:t>歳</w:t>
            </w:r>
          </w:p>
        </w:tc>
      </w:tr>
      <w:tr>
        <w:trPr>
          <w:trHeight w:val="20" w:hRule="atLeast"/>
        </w:trPr>
        <w:tc>
          <w:tcPr>
            <w:tcW w:w="1284" w:type="pct"/>
            <w:tcMar>
              <w:top w:w="28" w:type="dxa"/>
              <w:left w:w="28" w:type="dxa"/>
              <w:bottom w:w="28" w:type="dxa"/>
              <w:right w:w="28" w:type="dxa"/>
            </w:tcMar>
            <w:vAlign w:val="center"/>
          </w:tcPr>
          <w:p>
            <w:pPr>
              <w:pStyle w:val="0"/>
              <w:rPr>
                <w:rFonts w:hint="default"/>
              </w:rPr>
            </w:pPr>
            <w:r>
              <w:rPr>
                <w:rFonts w:hint="default"/>
              </w:rPr>
              <w:t>令和</w:t>
            </w:r>
            <w:r>
              <w:rPr>
                <w:rFonts w:hint="default"/>
              </w:rPr>
              <w:t>1</w:t>
            </w:r>
            <w:r>
              <w:rPr>
                <w:rFonts w:hint="default"/>
              </w:rPr>
              <w:t>年度</w:t>
            </w:r>
          </w:p>
        </w:tc>
        <w:tc>
          <w:tcPr>
            <w:tcW w:w="531" w:type="pct"/>
            <w:tcMar>
              <w:top w:w="28" w:type="dxa"/>
              <w:left w:w="28" w:type="dxa"/>
              <w:bottom w:w="28" w:type="dxa"/>
              <w:right w:w="28" w:type="dxa"/>
            </w:tcMar>
            <w:vAlign w:val="center"/>
          </w:tcPr>
          <w:p>
            <w:pPr>
              <w:pStyle w:val="0"/>
              <w:jc w:val="right"/>
              <w:rPr>
                <w:rFonts w:hint="default"/>
              </w:rPr>
            </w:pPr>
            <w:r>
              <w:rPr>
                <w:rFonts w:hint="default"/>
              </w:rPr>
              <w:t>20.4%</w:t>
            </w:r>
          </w:p>
        </w:tc>
        <w:tc>
          <w:tcPr>
            <w:tcW w:w="531" w:type="pct"/>
            <w:tcMar>
              <w:top w:w="28" w:type="dxa"/>
              <w:left w:w="28" w:type="dxa"/>
              <w:bottom w:w="28" w:type="dxa"/>
              <w:right w:w="28" w:type="dxa"/>
            </w:tcMar>
            <w:vAlign w:val="center"/>
          </w:tcPr>
          <w:p>
            <w:pPr>
              <w:pStyle w:val="0"/>
              <w:jc w:val="right"/>
              <w:rPr>
                <w:rFonts w:hint="default"/>
              </w:rPr>
            </w:pPr>
            <w:r>
              <w:rPr>
                <w:rFonts w:hint="default"/>
              </w:rPr>
              <w:t>22.2%</w:t>
            </w:r>
          </w:p>
        </w:tc>
        <w:tc>
          <w:tcPr>
            <w:tcW w:w="531" w:type="pct"/>
            <w:tcMar>
              <w:top w:w="28" w:type="dxa"/>
              <w:left w:w="28" w:type="dxa"/>
              <w:bottom w:w="28" w:type="dxa"/>
              <w:right w:w="28" w:type="dxa"/>
            </w:tcMar>
            <w:vAlign w:val="center"/>
          </w:tcPr>
          <w:p>
            <w:pPr>
              <w:pStyle w:val="0"/>
              <w:jc w:val="right"/>
              <w:rPr>
                <w:rFonts w:hint="default"/>
              </w:rPr>
            </w:pPr>
            <w:r>
              <w:rPr>
                <w:rFonts w:hint="default"/>
              </w:rPr>
              <w:t>21.3%</w:t>
            </w:r>
          </w:p>
        </w:tc>
        <w:tc>
          <w:tcPr>
            <w:tcW w:w="531" w:type="pct"/>
            <w:tcMar>
              <w:top w:w="28" w:type="dxa"/>
              <w:left w:w="28" w:type="dxa"/>
              <w:bottom w:w="28" w:type="dxa"/>
              <w:right w:w="28" w:type="dxa"/>
            </w:tcMar>
            <w:vAlign w:val="center"/>
          </w:tcPr>
          <w:p>
            <w:pPr>
              <w:pStyle w:val="0"/>
              <w:jc w:val="right"/>
              <w:rPr>
                <w:rFonts w:hint="default"/>
              </w:rPr>
            </w:pPr>
            <w:r>
              <w:rPr>
                <w:rFonts w:hint="default"/>
              </w:rPr>
              <w:t>25.9%</w:t>
            </w:r>
          </w:p>
        </w:tc>
        <w:tc>
          <w:tcPr>
            <w:tcW w:w="531" w:type="pct"/>
            <w:tcMar>
              <w:top w:w="28" w:type="dxa"/>
              <w:left w:w="28" w:type="dxa"/>
              <w:bottom w:w="28" w:type="dxa"/>
              <w:right w:w="28" w:type="dxa"/>
            </w:tcMar>
            <w:vAlign w:val="center"/>
          </w:tcPr>
          <w:p>
            <w:pPr>
              <w:pStyle w:val="0"/>
              <w:jc w:val="right"/>
              <w:rPr>
                <w:rFonts w:hint="default"/>
              </w:rPr>
            </w:pPr>
            <w:r>
              <w:rPr>
                <w:rFonts w:hint="default"/>
              </w:rPr>
              <w:t>31.7%</w:t>
            </w:r>
          </w:p>
        </w:tc>
        <w:tc>
          <w:tcPr>
            <w:tcW w:w="531" w:type="pct"/>
            <w:tcMar>
              <w:top w:w="28" w:type="dxa"/>
              <w:left w:w="28" w:type="dxa"/>
              <w:bottom w:w="28" w:type="dxa"/>
              <w:right w:w="28" w:type="dxa"/>
            </w:tcMar>
            <w:vAlign w:val="center"/>
          </w:tcPr>
          <w:p>
            <w:pPr>
              <w:pStyle w:val="0"/>
              <w:jc w:val="right"/>
              <w:rPr>
                <w:rFonts w:hint="default"/>
              </w:rPr>
            </w:pPr>
            <w:r>
              <w:rPr>
                <w:rFonts w:hint="default"/>
              </w:rPr>
              <w:t>40.9%</w:t>
            </w:r>
          </w:p>
        </w:tc>
        <w:tc>
          <w:tcPr>
            <w:tcW w:w="531" w:type="pct"/>
            <w:tcMar>
              <w:top w:w="28" w:type="dxa"/>
              <w:left w:w="28" w:type="dxa"/>
              <w:bottom w:w="28" w:type="dxa"/>
              <w:right w:w="28" w:type="dxa"/>
            </w:tcMar>
            <w:vAlign w:val="center"/>
          </w:tcPr>
          <w:p>
            <w:pPr>
              <w:pStyle w:val="0"/>
              <w:jc w:val="right"/>
              <w:rPr>
                <w:rFonts w:hint="default"/>
              </w:rPr>
            </w:pPr>
            <w:r>
              <w:rPr>
                <w:rFonts w:hint="default"/>
              </w:rPr>
              <w:t>40.7%</w:t>
            </w:r>
          </w:p>
        </w:tc>
      </w:tr>
      <w:tr>
        <w:trPr>
          <w:trHeight w:val="20" w:hRule="atLeast"/>
        </w:trPr>
        <w:tc>
          <w:tcPr>
            <w:tcW w:w="1284" w:type="pct"/>
            <w:tcMar>
              <w:top w:w="28" w:type="dxa"/>
              <w:left w:w="28" w:type="dxa"/>
              <w:bottom w:w="28" w:type="dxa"/>
              <w:right w:w="28" w:type="dxa"/>
            </w:tcMar>
            <w:vAlign w:val="center"/>
          </w:tcPr>
          <w:p>
            <w:pPr>
              <w:pStyle w:val="0"/>
              <w:rPr>
                <w:rFonts w:hint="default"/>
              </w:rPr>
            </w:pPr>
            <w:r>
              <w:rPr>
                <w:rFonts w:hint="default"/>
              </w:rPr>
              <w:t>令和</w:t>
            </w:r>
            <w:r>
              <w:rPr>
                <w:rFonts w:hint="default"/>
              </w:rPr>
              <w:t>2</w:t>
            </w:r>
            <w:r>
              <w:rPr>
                <w:rFonts w:hint="default"/>
              </w:rPr>
              <w:t>年度</w:t>
            </w:r>
          </w:p>
        </w:tc>
        <w:tc>
          <w:tcPr>
            <w:tcW w:w="531" w:type="pct"/>
            <w:tcMar>
              <w:top w:w="28" w:type="dxa"/>
              <w:left w:w="28" w:type="dxa"/>
              <w:bottom w:w="28" w:type="dxa"/>
              <w:right w:w="28" w:type="dxa"/>
            </w:tcMar>
            <w:vAlign w:val="center"/>
          </w:tcPr>
          <w:p>
            <w:pPr>
              <w:pStyle w:val="0"/>
              <w:jc w:val="right"/>
              <w:rPr>
                <w:rFonts w:hint="default"/>
              </w:rPr>
            </w:pPr>
            <w:r>
              <w:rPr>
                <w:rFonts w:hint="default"/>
              </w:rPr>
              <w:t>11.2%</w:t>
            </w:r>
          </w:p>
        </w:tc>
        <w:tc>
          <w:tcPr>
            <w:tcW w:w="531" w:type="pct"/>
            <w:tcMar>
              <w:top w:w="28" w:type="dxa"/>
              <w:left w:w="28" w:type="dxa"/>
              <w:bottom w:w="28" w:type="dxa"/>
              <w:right w:w="28" w:type="dxa"/>
            </w:tcMar>
            <w:vAlign w:val="center"/>
          </w:tcPr>
          <w:p>
            <w:pPr>
              <w:pStyle w:val="0"/>
              <w:jc w:val="right"/>
              <w:rPr>
                <w:rFonts w:hint="default"/>
              </w:rPr>
            </w:pPr>
            <w:r>
              <w:rPr>
                <w:rFonts w:hint="default"/>
              </w:rPr>
              <w:t>11.5%</w:t>
            </w:r>
          </w:p>
        </w:tc>
        <w:tc>
          <w:tcPr>
            <w:tcW w:w="531" w:type="pct"/>
            <w:tcMar>
              <w:top w:w="28" w:type="dxa"/>
              <w:left w:w="28" w:type="dxa"/>
              <w:bottom w:w="28" w:type="dxa"/>
              <w:right w:w="28" w:type="dxa"/>
            </w:tcMar>
            <w:vAlign w:val="center"/>
          </w:tcPr>
          <w:p>
            <w:pPr>
              <w:pStyle w:val="0"/>
              <w:jc w:val="right"/>
              <w:rPr>
                <w:rFonts w:hint="default"/>
              </w:rPr>
            </w:pPr>
            <w:r>
              <w:rPr>
                <w:rFonts w:hint="default"/>
              </w:rPr>
              <w:t>13.1%</w:t>
            </w:r>
          </w:p>
        </w:tc>
        <w:tc>
          <w:tcPr>
            <w:tcW w:w="531" w:type="pct"/>
            <w:tcMar>
              <w:top w:w="28" w:type="dxa"/>
              <w:left w:w="28" w:type="dxa"/>
              <w:bottom w:w="28" w:type="dxa"/>
              <w:right w:w="28" w:type="dxa"/>
            </w:tcMar>
            <w:vAlign w:val="center"/>
          </w:tcPr>
          <w:p>
            <w:pPr>
              <w:pStyle w:val="0"/>
              <w:jc w:val="right"/>
              <w:rPr>
                <w:rFonts w:hint="default"/>
              </w:rPr>
            </w:pPr>
            <w:r>
              <w:rPr>
                <w:rFonts w:hint="default"/>
              </w:rPr>
              <w:t>13.9%</w:t>
            </w:r>
          </w:p>
        </w:tc>
        <w:tc>
          <w:tcPr>
            <w:tcW w:w="531" w:type="pct"/>
            <w:tcMar>
              <w:top w:w="28" w:type="dxa"/>
              <w:left w:w="28" w:type="dxa"/>
              <w:bottom w:w="28" w:type="dxa"/>
              <w:right w:w="28" w:type="dxa"/>
            </w:tcMar>
            <w:vAlign w:val="center"/>
          </w:tcPr>
          <w:p>
            <w:pPr>
              <w:pStyle w:val="0"/>
              <w:jc w:val="right"/>
              <w:rPr>
                <w:rFonts w:hint="default"/>
              </w:rPr>
            </w:pPr>
            <w:r>
              <w:rPr>
                <w:rFonts w:hint="default"/>
              </w:rPr>
              <w:t>18.2%</w:t>
            </w:r>
          </w:p>
        </w:tc>
        <w:tc>
          <w:tcPr>
            <w:tcW w:w="531" w:type="pct"/>
            <w:tcMar>
              <w:top w:w="28" w:type="dxa"/>
              <w:left w:w="28" w:type="dxa"/>
              <w:bottom w:w="28" w:type="dxa"/>
              <w:right w:w="28" w:type="dxa"/>
            </w:tcMar>
            <w:vAlign w:val="center"/>
          </w:tcPr>
          <w:p>
            <w:pPr>
              <w:pStyle w:val="0"/>
              <w:jc w:val="right"/>
              <w:rPr>
                <w:rFonts w:hint="default"/>
              </w:rPr>
            </w:pPr>
            <w:r>
              <w:rPr>
                <w:rFonts w:hint="default"/>
              </w:rPr>
              <w:t>25.0%</w:t>
            </w:r>
          </w:p>
        </w:tc>
        <w:tc>
          <w:tcPr>
            <w:tcW w:w="531" w:type="pct"/>
            <w:tcMar>
              <w:top w:w="28" w:type="dxa"/>
              <w:left w:w="28" w:type="dxa"/>
              <w:bottom w:w="28" w:type="dxa"/>
              <w:right w:w="28" w:type="dxa"/>
            </w:tcMar>
            <w:vAlign w:val="center"/>
          </w:tcPr>
          <w:p>
            <w:pPr>
              <w:pStyle w:val="0"/>
              <w:jc w:val="right"/>
              <w:rPr>
                <w:rFonts w:hint="default"/>
              </w:rPr>
            </w:pPr>
            <w:r>
              <w:rPr>
                <w:rFonts w:hint="default"/>
              </w:rPr>
              <w:t>22.7%</w:t>
            </w:r>
          </w:p>
        </w:tc>
      </w:tr>
      <w:tr>
        <w:trPr>
          <w:trHeight w:val="20" w:hRule="atLeast"/>
        </w:trPr>
        <w:tc>
          <w:tcPr>
            <w:tcW w:w="1284" w:type="pct"/>
            <w:tcMar>
              <w:top w:w="28" w:type="dxa"/>
              <w:left w:w="28" w:type="dxa"/>
              <w:bottom w:w="28" w:type="dxa"/>
              <w:right w:w="28" w:type="dxa"/>
            </w:tcMar>
            <w:vAlign w:val="center"/>
          </w:tcPr>
          <w:p>
            <w:pPr>
              <w:pStyle w:val="0"/>
              <w:rPr>
                <w:rFonts w:hint="default"/>
              </w:rPr>
            </w:pPr>
            <w:r>
              <w:rPr>
                <w:rFonts w:hint="default"/>
              </w:rPr>
              <w:t>令和</w:t>
            </w:r>
            <w:r>
              <w:rPr>
                <w:rFonts w:hint="default"/>
              </w:rPr>
              <w:t>3</w:t>
            </w:r>
            <w:r>
              <w:rPr>
                <w:rFonts w:hint="default"/>
              </w:rPr>
              <w:t>年度</w:t>
            </w:r>
          </w:p>
        </w:tc>
        <w:tc>
          <w:tcPr>
            <w:tcW w:w="531" w:type="pct"/>
            <w:tcMar>
              <w:top w:w="28" w:type="dxa"/>
              <w:left w:w="28" w:type="dxa"/>
              <w:bottom w:w="28" w:type="dxa"/>
              <w:right w:w="28" w:type="dxa"/>
            </w:tcMar>
            <w:vAlign w:val="center"/>
          </w:tcPr>
          <w:p>
            <w:pPr>
              <w:pStyle w:val="0"/>
              <w:jc w:val="right"/>
              <w:rPr>
                <w:rFonts w:hint="default"/>
              </w:rPr>
            </w:pPr>
            <w:r>
              <w:rPr>
                <w:rFonts w:hint="default"/>
              </w:rPr>
              <w:t>16.9%</w:t>
            </w:r>
          </w:p>
        </w:tc>
        <w:tc>
          <w:tcPr>
            <w:tcW w:w="531" w:type="pct"/>
            <w:tcMar>
              <w:top w:w="28" w:type="dxa"/>
              <w:left w:w="28" w:type="dxa"/>
              <w:bottom w:w="28" w:type="dxa"/>
              <w:right w:w="28" w:type="dxa"/>
            </w:tcMar>
            <w:vAlign w:val="center"/>
          </w:tcPr>
          <w:p>
            <w:pPr>
              <w:pStyle w:val="0"/>
              <w:jc w:val="right"/>
              <w:rPr>
                <w:rFonts w:hint="default"/>
              </w:rPr>
            </w:pPr>
            <w:r>
              <w:rPr>
                <w:rFonts w:hint="default"/>
              </w:rPr>
              <w:t>13.7%</w:t>
            </w:r>
          </w:p>
        </w:tc>
        <w:tc>
          <w:tcPr>
            <w:tcW w:w="531" w:type="pct"/>
            <w:tcMar>
              <w:top w:w="28" w:type="dxa"/>
              <w:left w:w="28" w:type="dxa"/>
              <w:bottom w:w="28" w:type="dxa"/>
              <w:right w:w="28" w:type="dxa"/>
            </w:tcMar>
            <w:vAlign w:val="center"/>
          </w:tcPr>
          <w:p>
            <w:pPr>
              <w:pStyle w:val="0"/>
              <w:jc w:val="right"/>
              <w:rPr>
                <w:rFonts w:hint="default"/>
              </w:rPr>
            </w:pPr>
            <w:r>
              <w:rPr>
                <w:rFonts w:hint="default"/>
              </w:rPr>
              <w:t>18.9%</w:t>
            </w:r>
          </w:p>
        </w:tc>
        <w:tc>
          <w:tcPr>
            <w:tcW w:w="531" w:type="pct"/>
            <w:tcMar>
              <w:top w:w="28" w:type="dxa"/>
              <w:left w:w="28" w:type="dxa"/>
              <w:bottom w:w="28" w:type="dxa"/>
              <w:right w:w="28" w:type="dxa"/>
            </w:tcMar>
            <w:vAlign w:val="center"/>
          </w:tcPr>
          <w:p>
            <w:pPr>
              <w:pStyle w:val="0"/>
              <w:jc w:val="right"/>
              <w:rPr>
                <w:rFonts w:hint="default"/>
              </w:rPr>
            </w:pPr>
            <w:r>
              <w:rPr>
                <w:rFonts w:hint="default"/>
              </w:rPr>
              <w:t>18.4%</w:t>
            </w:r>
          </w:p>
        </w:tc>
        <w:tc>
          <w:tcPr>
            <w:tcW w:w="531" w:type="pct"/>
            <w:tcMar>
              <w:top w:w="28" w:type="dxa"/>
              <w:left w:w="28" w:type="dxa"/>
              <w:bottom w:w="28" w:type="dxa"/>
              <w:right w:w="28" w:type="dxa"/>
            </w:tcMar>
            <w:vAlign w:val="center"/>
          </w:tcPr>
          <w:p>
            <w:pPr>
              <w:pStyle w:val="0"/>
              <w:jc w:val="right"/>
              <w:rPr>
                <w:rFonts w:hint="default"/>
              </w:rPr>
            </w:pPr>
            <w:r>
              <w:rPr>
                <w:rFonts w:hint="default"/>
              </w:rPr>
              <w:t>23.6%</w:t>
            </w:r>
          </w:p>
        </w:tc>
        <w:tc>
          <w:tcPr>
            <w:tcW w:w="531" w:type="pct"/>
            <w:tcMar>
              <w:top w:w="28" w:type="dxa"/>
              <w:left w:w="28" w:type="dxa"/>
              <w:bottom w:w="28" w:type="dxa"/>
              <w:right w:w="28" w:type="dxa"/>
            </w:tcMar>
            <w:vAlign w:val="center"/>
          </w:tcPr>
          <w:p>
            <w:pPr>
              <w:pStyle w:val="0"/>
              <w:jc w:val="right"/>
              <w:rPr>
                <w:rFonts w:hint="default"/>
              </w:rPr>
            </w:pPr>
            <w:r>
              <w:rPr>
                <w:rFonts w:hint="default"/>
              </w:rPr>
              <w:t>33.8%</w:t>
            </w:r>
          </w:p>
        </w:tc>
        <w:tc>
          <w:tcPr>
            <w:tcW w:w="531" w:type="pct"/>
            <w:tcMar>
              <w:top w:w="28" w:type="dxa"/>
              <w:left w:w="28" w:type="dxa"/>
              <w:bottom w:w="28" w:type="dxa"/>
              <w:right w:w="28" w:type="dxa"/>
            </w:tcMar>
            <w:vAlign w:val="center"/>
          </w:tcPr>
          <w:p>
            <w:pPr>
              <w:pStyle w:val="0"/>
              <w:jc w:val="right"/>
              <w:rPr>
                <w:rFonts w:hint="default"/>
              </w:rPr>
            </w:pPr>
            <w:r>
              <w:rPr>
                <w:rFonts w:hint="default"/>
              </w:rPr>
              <w:t>30.7%</w:t>
            </w:r>
          </w:p>
        </w:tc>
      </w:tr>
      <w:tr>
        <w:trPr>
          <w:trHeight w:val="20" w:hRule="atLeast"/>
        </w:trPr>
        <w:tc>
          <w:tcPr>
            <w:tcW w:w="1284" w:type="pct"/>
            <w:tcMar>
              <w:top w:w="28" w:type="dxa"/>
              <w:left w:w="28" w:type="dxa"/>
              <w:bottom w:w="28" w:type="dxa"/>
              <w:right w:w="28" w:type="dxa"/>
            </w:tcMar>
            <w:vAlign w:val="center"/>
          </w:tcPr>
          <w:p>
            <w:pPr>
              <w:pStyle w:val="0"/>
              <w:rPr>
                <w:rFonts w:hint="default"/>
              </w:rPr>
            </w:pPr>
            <w:r>
              <w:rPr>
                <w:rFonts w:hint="default"/>
              </w:rPr>
              <w:t>令和</w:t>
            </w:r>
            <w:r>
              <w:rPr>
                <w:rFonts w:hint="default"/>
              </w:rPr>
              <w:t>4</w:t>
            </w:r>
            <w:r>
              <w:rPr>
                <w:rFonts w:hint="default"/>
              </w:rPr>
              <w:t>年度</w:t>
            </w:r>
          </w:p>
        </w:tc>
        <w:tc>
          <w:tcPr>
            <w:tcW w:w="531" w:type="pct"/>
            <w:tcMar>
              <w:top w:w="28" w:type="dxa"/>
              <w:left w:w="28" w:type="dxa"/>
              <w:bottom w:w="28" w:type="dxa"/>
              <w:right w:w="28" w:type="dxa"/>
            </w:tcMar>
            <w:vAlign w:val="center"/>
          </w:tcPr>
          <w:p>
            <w:pPr>
              <w:pStyle w:val="0"/>
              <w:jc w:val="right"/>
              <w:rPr>
                <w:rFonts w:hint="default"/>
              </w:rPr>
            </w:pPr>
            <w:r>
              <w:rPr>
                <w:rFonts w:hint="default"/>
              </w:rPr>
              <w:t>15.3%</w:t>
            </w:r>
          </w:p>
        </w:tc>
        <w:tc>
          <w:tcPr>
            <w:tcW w:w="531" w:type="pct"/>
            <w:tcMar>
              <w:top w:w="28" w:type="dxa"/>
              <w:left w:w="28" w:type="dxa"/>
              <w:bottom w:w="28" w:type="dxa"/>
              <w:right w:w="28" w:type="dxa"/>
            </w:tcMar>
            <w:vAlign w:val="center"/>
          </w:tcPr>
          <w:p>
            <w:pPr>
              <w:pStyle w:val="0"/>
              <w:jc w:val="right"/>
              <w:rPr>
                <w:rFonts w:hint="default"/>
              </w:rPr>
            </w:pPr>
            <w:r>
              <w:rPr>
                <w:rFonts w:hint="default"/>
              </w:rPr>
              <w:t>16.4%</w:t>
            </w:r>
          </w:p>
        </w:tc>
        <w:tc>
          <w:tcPr>
            <w:tcW w:w="531" w:type="pct"/>
            <w:tcMar>
              <w:top w:w="28" w:type="dxa"/>
              <w:left w:w="28" w:type="dxa"/>
              <w:bottom w:w="28" w:type="dxa"/>
              <w:right w:w="28" w:type="dxa"/>
            </w:tcMar>
            <w:vAlign w:val="center"/>
          </w:tcPr>
          <w:p>
            <w:pPr>
              <w:pStyle w:val="0"/>
              <w:jc w:val="right"/>
              <w:rPr>
                <w:rFonts w:hint="default"/>
              </w:rPr>
            </w:pPr>
            <w:r>
              <w:rPr>
                <w:rFonts w:hint="default"/>
              </w:rPr>
              <w:t>14.7%</w:t>
            </w:r>
          </w:p>
        </w:tc>
        <w:tc>
          <w:tcPr>
            <w:tcW w:w="531" w:type="pct"/>
            <w:tcMar>
              <w:top w:w="28" w:type="dxa"/>
              <w:left w:w="28" w:type="dxa"/>
              <w:bottom w:w="28" w:type="dxa"/>
              <w:right w:w="28" w:type="dxa"/>
            </w:tcMar>
            <w:vAlign w:val="center"/>
          </w:tcPr>
          <w:p>
            <w:pPr>
              <w:pStyle w:val="0"/>
              <w:jc w:val="right"/>
              <w:rPr>
                <w:rFonts w:hint="default"/>
              </w:rPr>
            </w:pPr>
            <w:r>
              <w:rPr>
                <w:rFonts w:hint="default"/>
              </w:rPr>
              <w:t>18.7%</w:t>
            </w:r>
          </w:p>
        </w:tc>
        <w:tc>
          <w:tcPr>
            <w:tcW w:w="531" w:type="pct"/>
            <w:tcMar>
              <w:top w:w="28" w:type="dxa"/>
              <w:left w:w="28" w:type="dxa"/>
              <w:bottom w:w="28" w:type="dxa"/>
              <w:right w:w="28" w:type="dxa"/>
            </w:tcMar>
            <w:vAlign w:val="center"/>
          </w:tcPr>
          <w:p>
            <w:pPr>
              <w:pStyle w:val="0"/>
              <w:jc w:val="right"/>
              <w:rPr>
                <w:rFonts w:hint="default"/>
              </w:rPr>
            </w:pPr>
            <w:r>
              <w:rPr>
                <w:rFonts w:hint="default"/>
              </w:rPr>
              <w:t>25.0%</w:t>
            </w:r>
          </w:p>
        </w:tc>
        <w:tc>
          <w:tcPr>
            <w:tcW w:w="531" w:type="pct"/>
            <w:tcMar>
              <w:top w:w="28" w:type="dxa"/>
              <w:left w:w="28" w:type="dxa"/>
              <w:bottom w:w="28" w:type="dxa"/>
              <w:right w:w="28" w:type="dxa"/>
            </w:tcMar>
            <w:vAlign w:val="center"/>
          </w:tcPr>
          <w:p>
            <w:pPr>
              <w:pStyle w:val="0"/>
              <w:jc w:val="right"/>
              <w:rPr>
                <w:rFonts w:hint="default"/>
              </w:rPr>
            </w:pPr>
            <w:r>
              <w:rPr>
                <w:rFonts w:hint="default"/>
              </w:rPr>
              <w:t>35.2%</w:t>
            </w:r>
          </w:p>
        </w:tc>
        <w:tc>
          <w:tcPr>
            <w:tcW w:w="531" w:type="pct"/>
            <w:tcMar>
              <w:top w:w="28" w:type="dxa"/>
              <w:left w:w="28" w:type="dxa"/>
              <w:bottom w:w="28" w:type="dxa"/>
              <w:right w:w="28" w:type="dxa"/>
            </w:tcMar>
            <w:vAlign w:val="center"/>
          </w:tcPr>
          <w:p>
            <w:pPr>
              <w:pStyle w:val="0"/>
              <w:jc w:val="right"/>
              <w:rPr>
                <w:rFonts w:hint="default"/>
              </w:rPr>
            </w:pPr>
            <w:r>
              <w:rPr>
                <w:rFonts w:hint="default"/>
              </w:rPr>
              <w:t>31.5%</w:t>
            </w:r>
          </w:p>
        </w:tc>
      </w:tr>
      <w:tr>
        <w:trPr>
          <w:trHeight w:val="20" w:hRule="atLeast"/>
        </w:trPr>
        <w:tc>
          <w:tcPr>
            <w:tcW w:w="1284" w:type="pct"/>
            <w:tcMar>
              <w:top w:w="28" w:type="dxa"/>
              <w:left w:w="28" w:type="dxa"/>
              <w:bottom w:w="28" w:type="dxa"/>
              <w:right w:w="28" w:type="dxa"/>
            </w:tcMar>
            <w:vAlign w:val="center"/>
          </w:tcPr>
          <w:p>
            <w:pPr>
              <w:pStyle w:val="0"/>
              <w:rPr>
                <w:rFonts w:hint="default"/>
              </w:rPr>
            </w:pPr>
            <w:r>
              <w:rPr>
                <w:rFonts w:hint="eastAsia"/>
              </w:rPr>
              <w:t>令和</w:t>
            </w:r>
            <w:r>
              <w:rPr>
                <w:rFonts w:hint="eastAsia"/>
              </w:rPr>
              <w:t>1</w:t>
            </w:r>
            <w:r>
              <w:rPr>
                <w:rFonts w:hint="eastAsia"/>
              </w:rPr>
              <w:t>年度と令和</w:t>
            </w:r>
            <w:r>
              <w:rPr>
                <w:rFonts w:hint="eastAsia"/>
              </w:rPr>
              <w:t>4</w:t>
            </w:r>
            <w:r>
              <w:rPr>
                <w:rFonts w:hint="eastAsia"/>
              </w:rPr>
              <w:t>年度の差</w:t>
            </w:r>
          </w:p>
        </w:tc>
        <w:tc>
          <w:tcPr>
            <w:tcW w:w="531" w:type="pct"/>
            <w:tcMar>
              <w:top w:w="28" w:type="dxa"/>
              <w:left w:w="28" w:type="dxa"/>
              <w:bottom w:w="28" w:type="dxa"/>
              <w:right w:w="28" w:type="dxa"/>
            </w:tcMar>
            <w:vAlign w:val="center"/>
          </w:tcPr>
          <w:p>
            <w:pPr>
              <w:pStyle w:val="0"/>
              <w:jc w:val="right"/>
              <w:rPr>
                <w:rFonts w:hint="default"/>
              </w:rPr>
            </w:pPr>
            <w:r>
              <w:rPr>
                <w:rFonts w:hint="default"/>
              </w:rPr>
              <w:t>-5.1</w:t>
            </w:r>
          </w:p>
        </w:tc>
        <w:tc>
          <w:tcPr>
            <w:tcW w:w="531" w:type="pct"/>
            <w:tcMar>
              <w:top w:w="28" w:type="dxa"/>
              <w:left w:w="28" w:type="dxa"/>
              <w:bottom w:w="28" w:type="dxa"/>
              <w:right w:w="28" w:type="dxa"/>
            </w:tcMar>
            <w:vAlign w:val="center"/>
          </w:tcPr>
          <w:p>
            <w:pPr>
              <w:pStyle w:val="0"/>
              <w:jc w:val="right"/>
              <w:rPr>
                <w:rFonts w:hint="default"/>
              </w:rPr>
            </w:pPr>
            <w:r>
              <w:rPr>
                <w:rFonts w:hint="default"/>
              </w:rPr>
              <w:t>-5.8</w:t>
            </w:r>
          </w:p>
        </w:tc>
        <w:tc>
          <w:tcPr>
            <w:tcW w:w="531" w:type="pct"/>
            <w:tcMar>
              <w:top w:w="28" w:type="dxa"/>
              <w:left w:w="28" w:type="dxa"/>
              <w:bottom w:w="28" w:type="dxa"/>
              <w:right w:w="28" w:type="dxa"/>
            </w:tcMar>
            <w:vAlign w:val="center"/>
          </w:tcPr>
          <w:p>
            <w:pPr>
              <w:pStyle w:val="0"/>
              <w:jc w:val="right"/>
              <w:rPr>
                <w:rFonts w:hint="default"/>
              </w:rPr>
            </w:pPr>
            <w:r>
              <w:rPr>
                <w:rFonts w:hint="default"/>
              </w:rPr>
              <w:t>-6.6</w:t>
            </w:r>
          </w:p>
        </w:tc>
        <w:tc>
          <w:tcPr>
            <w:tcW w:w="531" w:type="pct"/>
            <w:tcMar>
              <w:top w:w="28" w:type="dxa"/>
              <w:left w:w="28" w:type="dxa"/>
              <w:bottom w:w="28" w:type="dxa"/>
              <w:right w:w="28" w:type="dxa"/>
            </w:tcMar>
            <w:vAlign w:val="center"/>
          </w:tcPr>
          <w:p>
            <w:pPr>
              <w:pStyle w:val="0"/>
              <w:jc w:val="right"/>
              <w:rPr>
                <w:rFonts w:hint="default"/>
              </w:rPr>
            </w:pPr>
            <w:r>
              <w:rPr>
                <w:rFonts w:hint="default"/>
              </w:rPr>
              <w:t>-7.2</w:t>
            </w:r>
          </w:p>
        </w:tc>
        <w:tc>
          <w:tcPr>
            <w:tcW w:w="531" w:type="pct"/>
            <w:tcMar>
              <w:top w:w="28" w:type="dxa"/>
              <w:left w:w="28" w:type="dxa"/>
              <w:bottom w:w="28" w:type="dxa"/>
              <w:right w:w="28" w:type="dxa"/>
            </w:tcMar>
            <w:vAlign w:val="center"/>
          </w:tcPr>
          <w:p>
            <w:pPr>
              <w:pStyle w:val="0"/>
              <w:jc w:val="right"/>
              <w:rPr>
                <w:rFonts w:hint="default"/>
              </w:rPr>
            </w:pPr>
            <w:r>
              <w:rPr>
                <w:rFonts w:hint="default"/>
              </w:rPr>
              <w:t>-6.7</w:t>
            </w:r>
          </w:p>
        </w:tc>
        <w:tc>
          <w:tcPr>
            <w:tcW w:w="531" w:type="pct"/>
            <w:tcMar>
              <w:top w:w="28" w:type="dxa"/>
              <w:left w:w="28" w:type="dxa"/>
              <w:bottom w:w="28" w:type="dxa"/>
              <w:right w:w="28" w:type="dxa"/>
            </w:tcMar>
            <w:vAlign w:val="center"/>
          </w:tcPr>
          <w:p>
            <w:pPr>
              <w:pStyle w:val="0"/>
              <w:jc w:val="right"/>
              <w:rPr>
                <w:rFonts w:hint="default"/>
              </w:rPr>
            </w:pPr>
            <w:r>
              <w:rPr>
                <w:rFonts w:hint="default"/>
              </w:rPr>
              <w:t>-5.7</w:t>
            </w:r>
          </w:p>
        </w:tc>
        <w:tc>
          <w:tcPr>
            <w:tcW w:w="531" w:type="pct"/>
            <w:tcMar>
              <w:top w:w="28" w:type="dxa"/>
              <w:left w:w="28" w:type="dxa"/>
              <w:bottom w:w="28" w:type="dxa"/>
              <w:right w:w="28" w:type="dxa"/>
            </w:tcMar>
            <w:vAlign w:val="center"/>
          </w:tcPr>
          <w:p>
            <w:pPr>
              <w:pStyle w:val="0"/>
              <w:jc w:val="right"/>
              <w:rPr>
                <w:rFonts w:hint="default"/>
              </w:rPr>
            </w:pPr>
            <w:r>
              <w:rPr>
                <w:rFonts w:hint="default"/>
              </w:rPr>
              <w:t>-9.2</w:t>
            </w:r>
          </w:p>
        </w:tc>
      </w:tr>
    </w:tbl>
    <w:p>
      <w:pPr>
        <w:pStyle w:val="0"/>
        <w:rPr>
          <w:rFonts w:hint="default"/>
        </w:rPr>
      </w:pPr>
    </w:p>
    <w:p>
      <w:pPr>
        <w:pStyle w:val="38"/>
        <w:rPr>
          <w:rFonts w:hint="default"/>
        </w:rPr>
      </w:pPr>
      <w:bookmarkStart w:id="255" w:name="_Ref124772711"/>
      <w:bookmarkStart w:id="256" w:name="_Toc124936869"/>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3</w:t>
      </w:r>
      <w:r>
        <w:rPr>
          <w:rFonts w:hint="eastAsia"/>
        </w:rPr>
        <w:fldChar w:fldCharType="end"/>
      </w:r>
      <w:bookmarkEnd w:id="255"/>
      <w:r>
        <w:rPr>
          <w:rFonts w:hint="default"/>
        </w:rPr>
        <w:t>：</w:t>
      </w:r>
      <w:r>
        <w:rPr>
          <w:rFonts w:hint="eastAsia"/>
        </w:rPr>
        <w:t>年齢階層別</w:t>
      </w:r>
      <w:r>
        <w:rPr>
          <w:rFonts w:hint="eastAsia"/>
        </w:rPr>
        <w:t>_</w:t>
      </w:r>
      <w:r>
        <w:rPr>
          <w:rFonts w:hint="default"/>
        </w:rPr>
        <w:t>特定健診受診率</w:t>
      </w:r>
      <w:r>
        <w:rPr>
          <w:rFonts w:hint="default"/>
        </w:rPr>
        <w:t>_</w:t>
      </w:r>
      <w:r>
        <w:rPr>
          <w:rFonts w:hint="default"/>
        </w:rPr>
        <w:t>女性</w:t>
      </w:r>
      <w:bookmarkEnd w:id="256"/>
    </w:p>
    <w:p>
      <w:pPr>
        <w:pStyle w:val="0"/>
        <w:rPr>
          <w:rFonts w:hint="default"/>
        </w:rPr>
      </w:pPr>
      <w:r>
        <w:rPr>
          <w:rFonts w:hint="eastAsia"/>
          <w:color w:val="000540"/>
        </w:rPr>
        <w:drawing>
          <wp:inline distT="0" distB="0" distL="0" distR="0">
            <wp:extent cx="5939790" cy="2519680"/>
            <wp:effectExtent l="0" t="0" r="0" b="0"/>
            <wp:docPr id="1105" name="オブジェクト 0"/>
            <a:graphic xmlns:a="http://schemas.openxmlformats.org/drawingml/2006/main">
              <a:graphicData uri="http://schemas.openxmlformats.org/drawingml/2006/chart">
                <c:chart xmlns:c="http://schemas.openxmlformats.org/drawingml/2006/chart" r:id="rId57"/>
              </a:graphicData>
            </a:graphic>
          </wp:inline>
        </w:drawing>
      </w:r>
    </w:p>
    <w:tbl>
      <w:tblPr>
        <w:tblStyle w:val="11"/>
        <w:tblW w:w="5003" w:type="pct"/>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393"/>
        <w:gridCol w:w="999"/>
        <w:gridCol w:w="999"/>
        <w:gridCol w:w="998"/>
        <w:gridCol w:w="998"/>
        <w:gridCol w:w="998"/>
        <w:gridCol w:w="998"/>
        <w:gridCol w:w="998"/>
      </w:tblGrid>
      <w:tr>
        <w:trPr>
          <w:trHeight w:val="20" w:hRule="atLeast"/>
        </w:trPr>
        <w:tc>
          <w:tcPr>
            <w:tcW w:w="1275" w:type="pct"/>
            <w:shd w:val="clear" w:color="auto" w:fill="CCD6FF"/>
            <w:tcMar>
              <w:top w:w="28" w:type="dxa"/>
              <w:left w:w="28" w:type="dxa"/>
              <w:bottom w:w="28" w:type="dxa"/>
              <w:right w:w="28" w:type="dxa"/>
            </w:tcMar>
            <w:vAlign w:val="center"/>
          </w:tcPr>
          <w:p>
            <w:pPr>
              <w:pStyle w:val="0"/>
              <w:jc w:val="center"/>
              <w:rPr>
                <w:rFonts w:hint="default"/>
                <w:b w:val="1"/>
              </w:rPr>
            </w:pP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40-44</w:t>
            </w:r>
            <w:r>
              <w:rPr>
                <w:rFonts w:hint="default"/>
                <w:b w:val="1"/>
              </w:rPr>
              <w:t>歳</w:t>
            </w: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45-49</w:t>
            </w:r>
            <w:r>
              <w:rPr>
                <w:rFonts w:hint="default"/>
                <w:b w:val="1"/>
              </w:rPr>
              <w:t>歳</w:t>
            </w: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50-54</w:t>
            </w:r>
            <w:r>
              <w:rPr>
                <w:rFonts w:hint="default"/>
                <w:b w:val="1"/>
              </w:rPr>
              <w:t>歳</w:t>
            </w: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55-59</w:t>
            </w:r>
            <w:r>
              <w:rPr>
                <w:rFonts w:hint="default"/>
                <w:b w:val="1"/>
              </w:rPr>
              <w:t>歳</w:t>
            </w: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60-64</w:t>
            </w:r>
            <w:r>
              <w:rPr>
                <w:rFonts w:hint="default"/>
                <w:b w:val="1"/>
              </w:rPr>
              <w:t>歳</w:t>
            </w: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65-69</w:t>
            </w:r>
            <w:r>
              <w:rPr>
                <w:rFonts w:hint="default"/>
                <w:b w:val="1"/>
              </w:rPr>
              <w:t>歳</w:t>
            </w:r>
          </w:p>
        </w:tc>
        <w:tc>
          <w:tcPr>
            <w:tcW w:w="532"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70-74</w:t>
            </w:r>
            <w:r>
              <w:rPr>
                <w:rFonts w:hint="default"/>
                <w:b w:val="1"/>
              </w:rPr>
              <w:t>歳</w:t>
            </w:r>
          </w:p>
        </w:tc>
      </w:tr>
      <w:tr>
        <w:trPr>
          <w:trHeight w:val="20" w:hRule="atLeast"/>
        </w:trPr>
        <w:tc>
          <w:tcPr>
            <w:tcW w:w="1275" w:type="pct"/>
            <w:tcMar>
              <w:top w:w="28" w:type="dxa"/>
              <w:left w:w="28" w:type="dxa"/>
              <w:bottom w:w="28" w:type="dxa"/>
              <w:right w:w="28" w:type="dxa"/>
            </w:tcMar>
            <w:vAlign w:val="center"/>
          </w:tcPr>
          <w:p>
            <w:pPr>
              <w:pStyle w:val="0"/>
              <w:rPr>
                <w:rFonts w:hint="default"/>
              </w:rPr>
            </w:pPr>
            <w:r>
              <w:rPr>
                <w:rFonts w:hint="default"/>
              </w:rPr>
              <w:t>令和</w:t>
            </w:r>
            <w:r>
              <w:rPr>
                <w:rFonts w:hint="default"/>
              </w:rPr>
              <w:t>1</w:t>
            </w:r>
            <w:r>
              <w:rPr>
                <w:rFonts w:hint="default"/>
              </w:rPr>
              <w:t>年度</w:t>
            </w:r>
          </w:p>
        </w:tc>
        <w:tc>
          <w:tcPr>
            <w:tcW w:w="532" w:type="pct"/>
            <w:tcMar>
              <w:top w:w="28" w:type="dxa"/>
              <w:left w:w="28" w:type="dxa"/>
              <w:bottom w:w="28" w:type="dxa"/>
              <w:right w:w="28" w:type="dxa"/>
            </w:tcMar>
            <w:vAlign w:val="center"/>
          </w:tcPr>
          <w:p>
            <w:pPr>
              <w:pStyle w:val="0"/>
              <w:jc w:val="right"/>
              <w:rPr>
                <w:rFonts w:hint="default"/>
              </w:rPr>
            </w:pPr>
            <w:r>
              <w:rPr>
                <w:rFonts w:hint="default"/>
              </w:rPr>
              <w:t>30.9%</w:t>
            </w:r>
          </w:p>
        </w:tc>
        <w:tc>
          <w:tcPr>
            <w:tcW w:w="532" w:type="pct"/>
            <w:tcMar>
              <w:top w:w="28" w:type="dxa"/>
              <w:left w:w="28" w:type="dxa"/>
              <w:bottom w:w="28" w:type="dxa"/>
              <w:right w:w="28" w:type="dxa"/>
            </w:tcMar>
            <w:vAlign w:val="center"/>
          </w:tcPr>
          <w:p>
            <w:pPr>
              <w:pStyle w:val="0"/>
              <w:jc w:val="right"/>
              <w:rPr>
                <w:rFonts w:hint="default"/>
              </w:rPr>
            </w:pPr>
            <w:r>
              <w:rPr>
                <w:rFonts w:hint="default"/>
              </w:rPr>
              <w:t>26.8%</w:t>
            </w:r>
          </w:p>
        </w:tc>
        <w:tc>
          <w:tcPr>
            <w:tcW w:w="532" w:type="pct"/>
            <w:tcMar>
              <w:top w:w="28" w:type="dxa"/>
              <w:left w:w="28" w:type="dxa"/>
              <w:bottom w:w="28" w:type="dxa"/>
              <w:right w:w="28" w:type="dxa"/>
            </w:tcMar>
            <w:vAlign w:val="center"/>
          </w:tcPr>
          <w:p>
            <w:pPr>
              <w:pStyle w:val="0"/>
              <w:jc w:val="right"/>
              <w:rPr>
                <w:rFonts w:hint="default"/>
              </w:rPr>
            </w:pPr>
            <w:r>
              <w:rPr>
                <w:rFonts w:hint="default"/>
              </w:rPr>
              <w:t>29.2%</w:t>
            </w:r>
          </w:p>
        </w:tc>
        <w:tc>
          <w:tcPr>
            <w:tcW w:w="532" w:type="pct"/>
            <w:tcMar>
              <w:top w:w="28" w:type="dxa"/>
              <w:left w:w="28" w:type="dxa"/>
              <w:bottom w:w="28" w:type="dxa"/>
              <w:right w:w="28" w:type="dxa"/>
            </w:tcMar>
            <w:vAlign w:val="center"/>
          </w:tcPr>
          <w:p>
            <w:pPr>
              <w:pStyle w:val="0"/>
              <w:jc w:val="right"/>
              <w:rPr>
                <w:rFonts w:hint="default"/>
              </w:rPr>
            </w:pPr>
            <w:r>
              <w:rPr>
                <w:rFonts w:hint="default"/>
              </w:rPr>
              <w:t>30.6%</w:t>
            </w:r>
          </w:p>
        </w:tc>
        <w:tc>
          <w:tcPr>
            <w:tcW w:w="532" w:type="pct"/>
            <w:tcMar>
              <w:top w:w="28" w:type="dxa"/>
              <w:left w:w="28" w:type="dxa"/>
              <w:bottom w:w="28" w:type="dxa"/>
              <w:right w:w="28" w:type="dxa"/>
            </w:tcMar>
            <w:vAlign w:val="center"/>
          </w:tcPr>
          <w:p>
            <w:pPr>
              <w:pStyle w:val="0"/>
              <w:jc w:val="right"/>
              <w:rPr>
                <w:rFonts w:hint="default"/>
              </w:rPr>
            </w:pPr>
            <w:r>
              <w:rPr>
                <w:rFonts w:hint="default"/>
              </w:rPr>
              <w:t>40.6%</w:t>
            </w:r>
          </w:p>
        </w:tc>
        <w:tc>
          <w:tcPr>
            <w:tcW w:w="532" w:type="pct"/>
            <w:tcMar>
              <w:top w:w="28" w:type="dxa"/>
              <w:left w:w="28" w:type="dxa"/>
              <w:bottom w:w="28" w:type="dxa"/>
              <w:right w:w="28" w:type="dxa"/>
            </w:tcMar>
            <w:vAlign w:val="center"/>
          </w:tcPr>
          <w:p>
            <w:pPr>
              <w:pStyle w:val="0"/>
              <w:jc w:val="right"/>
              <w:rPr>
                <w:rFonts w:hint="default"/>
              </w:rPr>
            </w:pPr>
            <w:r>
              <w:rPr>
                <w:rFonts w:hint="default"/>
              </w:rPr>
              <w:t>44.1%</w:t>
            </w:r>
          </w:p>
        </w:tc>
        <w:tc>
          <w:tcPr>
            <w:tcW w:w="532" w:type="pct"/>
            <w:tcMar>
              <w:top w:w="28" w:type="dxa"/>
              <w:left w:w="28" w:type="dxa"/>
              <w:bottom w:w="28" w:type="dxa"/>
              <w:right w:w="28" w:type="dxa"/>
            </w:tcMar>
            <w:vAlign w:val="center"/>
          </w:tcPr>
          <w:p>
            <w:pPr>
              <w:pStyle w:val="0"/>
              <w:jc w:val="right"/>
              <w:rPr>
                <w:rFonts w:hint="default"/>
              </w:rPr>
            </w:pPr>
            <w:r>
              <w:rPr>
                <w:rFonts w:hint="default"/>
              </w:rPr>
              <w:t>41.5%</w:t>
            </w:r>
          </w:p>
        </w:tc>
      </w:tr>
      <w:tr>
        <w:trPr>
          <w:trHeight w:val="20" w:hRule="atLeast"/>
        </w:trPr>
        <w:tc>
          <w:tcPr>
            <w:tcW w:w="1275" w:type="pct"/>
            <w:tcMar>
              <w:top w:w="28" w:type="dxa"/>
              <w:left w:w="28" w:type="dxa"/>
              <w:bottom w:w="28" w:type="dxa"/>
              <w:right w:w="28" w:type="dxa"/>
            </w:tcMar>
            <w:vAlign w:val="center"/>
          </w:tcPr>
          <w:p>
            <w:pPr>
              <w:pStyle w:val="0"/>
              <w:rPr>
                <w:rFonts w:hint="default"/>
              </w:rPr>
            </w:pPr>
            <w:r>
              <w:rPr>
                <w:rFonts w:hint="default"/>
              </w:rPr>
              <w:t>令和</w:t>
            </w:r>
            <w:r>
              <w:rPr>
                <w:rFonts w:hint="default"/>
              </w:rPr>
              <w:t>2</w:t>
            </w:r>
            <w:r>
              <w:rPr>
                <w:rFonts w:hint="default"/>
              </w:rPr>
              <w:t>年度</w:t>
            </w:r>
          </w:p>
        </w:tc>
        <w:tc>
          <w:tcPr>
            <w:tcW w:w="532" w:type="pct"/>
            <w:tcMar>
              <w:top w:w="28" w:type="dxa"/>
              <w:left w:w="28" w:type="dxa"/>
              <w:bottom w:w="28" w:type="dxa"/>
              <w:right w:w="28" w:type="dxa"/>
            </w:tcMar>
            <w:vAlign w:val="center"/>
          </w:tcPr>
          <w:p>
            <w:pPr>
              <w:pStyle w:val="0"/>
              <w:jc w:val="right"/>
              <w:rPr>
                <w:rFonts w:hint="default"/>
              </w:rPr>
            </w:pPr>
            <w:r>
              <w:rPr>
                <w:rFonts w:hint="default"/>
              </w:rPr>
              <w:t>19.0%</w:t>
            </w:r>
          </w:p>
        </w:tc>
        <w:tc>
          <w:tcPr>
            <w:tcW w:w="532" w:type="pct"/>
            <w:tcMar>
              <w:top w:w="28" w:type="dxa"/>
              <w:left w:w="28" w:type="dxa"/>
              <w:bottom w:w="28" w:type="dxa"/>
              <w:right w:w="28" w:type="dxa"/>
            </w:tcMar>
            <w:vAlign w:val="center"/>
          </w:tcPr>
          <w:p>
            <w:pPr>
              <w:pStyle w:val="0"/>
              <w:jc w:val="right"/>
              <w:rPr>
                <w:rFonts w:hint="default"/>
              </w:rPr>
            </w:pPr>
            <w:r>
              <w:rPr>
                <w:rFonts w:hint="default"/>
              </w:rPr>
              <w:t>13.6%</w:t>
            </w:r>
          </w:p>
        </w:tc>
        <w:tc>
          <w:tcPr>
            <w:tcW w:w="532" w:type="pct"/>
            <w:tcMar>
              <w:top w:w="28" w:type="dxa"/>
              <w:left w:w="28" w:type="dxa"/>
              <w:bottom w:w="28" w:type="dxa"/>
              <w:right w:w="28" w:type="dxa"/>
            </w:tcMar>
            <w:vAlign w:val="center"/>
          </w:tcPr>
          <w:p>
            <w:pPr>
              <w:pStyle w:val="0"/>
              <w:jc w:val="right"/>
              <w:rPr>
                <w:rFonts w:hint="default"/>
              </w:rPr>
            </w:pPr>
            <w:r>
              <w:rPr>
                <w:rFonts w:hint="default"/>
              </w:rPr>
              <w:t>15.1%</w:t>
            </w:r>
          </w:p>
        </w:tc>
        <w:tc>
          <w:tcPr>
            <w:tcW w:w="532" w:type="pct"/>
            <w:tcMar>
              <w:top w:w="28" w:type="dxa"/>
              <w:left w:w="28" w:type="dxa"/>
              <w:bottom w:w="28" w:type="dxa"/>
              <w:right w:w="28" w:type="dxa"/>
            </w:tcMar>
            <w:vAlign w:val="center"/>
          </w:tcPr>
          <w:p>
            <w:pPr>
              <w:pStyle w:val="0"/>
              <w:jc w:val="right"/>
              <w:rPr>
                <w:rFonts w:hint="default"/>
              </w:rPr>
            </w:pPr>
            <w:r>
              <w:rPr>
                <w:rFonts w:hint="default"/>
              </w:rPr>
              <w:t>14.7%</w:t>
            </w:r>
          </w:p>
        </w:tc>
        <w:tc>
          <w:tcPr>
            <w:tcW w:w="532" w:type="pct"/>
            <w:tcMar>
              <w:top w:w="28" w:type="dxa"/>
              <w:left w:w="28" w:type="dxa"/>
              <w:bottom w:w="28" w:type="dxa"/>
              <w:right w:w="28" w:type="dxa"/>
            </w:tcMar>
            <w:vAlign w:val="center"/>
          </w:tcPr>
          <w:p>
            <w:pPr>
              <w:pStyle w:val="0"/>
              <w:jc w:val="right"/>
              <w:rPr>
                <w:rFonts w:hint="default"/>
              </w:rPr>
            </w:pPr>
            <w:r>
              <w:rPr>
                <w:rFonts w:hint="default"/>
              </w:rPr>
              <w:t>20.4%</w:t>
            </w:r>
          </w:p>
        </w:tc>
        <w:tc>
          <w:tcPr>
            <w:tcW w:w="532" w:type="pct"/>
            <w:tcMar>
              <w:top w:w="28" w:type="dxa"/>
              <w:left w:w="28" w:type="dxa"/>
              <w:bottom w:w="28" w:type="dxa"/>
              <w:right w:w="28" w:type="dxa"/>
            </w:tcMar>
            <w:vAlign w:val="center"/>
          </w:tcPr>
          <w:p>
            <w:pPr>
              <w:pStyle w:val="0"/>
              <w:jc w:val="right"/>
              <w:rPr>
                <w:rFonts w:hint="default"/>
              </w:rPr>
            </w:pPr>
            <w:r>
              <w:rPr>
                <w:rFonts w:hint="default"/>
              </w:rPr>
              <w:t>23.1%</w:t>
            </w:r>
          </w:p>
        </w:tc>
        <w:tc>
          <w:tcPr>
            <w:tcW w:w="532" w:type="pct"/>
            <w:tcMar>
              <w:top w:w="28" w:type="dxa"/>
              <w:left w:w="28" w:type="dxa"/>
              <w:bottom w:w="28" w:type="dxa"/>
              <w:right w:w="28" w:type="dxa"/>
            </w:tcMar>
            <w:vAlign w:val="center"/>
          </w:tcPr>
          <w:p>
            <w:pPr>
              <w:pStyle w:val="0"/>
              <w:jc w:val="right"/>
              <w:rPr>
                <w:rFonts w:hint="default"/>
              </w:rPr>
            </w:pPr>
            <w:r>
              <w:rPr>
                <w:rFonts w:hint="default"/>
              </w:rPr>
              <w:t>21.2%</w:t>
            </w:r>
          </w:p>
        </w:tc>
      </w:tr>
      <w:tr>
        <w:trPr>
          <w:trHeight w:val="20" w:hRule="atLeast"/>
        </w:trPr>
        <w:tc>
          <w:tcPr>
            <w:tcW w:w="1275" w:type="pct"/>
            <w:tcMar>
              <w:top w:w="28" w:type="dxa"/>
              <w:left w:w="28" w:type="dxa"/>
              <w:bottom w:w="28" w:type="dxa"/>
              <w:right w:w="28" w:type="dxa"/>
            </w:tcMar>
            <w:vAlign w:val="center"/>
          </w:tcPr>
          <w:p>
            <w:pPr>
              <w:pStyle w:val="0"/>
              <w:rPr>
                <w:rFonts w:hint="default"/>
              </w:rPr>
            </w:pPr>
            <w:r>
              <w:rPr>
                <w:rFonts w:hint="default"/>
              </w:rPr>
              <w:t>令和</w:t>
            </w:r>
            <w:r>
              <w:rPr>
                <w:rFonts w:hint="default"/>
              </w:rPr>
              <w:t>3</w:t>
            </w:r>
            <w:r>
              <w:rPr>
                <w:rFonts w:hint="default"/>
              </w:rPr>
              <w:t>年度</w:t>
            </w:r>
          </w:p>
        </w:tc>
        <w:tc>
          <w:tcPr>
            <w:tcW w:w="532" w:type="pct"/>
            <w:tcMar>
              <w:top w:w="28" w:type="dxa"/>
              <w:left w:w="28" w:type="dxa"/>
              <w:bottom w:w="28" w:type="dxa"/>
              <w:right w:w="28" w:type="dxa"/>
            </w:tcMar>
            <w:vAlign w:val="center"/>
          </w:tcPr>
          <w:p>
            <w:pPr>
              <w:pStyle w:val="0"/>
              <w:jc w:val="right"/>
              <w:rPr>
                <w:rFonts w:hint="default"/>
              </w:rPr>
            </w:pPr>
            <w:r>
              <w:rPr>
                <w:rFonts w:hint="default"/>
              </w:rPr>
              <w:t>28.6%</w:t>
            </w:r>
          </w:p>
        </w:tc>
        <w:tc>
          <w:tcPr>
            <w:tcW w:w="532" w:type="pct"/>
            <w:tcMar>
              <w:top w:w="28" w:type="dxa"/>
              <w:left w:w="28" w:type="dxa"/>
              <w:bottom w:w="28" w:type="dxa"/>
              <w:right w:w="28" w:type="dxa"/>
            </w:tcMar>
            <w:vAlign w:val="center"/>
          </w:tcPr>
          <w:p>
            <w:pPr>
              <w:pStyle w:val="0"/>
              <w:jc w:val="right"/>
              <w:rPr>
                <w:rFonts w:hint="default"/>
              </w:rPr>
            </w:pPr>
            <w:r>
              <w:rPr>
                <w:rFonts w:hint="default"/>
              </w:rPr>
              <w:t>22.6%</w:t>
            </w:r>
          </w:p>
        </w:tc>
        <w:tc>
          <w:tcPr>
            <w:tcW w:w="532" w:type="pct"/>
            <w:tcMar>
              <w:top w:w="28" w:type="dxa"/>
              <w:left w:w="28" w:type="dxa"/>
              <w:bottom w:w="28" w:type="dxa"/>
              <w:right w:w="28" w:type="dxa"/>
            </w:tcMar>
            <w:vAlign w:val="center"/>
          </w:tcPr>
          <w:p>
            <w:pPr>
              <w:pStyle w:val="0"/>
              <w:jc w:val="right"/>
              <w:rPr>
                <w:rFonts w:hint="default"/>
              </w:rPr>
            </w:pPr>
            <w:r>
              <w:rPr>
                <w:rFonts w:hint="default"/>
              </w:rPr>
              <w:t>24.3%</w:t>
            </w:r>
          </w:p>
        </w:tc>
        <w:tc>
          <w:tcPr>
            <w:tcW w:w="532" w:type="pct"/>
            <w:tcMar>
              <w:top w:w="28" w:type="dxa"/>
              <w:left w:w="28" w:type="dxa"/>
              <w:bottom w:w="28" w:type="dxa"/>
              <w:right w:w="28" w:type="dxa"/>
            </w:tcMar>
            <w:vAlign w:val="center"/>
          </w:tcPr>
          <w:p>
            <w:pPr>
              <w:pStyle w:val="0"/>
              <w:jc w:val="right"/>
              <w:rPr>
                <w:rFonts w:hint="default"/>
              </w:rPr>
            </w:pPr>
            <w:r>
              <w:rPr>
                <w:rFonts w:hint="default"/>
              </w:rPr>
              <w:t>27.9%</w:t>
            </w:r>
          </w:p>
        </w:tc>
        <w:tc>
          <w:tcPr>
            <w:tcW w:w="532" w:type="pct"/>
            <w:tcMar>
              <w:top w:w="28" w:type="dxa"/>
              <w:left w:w="28" w:type="dxa"/>
              <w:bottom w:w="28" w:type="dxa"/>
              <w:right w:w="28" w:type="dxa"/>
            </w:tcMar>
            <w:vAlign w:val="center"/>
          </w:tcPr>
          <w:p>
            <w:pPr>
              <w:pStyle w:val="0"/>
              <w:jc w:val="right"/>
              <w:rPr>
                <w:rFonts w:hint="default"/>
              </w:rPr>
            </w:pPr>
            <w:r>
              <w:rPr>
                <w:rFonts w:hint="default"/>
              </w:rPr>
              <w:t>28.7%</w:t>
            </w:r>
          </w:p>
        </w:tc>
        <w:tc>
          <w:tcPr>
            <w:tcW w:w="532" w:type="pct"/>
            <w:tcMar>
              <w:top w:w="28" w:type="dxa"/>
              <w:left w:w="28" w:type="dxa"/>
              <w:bottom w:w="28" w:type="dxa"/>
              <w:right w:w="28" w:type="dxa"/>
            </w:tcMar>
            <w:vAlign w:val="center"/>
          </w:tcPr>
          <w:p>
            <w:pPr>
              <w:pStyle w:val="0"/>
              <w:jc w:val="right"/>
              <w:rPr>
                <w:rFonts w:hint="default"/>
              </w:rPr>
            </w:pPr>
            <w:r>
              <w:rPr>
                <w:rFonts w:hint="default"/>
              </w:rPr>
              <w:t>36.3%</w:t>
            </w:r>
          </w:p>
        </w:tc>
        <w:tc>
          <w:tcPr>
            <w:tcW w:w="532" w:type="pct"/>
            <w:tcMar>
              <w:top w:w="28" w:type="dxa"/>
              <w:left w:w="28" w:type="dxa"/>
              <w:bottom w:w="28" w:type="dxa"/>
              <w:right w:w="28" w:type="dxa"/>
            </w:tcMar>
            <w:vAlign w:val="center"/>
          </w:tcPr>
          <w:p>
            <w:pPr>
              <w:pStyle w:val="0"/>
              <w:jc w:val="right"/>
              <w:rPr>
                <w:rFonts w:hint="default"/>
              </w:rPr>
            </w:pPr>
            <w:r>
              <w:rPr>
                <w:rFonts w:hint="default"/>
              </w:rPr>
              <w:t>33.3%</w:t>
            </w:r>
          </w:p>
        </w:tc>
      </w:tr>
      <w:tr>
        <w:trPr>
          <w:trHeight w:val="20" w:hRule="atLeast"/>
        </w:trPr>
        <w:tc>
          <w:tcPr>
            <w:tcW w:w="1275" w:type="pct"/>
            <w:tcMar>
              <w:top w:w="28" w:type="dxa"/>
              <w:left w:w="28" w:type="dxa"/>
              <w:bottom w:w="28" w:type="dxa"/>
              <w:right w:w="28" w:type="dxa"/>
            </w:tcMar>
            <w:vAlign w:val="center"/>
          </w:tcPr>
          <w:p>
            <w:pPr>
              <w:pStyle w:val="0"/>
              <w:rPr>
                <w:rFonts w:hint="default"/>
              </w:rPr>
            </w:pPr>
            <w:r>
              <w:rPr>
                <w:rFonts w:hint="default"/>
              </w:rPr>
              <w:t>令和</w:t>
            </w:r>
            <w:r>
              <w:rPr>
                <w:rFonts w:hint="default"/>
              </w:rPr>
              <w:t>4</w:t>
            </w:r>
            <w:r>
              <w:rPr>
                <w:rFonts w:hint="default"/>
              </w:rPr>
              <w:t>年度</w:t>
            </w:r>
          </w:p>
        </w:tc>
        <w:tc>
          <w:tcPr>
            <w:tcW w:w="532" w:type="pct"/>
            <w:tcMar>
              <w:top w:w="28" w:type="dxa"/>
              <w:left w:w="28" w:type="dxa"/>
              <w:bottom w:w="28" w:type="dxa"/>
              <w:right w:w="28" w:type="dxa"/>
            </w:tcMar>
            <w:vAlign w:val="center"/>
          </w:tcPr>
          <w:p>
            <w:pPr>
              <w:pStyle w:val="0"/>
              <w:jc w:val="right"/>
              <w:rPr>
                <w:rFonts w:hint="default"/>
              </w:rPr>
            </w:pPr>
            <w:r>
              <w:rPr>
                <w:rFonts w:hint="default"/>
              </w:rPr>
              <w:t>24.1%</w:t>
            </w:r>
          </w:p>
        </w:tc>
        <w:tc>
          <w:tcPr>
            <w:tcW w:w="532" w:type="pct"/>
            <w:tcMar>
              <w:top w:w="28" w:type="dxa"/>
              <w:left w:w="28" w:type="dxa"/>
              <w:bottom w:w="28" w:type="dxa"/>
              <w:right w:w="28" w:type="dxa"/>
            </w:tcMar>
            <w:vAlign w:val="center"/>
          </w:tcPr>
          <w:p>
            <w:pPr>
              <w:pStyle w:val="0"/>
              <w:jc w:val="right"/>
              <w:rPr>
                <w:rFonts w:hint="default"/>
              </w:rPr>
            </w:pPr>
            <w:r>
              <w:rPr>
                <w:rFonts w:hint="default"/>
              </w:rPr>
              <w:t>25.4%</w:t>
            </w:r>
          </w:p>
        </w:tc>
        <w:tc>
          <w:tcPr>
            <w:tcW w:w="532" w:type="pct"/>
            <w:tcMar>
              <w:top w:w="28" w:type="dxa"/>
              <w:left w:w="28" w:type="dxa"/>
              <w:bottom w:w="28" w:type="dxa"/>
              <w:right w:w="28" w:type="dxa"/>
            </w:tcMar>
            <w:vAlign w:val="center"/>
          </w:tcPr>
          <w:p>
            <w:pPr>
              <w:pStyle w:val="0"/>
              <w:jc w:val="right"/>
              <w:rPr>
                <w:rFonts w:hint="default"/>
              </w:rPr>
            </w:pPr>
            <w:r>
              <w:rPr>
                <w:rFonts w:hint="default"/>
              </w:rPr>
              <w:t>20.4%</w:t>
            </w:r>
          </w:p>
        </w:tc>
        <w:tc>
          <w:tcPr>
            <w:tcW w:w="532" w:type="pct"/>
            <w:tcMar>
              <w:top w:w="28" w:type="dxa"/>
              <w:left w:w="28" w:type="dxa"/>
              <w:bottom w:w="28" w:type="dxa"/>
              <w:right w:w="28" w:type="dxa"/>
            </w:tcMar>
            <w:vAlign w:val="center"/>
          </w:tcPr>
          <w:p>
            <w:pPr>
              <w:pStyle w:val="0"/>
              <w:jc w:val="right"/>
              <w:rPr>
                <w:rFonts w:hint="default"/>
              </w:rPr>
            </w:pPr>
            <w:r>
              <w:rPr>
                <w:rFonts w:hint="default"/>
              </w:rPr>
              <w:t>25.9%</w:t>
            </w:r>
          </w:p>
        </w:tc>
        <w:tc>
          <w:tcPr>
            <w:tcW w:w="532" w:type="pct"/>
            <w:tcMar>
              <w:top w:w="28" w:type="dxa"/>
              <w:left w:w="28" w:type="dxa"/>
              <w:bottom w:w="28" w:type="dxa"/>
              <w:right w:w="28" w:type="dxa"/>
            </w:tcMar>
            <w:vAlign w:val="center"/>
          </w:tcPr>
          <w:p>
            <w:pPr>
              <w:pStyle w:val="0"/>
              <w:jc w:val="right"/>
              <w:rPr>
                <w:rFonts w:hint="default"/>
              </w:rPr>
            </w:pPr>
            <w:r>
              <w:rPr>
                <w:rFonts w:hint="default"/>
              </w:rPr>
              <w:t>31.1%</w:t>
            </w:r>
          </w:p>
        </w:tc>
        <w:tc>
          <w:tcPr>
            <w:tcW w:w="532" w:type="pct"/>
            <w:tcMar>
              <w:top w:w="28" w:type="dxa"/>
              <w:left w:w="28" w:type="dxa"/>
              <w:bottom w:w="28" w:type="dxa"/>
              <w:right w:w="28" w:type="dxa"/>
            </w:tcMar>
            <w:vAlign w:val="center"/>
          </w:tcPr>
          <w:p>
            <w:pPr>
              <w:pStyle w:val="0"/>
              <w:jc w:val="right"/>
              <w:rPr>
                <w:rFonts w:hint="default"/>
              </w:rPr>
            </w:pPr>
            <w:r>
              <w:rPr>
                <w:rFonts w:hint="default"/>
              </w:rPr>
              <w:t>34.2%</w:t>
            </w:r>
          </w:p>
        </w:tc>
        <w:tc>
          <w:tcPr>
            <w:tcW w:w="532" w:type="pct"/>
            <w:tcMar>
              <w:top w:w="28" w:type="dxa"/>
              <w:left w:w="28" w:type="dxa"/>
              <w:bottom w:w="28" w:type="dxa"/>
              <w:right w:w="28" w:type="dxa"/>
            </w:tcMar>
            <w:vAlign w:val="center"/>
          </w:tcPr>
          <w:p>
            <w:pPr>
              <w:pStyle w:val="0"/>
              <w:jc w:val="right"/>
              <w:rPr>
                <w:rFonts w:hint="default"/>
              </w:rPr>
            </w:pPr>
            <w:r>
              <w:rPr>
                <w:rFonts w:hint="default"/>
              </w:rPr>
              <w:t>35.4%</w:t>
            </w:r>
          </w:p>
        </w:tc>
      </w:tr>
      <w:tr>
        <w:trPr>
          <w:trHeight w:val="20" w:hRule="atLeast"/>
        </w:trPr>
        <w:tc>
          <w:tcPr>
            <w:tcW w:w="1275" w:type="pct"/>
            <w:tcMar>
              <w:top w:w="28" w:type="dxa"/>
              <w:left w:w="28" w:type="dxa"/>
              <w:bottom w:w="28" w:type="dxa"/>
              <w:right w:w="28" w:type="dxa"/>
            </w:tcMar>
            <w:vAlign w:val="center"/>
          </w:tcPr>
          <w:p>
            <w:pPr>
              <w:pStyle w:val="0"/>
              <w:rPr>
                <w:rFonts w:hint="default"/>
              </w:rPr>
            </w:pPr>
            <w:r>
              <w:rPr>
                <w:rFonts w:hint="eastAsia"/>
              </w:rPr>
              <w:t>令和</w:t>
            </w:r>
            <w:r>
              <w:rPr>
                <w:rFonts w:hint="eastAsia"/>
              </w:rPr>
              <w:t>1</w:t>
            </w:r>
            <w:r>
              <w:rPr>
                <w:rFonts w:hint="eastAsia"/>
              </w:rPr>
              <w:t>年度と令和</w:t>
            </w:r>
            <w:r>
              <w:rPr>
                <w:rFonts w:hint="eastAsia"/>
              </w:rPr>
              <w:t>4</w:t>
            </w:r>
            <w:r>
              <w:rPr>
                <w:rFonts w:hint="eastAsia"/>
              </w:rPr>
              <w:t>年度の差</w:t>
            </w:r>
          </w:p>
        </w:tc>
        <w:tc>
          <w:tcPr>
            <w:tcW w:w="532" w:type="pct"/>
            <w:tcMar>
              <w:top w:w="28" w:type="dxa"/>
              <w:left w:w="28" w:type="dxa"/>
              <w:bottom w:w="28" w:type="dxa"/>
              <w:right w:w="28" w:type="dxa"/>
            </w:tcMar>
            <w:vAlign w:val="center"/>
          </w:tcPr>
          <w:p>
            <w:pPr>
              <w:pStyle w:val="0"/>
              <w:jc w:val="right"/>
              <w:rPr>
                <w:rFonts w:hint="default"/>
              </w:rPr>
            </w:pPr>
            <w:r>
              <w:rPr>
                <w:rFonts w:hint="default"/>
              </w:rPr>
              <w:t>-6.8</w:t>
            </w:r>
          </w:p>
        </w:tc>
        <w:tc>
          <w:tcPr>
            <w:tcW w:w="532" w:type="pct"/>
            <w:tcMar>
              <w:top w:w="28" w:type="dxa"/>
              <w:left w:w="28" w:type="dxa"/>
              <w:bottom w:w="28" w:type="dxa"/>
              <w:right w:w="28" w:type="dxa"/>
            </w:tcMar>
            <w:vAlign w:val="center"/>
          </w:tcPr>
          <w:p>
            <w:pPr>
              <w:pStyle w:val="0"/>
              <w:jc w:val="right"/>
              <w:rPr>
                <w:rFonts w:hint="default"/>
              </w:rPr>
            </w:pPr>
            <w:r>
              <w:rPr>
                <w:rFonts w:hint="default"/>
              </w:rPr>
              <w:t>-1.4</w:t>
            </w:r>
          </w:p>
        </w:tc>
        <w:tc>
          <w:tcPr>
            <w:tcW w:w="532" w:type="pct"/>
            <w:tcMar>
              <w:top w:w="28" w:type="dxa"/>
              <w:left w:w="28" w:type="dxa"/>
              <w:bottom w:w="28" w:type="dxa"/>
              <w:right w:w="28" w:type="dxa"/>
            </w:tcMar>
            <w:vAlign w:val="center"/>
          </w:tcPr>
          <w:p>
            <w:pPr>
              <w:pStyle w:val="0"/>
              <w:jc w:val="right"/>
              <w:rPr>
                <w:rFonts w:hint="default"/>
              </w:rPr>
            </w:pPr>
            <w:r>
              <w:rPr>
                <w:rFonts w:hint="default"/>
              </w:rPr>
              <w:t>-8.8</w:t>
            </w:r>
          </w:p>
        </w:tc>
        <w:tc>
          <w:tcPr>
            <w:tcW w:w="532" w:type="pct"/>
            <w:tcMar>
              <w:top w:w="28" w:type="dxa"/>
              <w:left w:w="28" w:type="dxa"/>
              <w:bottom w:w="28" w:type="dxa"/>
              <w:right w:w="28" w:type="dxa"/>
            </w:tcMar>
            <w:vAlign w:val="center"/>
          </w:tcPr>
          <w:p>
            <w:pPr>
              <w:pStyle w:val="0"/>
              <w:jc w:val="right"/>
              <w:rPr>
                <w:rFonts w:hint="default"/>
              </w:rPr>
            </w:pPr>
            <w:r>
              <w:rPr>
                <w:rFonts w:hint="default"/>
              </w:rPr>
              <w:t>-4.7</w:t>
            </w:r>
          </w:p>
        </w:tc>
        <w:tc>
          <w:tcPr>
            <w:tcW w:w="532" w:type="pct"/>
            <w:tcMar>
              <w:top w:w="28" w:type="dxa"/>
              <w:left w:w="28" w:type="dxa"/>
              <w:bottom w:w="28" w:type="dxa"/>
              <w:right w:w="28" w:type="dxa"/>
            </w:tcMar>
            <w:vAlign w:val="center"/>
          </w:tcPr>
          <w:p>
            <w:pPr>
              <w:pStyle w:val="0"/>
              <w:jc w:val="right"/>
              <w:rPr>
                <w:rFonts w:hint="default"/>
              </w:rPr>
            </w:pPr>
            <w:r>
              <w:rPr>
                <w:rFonts w:hint="default"/>
              </w:rPr>
              <w:t>-9.5</w:t>
            </w:r>
          </w:p>
        </w:tc>
        <w:tc>
          <w:tcPr>
            <w:tcW w:w="532" w:type="pct"/>
            <w:tcMar>
              <w:top w:w="28" w:type="dxa"/>
              <w:left w:w="28" w:type="dxa"/>
              <w:bottom w:w="28" w:type="dxa"/>
              <w:right w:w="28" w:type="dxa"/>
            </w:tcMar>
            <w:vAlign w:val="center"/>
          </w:tcPr>
          <w:p>
            <w:pPr>
              <w:pStyle w:val="0"/>
              <w:jc w:val="right"/>
              <w:rPr>
                <w:rFonts w:hint="default"/>
              </w:rPr>
            </w:pPr>
            <w:r>
              <w:rPr>
                <w:rFonts w:hint="default"/>
              </w:rPr>
              <w:t>-9.9</w:t>
            </w:r>
          </w:p>
        </w:tc>
        <w:tc>
          <w:tcPr>
            <w:tcW w:w="532" w:type="pct"/>
            <w:tcMar>
              <w:top w:w="28" w:type="dxa"/>
              <w:left w:w="28" w:type="dxa"/>
              <w:bottom w:w="28" w:type="dxa"/>
              <w:right w:w="28" w:type="dxa"/>
            </w:tcMar>
            <w:vAlign w:val="center"/>
          </w:tcPr>
          <w:p>
            <w:pPr>
              <w:pStyle w:val="0"/>
              <w:jc w:val="right"/>
              <w:rPr>
                <w:rFonts w:hint="default"/>
              </w:rPr>
            </w:pPr>
            <w:r>
              <w:rPr>
                <w:rFonts w:hint="default"/>
              </w:rPr>
              <w:t>-6.1</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S21_008-</w:t>
      </w:r>
      <w:r>
        <w:rPr>
          <w:rFonts w:hint="default"/>
        </w:rPr>
        <w:t>健診の状況</w:t>
      </w:r>
      <w:r>
        <w:rPr>
          <w:rFonts w:hint="eastAsia"/>
        </w:rPr>
        <w:t xml:space="preserve"> </w:t>
      </w:r>
      <w:r>
        <w:rPr>
          <w:rFonts w:hint="eastAsia"/>
        </w:rPr>
        <w:t>令和</w:t>
      </w:r>
      <w:r>
        <w:rPr>
          <w:rFonts w:hint="eastAsia"/>
        </w:rPr>
        <w:t>1</w:t>
      </w:r>
      <w:r>
        <w:rPr>
          <w:rFonts w:hint="default"/>
        </w:rPr>
        <w:t>年度から</w:t>
      </w:r>
      <w:r>
        <w:rPr>
          <w:rFonts w:hint="eastAsia"/>
        </w:rPr>
        <w:t>令和</w:t>
      </w:r>
      <w:r>
        <w:rPr>
          <w:rFonts w:hint="eastAsia"/>
        </w:rPr>
        <w:t>4</w:t>
      </w:r>
      <w:r>
        <w:rPr>
          <w:rFonts w:hint="eastAsia"/>
        </w:rPr>
        <w:t>年度</w:t>
      </w:r>
      <w:r>
        <w:rPr>
          <w:rFonts w:hint="default"/>
        </w:rPr>
        <w:t xml:space="preserve"> </w:t>
      </w:r>
      <w:r>
        <w:rPr>
          <w:rFonts w:hint="default"/>
        </w:rPr>
        <w:t>累計</w:t>
      </w:r>
    </w:p>
    <w:p>
      <w:pPr>
        <w:pStyle w:val="0"/>
        <w:rPr>
          <w:rFonts w:hint="default"/>
        </w:rPr>
      </w:pPr>
      <w:r>
        <w:rPr>
          <w:rFonts w:hint="default"/>
        </w:rPr>
        <w:br w:type="page"/>
      </w:r>
    </w:p>
    <w:p>
      <w:pPr>
        <w:pStyle w:val="4"/>
        <w:rPr>
          <w:rFonts w:hint="default"/>
        </w:rPr>
      </w:pPr>
      <w:r>
        <w:rPr>
          <w:rFonts w:hint="default"/>
        </w:rPr>
        <w:t>特定保健指導実施率</w:t>
      </w:r>
    </w:p>
    <w:p>
      <w:pPr>
        <w:pStyle w:val="39"/>
        <w:ind w:firstLine="200"/>
        <w:rPr>
          <w:rFonts w:hint="default"/>
        </w:rPr>
      </w:pPr>
      <w:r>
        <w:rPr>
          <w:rFonts w:hint="default"/>
        </w:rPr>
        <w:t>第</w:t>
      </w:r>
      <w:r>
        <w:rPr>
          <w:rFonts w:hint="default"/>
        </w:rPr>
        <w:t>3</w:t>
      </w:r>
      <w:r>
        <w:rPr>
          <w:rFonts w:hint="default"/>
        </w:rPr>
        <w:t>期計画における特定保健指導の実施状況</w:t>
      </w:r>
      <w:r>
        <w:rPr>
          <w:rFonts w:hint="eastAsia"/>
        </w:rPr>
        <w:t>をみると（</w:t>
      </w:r>
      <w:r>
        <w:rPr>
          <w:rFonts w:hint="eastAsia"/>
        </w:rPr>
        <w:fldChar w:fldCharType="begin"/>
      </w:r>
      <w:r>
        <w:rPr>
          <w:rFonts w:hint="eastAsia"/>
        </w:rPr>
        <w:instrText xml:space="preserve">REF _Ref122563547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4</w:t>
      </w:r>
      <w:r>
        <w:rPr>
          <w:rFonts w:hint="eastAsia"/>
        </w:rPr>
        <w:fldChar w:fldCharType="end"/>
      </w:r>
      <w:r>
        <w:rPr>
          <w:rFonts w:hint="eastAsia"/>
        </w:rPr>
        <w:t>）、特定保健指導実施率は、前期計画終了年度にあたる令和</w:t>
      </w:r>
      <w:r>
        <w:rPr>
          <w:rFonts w:hint="default"/>
        </w:rPr>
        <w:t>5</w:t>
      </w:r>
      <w:r>
        <w:rPr>
          <w:rFonts w:hint="default"/>
        </w:rPr>
        <w:t>年度の目標値を</w:t>
      </w:r>
      <w:r>
        <w:rPr>
          <w:rFonts w:hint="eastAsia"/>
        </w:rPr>
        <w:t>2</w:t>
      </w:r>
      <w:r>
        <w:rPr>
          <w:rFonts w:hint="default"/>
        </w:rPr>
        <w:t>5.0%</w:t>
      </w:r>
      <w:r>
        <w:rPr>
          <w:rFonts w:hint="default"/>
        </w:rPr>
        <w:t>としていたが、</w:t>
      </w:r>
      <w:bookmarkStart w:id="257" w:name="_Hlk152706154"/>
      <w:r>
        <w:rPr>
          <w:rFonts w:hint="default"/>
        </w:rPr>
        <w:t>令和</w:t>
      </w:r>
      <w:r>
        <w:rPr>
          <w:rFonts w:hint="default"/>
        </w:rPr>
        <w:t>4</w:t>
      </w:r>
      <w:r>
        <w:rPr>
          <w:rFonts w:hint="default"/>
        </w:rPr>
        <w:t>年度の速報値では</w:t>
      </w:r>
      <w:r>
        <w:rPr>
          <w:rFonts w:hint="default"/>
        </w:rPr>
        <w:t>27.</w:t>
      </w:r>
      <w:r>
        <w:rPr>
          <w:rFonts w:hint="eastAsia"/>
        </w:rPr>
        <w:t>0</w:t>
      </w:r>
      <w:r>
        <w:rPr>
          <w:rFonts w:hint="default"/>
        </w:rPr>
        <w:t>%</w:t>
      </w:r>
      <w:r>
        <w:rPr>
          <w:rFonts w:hint="default"/>
        </w:rPr>
        <w:t>となっており、令和</w:t>
      </w:r>
      <w:r>
        <w:rPr>
          <w:rFonts w:hint="eastAsia"/>
        </w:rPr>
        <w:t>1</w:t>
      </w:r>
      <w:r>
        <w:rPr>
          <w:rFonts w:hint="default"/>
        </w:rPr>
        <w:t>年度の実施率</w:t>
      </w:r>
      <w:r>
        <w:rPr>
          <w:rFonts w:hint="default"/>
        </w:rPr>
        <w:t>1</w:t>
      </w:r>
      <w:r>
        <w:rPr>
          <w:rFonts w:hint="eastAsia"/>
        </w:rPr>
        <w:t>8</w:t>
      </w:r>
      <w:r>
        <w:rPr>
          <w:rFonts w:hint="default"/>
        </w:rPr>
        <w:t>.</w:t>
      </w:r>
      <w:r>
        <w:rPr>
          <w:rFonts w:hint="eastAsia"/>
        </w:rPr>
        <w:t>2</w:t>
      </w:r>
      <w:r>
        <w:rPr>
          <w:rFonts w:hint="default"/>
        </w:rPr>
        <w:t>%</w:t>
      </w:r>
      <w:r>
        <w:rPr>
          <w:rFonts w:hint="default"/>
        </w:rPr>
        <w:t>と比較すると</w:t>
      </w:r>
      <w:r>
        <w:rPr>
          <w:rFonts w:hint="eastAsia"/>
        </w:rPr>
        <w:t>8</w:t>
      </w:r>
      <w:r>
        <w:rPr>
          <w:rFonts w:hint="default"/>
        </w:rPr>
        <w:t>.</w:t>
      </w:r>
      <w:r>
        <w:rPr>
          <w:rFonts w:hint="eastAsia"/>
        </w:rPr>
        <w:t>8</w:t>
      </w:r>
      <w:r>
        <w:rPr>
          <w:rFonts w:hint="default"/>
        </w:rPr>
        <w:t>ポイント上昇している。令和</w:t>
      </w:r>
      <w:r>
        <w:rPr>
          <w:rFonts w:hint="default"/>
        </w:rPr>
        <w:t>3</w:t>
      </w:r>
      <w:r>
        <w:rPr>
          <w:rFonts w:hint="default"/>
        </w:rPr>
        <w:t>年度までの実施率でみると国・県より低い。</w:t>
      </w:r>
      <w:bookmarkEnd w:id="257"/>
    </w:p>
    <w:p>
      <w:pPr>
        <w:pStyle w:val="39"/>
        <w:ind w:firstLine="200"/>
        <w:rPr>
          <w:rFonts w:hint="default"/>
        </w:rPr>
      </w:pPr>
      <w:r>
        <w:rPr>
          <w:rFonts w:hint="default"/>
        </w:rPr>
        <w:t>支援区分別</w:t>
      </w:r>
      <w:r>
        <w:rPr>
          <w:rFonts w:hint="eastAsia"/>
        </w:rPr>
        <w:t>での特定保健指導実施率</w:t>
      </w:r>
      <w:r>
        <w:rPr>
          <w:rFonts w:hint="default"/>
        </w:rPr>
        <w:t>の推移をみると</w:t>
      </w:r>
      <w:r>
        <w:rPr>
          <w:rFonts w:hint="eastAsia"/>
        </w:rPr>
        <w:t>（</w:t>
      </w:r>
      <w:r>
        <w:rPr>
          <w:rFonts w:hint="eastAsia"/>
        </w:rPr>
        <w:fldChar w:fldCharType="begin"/>
      </w:r>
      <w:r>
        <w:rPr>
          <w:rFonts w:hint="eastAsia"/>
        </w:rPr>
        <w:instrText xml:space="preserve">REF _Ref122563556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5</w:t>
      </w:r>
      <w:r>
        <w:rPr>
          <w:rFonts w:hint="eastAsia"/>
        </w:rPr>
        <w:fldChar w:fldCharType="end"/>
      </w:r>
      <w:r>
        <w:rPr>
          <w:rFonts w:hint="eastAsia"/>
        </w:rPr>
        <w:t>）</w:t>
      </w:r>
      <w:r>
        <w:rPr>
          <w:rFonts w:hint="default"/>
        </w:rPr>
        <w:t>、積極的支援では令和</w:t>
      </w:r>
      <w:r>
        <w:rPr>
          <w:rFonts w:hint="default"/>
        </w:rPr>
        <w:t>4</w:t>
      </w:r>
      <w:r>
        <w:rPr>
          <w:rFonts w:hint="default"/>
        </w:rPr>
        <w:t>年度</w:t>
      </w:r>
      <w:r>
        <w:rPr>
          <w:rFonts w:hint="eastAsia"/>
        </w:rPr>
        <w:t>は</w:t>
      </w:r>
      <w:r>
        <w:rPr>
          <w:rFonts w:hint="default"/>
        </w:rPr>
        <w:t>27.0%</w:t>
      </w:r>
      <w:r>
        <w:rPr>
          <w:rFonts w:hint="eastAsia"/>
        </w:rPr>
        <w:t>で、</w:t>
      </w:r>
      <w:r>
        <w:rPr>
          <w:rFonts w:hint="default"/>
        </w:rPr>
        <w:t>令和</w:t>
      </w:r>
      <w:r>
        <w:rPr>
          <w:rFonts w:hint="default"/>
        </w:rPr>
        <w:t>1</w:t>
      </w:r>
      <w:r>
        <w:rPr>
          <w:rFonts w:hint="default"/>
        </w:rPr>
        <w:t>年度</w:t>
      </w:r>
      <w:r>
        <w:rPr>
          <w:rFonts w:hint="eastAsia"/>
        </w:rPr>
        <w:t>の実施率</w:t>
      </w:r>
      <w:r>
        <w:rPr>
          <w:rFonts w:hint="default"/>
        </w:rPr>
        <w:t>0.0%</w:t>
      </w:r>
      <w:r>
        <w:rPr>
          <w:rFonts w:hint="eastAsia"/>
        </w:rPr>
        <w:t>と比較して</w:t>
      </w:r>
      <w:r>
        <w:rPr>
          <w:rFonts w:hint="default"/>
        </w:rPr>
        <w:t>27.0</w:t>
      </w:r>
      <w:r>
        <w:rPr>
          <w:rFonts w:hint="default"/>
        </w:rPr>
        <w:t>ポイント上昇し</w:t>
      </w:r>
      <w:r>
        <w:rPr>
          <w:rFonts w:hint="eastAsia"/>
        </w:rPr>
        <w:t>ている。</w:t>
      </w:r>
      <w:r>
        <w:rPr>
          <w:rFonts w:hint="default"/>
        </w:rPr>
        <w:t>動機付け支援では令和</w:t>
      </w:r>
      <w:r>
        <w:rPr>
          <w:rFonts w:hint="default"/>
        </w:rPr>
        <w:t>4</w:t>
      </w:r>
      <w:r>
        <w:rPr>
          <w:rFonts w:hint="default"/>
        </w:rPr>
        <w:t>年度</w:t>
      </w:r>
      <w:r>
        <w:rPr>
          <w:rFonts w:hint="eastAsia"/>
        </w:rPr>
        <w:t>は</w:t>
      </w:r>
      <w:r>
        <w:rPr>
          <w:rFonts w:hint="default"/>
        </w:rPr>
        <w:t>27.7%</w:t>
      </w:r>
      <w:r>
        <w:rPr>
          <w:rFonts w:hint="eastAsia"/>
        </w:rPr>
        <w:t>で、</w:t>
      </w:r>
      <w:r>
        <w:rPr>
          <w:rFonts w:hint="default"/>
        </w:rPr>
        <w:t>令和</w:t>
      </w:r>
      <w:r>
        <w:rPr>
          <w:rFonts w:hint="default"/>
        </w:rPr>
        <w:t>1</w:t>
      </w:r>
      <w:r>
        <w:rPr>
          <w:rFonts w:hint="default"/>
        </w:rPr>
        <w:t>年度</w:t>
      </w:r>
      <w:r>
        <w:rPr>
          <w:rFonts w:hint="eastAsia"/>
        </w:rPr>
        <w:t>の実施率</w:t>
      </w:r>
      <w:r>
        <w:rPr>
          <w:rFonts w:hint="default"/>
        </w:rPr>
        <w:t>23.1%</w:t>
      </w:r>
      <w:r>
        <w:rPr>
          <w:rFonts w:hint="eastAsia"/>
        </w:rPr>
        <w:t>と比較して</w:t>
      </w:r>
      <w:r>
        <w:rPr>
          <w:rFonts w:hint="default"/>
        </w:rPr>
        <w:t>4.6</w:t>
      </w:r>
      <w:r>
        <w:rPr>
          <w:rFonts w:hint="default"/>
        </w:rPr>
        <w:t>ポイント上昇している。</w:t>
      </w:r>
    </w:p>
    <w:p>
      <w:pPr>
        <w:pStyle w:val="0"/>
        <w:rPr>
          <w:rFonts w:hint="default"/>
        </w:rPr>
      </w:pPr>
    </w:p>
    <w:p>
      <w:pPr>
        <w:pStyle w:val="38"/>
        <w:rPr>
          <w:rFonts w:hint="default"/>
        </w:rPr>
      </w:pPr>
      <w:bookmarkStart w:id="258" w:name="_Ref122563547"/>
      <w:bookmarkStart w:id="259" w:name="_Toc124936870"/>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4</w:t>
      </w:r>
      <w:r>
        <w:rPr>
          <w:rFonts w:hint="eastAsia"/>
        </w:rPr>
        <w:fldChar w:fldCharType="end"/>
      </w:r>
      <w:bookmarkEnd w:id="258"/>
      <w:r>
        <w:rPr>
          <w:rFonts w:hint="default"/>
        </w:rPr>
        <w:t>：第</w:t>
      </w:r>
      <w:r>
        <w:rPr>
          <w:rFonts w:hint="default"/>
        </w:rPr>
        <w:t>3</w:t>
      </w:r>
      <w:r>
        <w:rPr>
          <w:rFonts w:hint="default"/>
        </w:rPr>
        <w:t>期計画における特定保健指導の実施状況</w:t>
      </w:r>
      <w:r>
        <w:rPr>
          <w:rFonts w:hint="eastAsia"/>
        </w:rPr>
        <w:t>（法定報告値）</w:t>
      </w:r>
      <w:bookmarkEnd w:id="259"/>
    </w:p>
    <w:p>
      <w:pPr>
        <w:pStyle w:val="0"/>
        <w:rPr>
          <w:rFonts w:hint="default"/>
        </w:rPr>
      </w:pPr>
      <w:r>
        <w:rPr>
          <w:rFonts w:hint="default"/>
        </w:rPr>
        <w:drawing>
          <wp:inline distT="0" distB="0" distL="0" distR="0">
            <wp:extent cx="5939790" cy="2519680"/>
            <wp:effectExtent l="0" t="0" r="0" b="0"/>
            <wp:docPr id="1106" name="オブジェクト 0"/>
            <a:graphic xmlns:a="http://schemas.openxmlformats.org/drawingml/2006/main">
              <a:graphicData uri="http://schemas.openxmlformats.org/drawingml/2006/chart">
                <c:chart xmlns:c="http://schemas.openxmlformats.org/drawingml/2006/chart" r:id="rId58"/>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278"/>
        <w:gridCol w:w="2089"/>
        <w:gridCol w:w="1202"/>
        <w:gridCol w:w="1202"/>
        <w:gridCol w:w="1202"/>
        <w:gridCol w:w="1202"/>
        <w:gridCol w:w="1200"/>
      </w:tblGrid>
      <w:tr>
        <w:trPr>
          <w:trHeight w:val="174" w:hRule="atLeast"/>
        </w:trPr>
        <w:tc>
          <w:tcPr>
            <w:tcW w:w="1796" w:type="pct"/>
            <w:gridSpan w:val="2"/>
            <w:shd w:val="clear" w:color="auto" w:fill="CCD6FF"/>
            <w:tcMar>
              <w:top w:w="28" w:type="dxa"/>
              <w:left w:w="28" w:type="dxa"/>
              <w:bottom w:w="28" w:type="dxa"/>
              <w:right w:w="28" w:type="dxa"/>
            </w:tcMar>
            <w:vAlign w:val="center"/>
          </w:tcPr>
          <w:p>
            <w:pPr>
              <w:pStyle w:val="0"/>
              <w:jc w:val="center"/>
              <w:rPr>
                <w:rFonts w:hint="default"/>
                <w:b w:val="1"/>
              </w:rPr>
            </w:pP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c>
          <w:tcPr>
            <w:tcW w:w="64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5</w:t>
            </w:r>
            <w:r>
              <w:rPr>
                <w:rFonts w:hint="default"/>
                <w:b w:val="1"/>
              </w:rPr>
              <w:t>年度</w:t>
            </w:r>
          </w:p>
        </w:tc>
      </w:tr>
      <w:tr>
        <w:trPr>
          <w:trHeight w:val="250" w:hRule="atLeast"/>
        </w:trPr>
        <w:tc>
          <w:tcPr>
            <w:tcW w:w="682"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特定保健指導</w:t>
            </w:r>
          </w:p>
          <w:p>
            <w:pPr>
              <w:pStyle w:val="0"/>
              <w:rPr>
                <w:rFonts w:hint="default"/>
              </w:rPr>
            </w:pPr>
            <w:r>
              <w:rPr>
                <w:rFonts w:hint="default"/>
              </w:rPr>
              <w:t>実施率</w:t>
            </w: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八街市</w:t>
            </w:r>
            <w:r>
              <w:rPr>
                <w:rFonts w:hint="default"/>
              </w:rPr>
              <w:t>_</w:t>
            </w:r>
            <w:r>
              <w:rPr>
                <w:rFonts w:hint="default"/>
              </w:rPr>
              <w:t>目標値</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60.0%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60.0%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25.0%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25.0%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25.0%</w:t>
            </w:r>
          </w:p>
        </w:tc>
      </w:tr>
      <w:tr>
        <w:trPr>
          <w:trHeight w:val="250" w:hRule="atLeast"/>
        </w:trPr>
        <w:tc>
          <w:tcPr>
            <w:tcW w:w="682" w:type="pct"/>
            <w:vMerge w:val="continue"/>
            <w:tcMar>
              <w:top w:w="28" w:type="dxa"/>
              <w:left w:w="28" w:type="dxa"/>
              <w:bottom w:w="28" w:type="dxa"/>
              <w:right w:w="28" w:type="dxa"/>
            </w:tcMar>
            <w:vAlign w:val="center"/>
          </w:tcPr>
          <w:p>
            <w:pPr>
              <w:pStyle w:val="0"/>
              <w:rPr>
                <w:rFonts w:hint="default"/>
              </w:rPr>
            </w:pP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八街市</w:t>
            </w:r>
            <w:r>
              <w:rPr>
                <w:rFonts w:hint="default"/>
              </w:rPr>
              <w:t>_</w:t>
            </w:r>
            <w:r>
              <w:rPr>
                <w:rFonts w:hint="default"/>
              </w:rPr>
              <w:t>実績値</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18.2%</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17.0%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20.4%</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27.0%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161" w:hRule="atLeast"/>
        </w:trPr>
        <w:tc>
          <w:tcPr>
            <w:tcW w:w="682" w:type="pct"/>
            <w:vMerge w:val="continue"/>
            <w:tcMar>
              <w:top w:w="28" w:type="dxa"/>
              <w:left w:w="28" w:type="dxa"/>
              <w:bottom w:w="28" w:type="dxa"/>
              <w:right w:w="28" w:type="dxa"/>
            </w:tcMar>
            <w:vAlign w:val="center"/>
          </w:tcPr>
          <w:p>
            <w:pPr>
              <w:pStyle w:val="0"/>
              <w:rPr>
                <w:rFonts w:hint="default"/>
              </w:rPr>
            </w:pP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641" w:type="pct"/>
            <w:tcMar>
              <w:top w:w="28" w:type="dxa"/>
              <w:left w:w="28" w:type="dxa"/>
              <w:bottom w:w="28" w:type="dxa"/>
              <w:right w:w="28" w:type="dxa"/>
            </w:tcMar>
            <w:vAlign w:val="center"/>
          </w:tcPr>
          <w:p>
            <w:pPr>
              <w:pStyle w:val="0"/>
              <w:jc w:val="right"/>
              <w:rPr>
                <w:rFonts w:hint="default"/>
              </w:rPr>
            </w:pPr>
            <w:r>
              <w:rPr>
                <w:rFonts w:hint="default"/>
              </w:rPr>
              <w:t>29.3%</w:t>
            </w:r>
          </w:p>
        </w:tc>
        <w:tc>
          <w:tcPr>
            <w:tcW w:w="641" w:type="pct"/>
            <w:tcMar>
              <w:top w:w="28" w:type="dxa"/>
              <w:left w:w="28" w:type="dxa"/>
              <w:bottom w:w="28" w:type="dxa"/>
              <w:right w:w="28" w:type="dxa"/>
            </w:tcMar>
            <w:vAlign w:val="center"/>
          </w:tcPr>
          <w:p>
            <w:pPr>
              <w:pStyle w:val="0"/>
              <w:jc w:val="right"/>
              <w:rPr>
                <w:rFonts w:hint="default"/>
              </w:rPr>
            </w:pPr>
            <w:r>
              <w:rPr>
                <w:rFonts w:hint="default"/>
              </w:rPr>
              <w:t>27.9%</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27.9%</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161" w:hRule="atLeast"/>
        </w:trPr>
        <w:tc>
          <w:tcPr>
            <w:tcW w:w="682" w:type="pct"/>
            <w:vMerge w:val="continue"/>
            <w:tcMar>
              <w:top w:w="28" w:type="dxa"/>
              <w:left w:w="28" w:type="dxa"/>
              <w:bottom w:w="28" w:type="dxa"/>
              <w:right w:w="28" w:type="dxa"/>
            </w:tcMar>
            <w:vAlign w:val="center"/>
          </w:tcPr>
          <w:p>
            <w:pPr>
              <w:pStyle w:val="0"/>
              <w:rPr>
                <w:rFonts w:hint="default"/>
              </w:rPr>
            </w:pPr>
          </w:p>
        </w:tc>
        <w:tc>
          <w:tcPr>
            <w:tcW w:w="1114" w:type="pct"/>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641" w:type="pct"/>
            <w:tcMar>
              <w:top w:w="28" w:type="dxa"/>
              <w:left w:w="28" w:type="dxa"/>
              <w:bottom w:w="28" w:type="dxa"/>
              <w:right w:w="28" w:type="dxa"/>
            </w:tcMar>
            <w:vAlign w:val="center"/>
          </w:tcPr>
          <w:p>
            <w:pPr>
              <w:pStyle w:val="0"/>
              <w:jc w:val="right"/>
              <w:rPr>
                <w:rFonts w:hint="default"/>
              </w:rPr>
            </w:pPr>
            <w:r>
              <w:rPr>
                <w:rFonts w:hint="default"/>
              </w:rPr>
              <w:t>24.8%</w:t>
            </w:r>
          </w:p>
        </w:tc>
        <w:tc>
          <w:tcPr>
            <w:tcW w:w="641" w:type="pct"/>
            <w:tcMar>
              <w:top w:w="28" w:type="dxa"/>
              <w:left w:w="28" w:type="dxa"/>
              <w:bottom w:w="28" w:type="dxa"/>
              <w:right w:w="28" w:type="dxa"/>
            </w:tcMar>
            <w:vAlign w:val="center"/>
          </w:tcPr>
          <w:p>
            <w:pPr>
              <w:pStyle w:val="0"/>
              <w:jc w:val="right"/>
              <w:rPr>
                <w:rFonts w:hint="default"/>
              </w:rPr>
            </w:pPr>
            <w:r>
              <w:rPr>
                <w:rFonts w:hint="default"/>
              </w:rPr>
              <w:t>21.8%</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22.2%</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24.3%</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161" w:hRule="atLeast"/>
        </w:trPr>
        <w:tc>
          <w:tcPr>
            <w:tcW w:w="1796" w:type="pct"/>
            <w:gridSpan w:val="2"/>
            <w:shd w:val="clear" w:color="auto" w:fill="auto"/>
            <w:tcMar>
              <w:top w:w="28" w:type="dxa"/>
              <w:left w:w="28" w:type="dxa"/>
              <w:bottom w:w="28" w:type="dxa"/>
              <w:right w:w="28" w:type="dxa"/>
            </w:tcMar>
            <w:vAlign w:val="center"/>
          </w:tcPr>
          <w:p>
            <w:pPr>
              <w:pStyle w:val="0"/>
              <w:rPr>
                <w:rFonts w:hint="default"/>
              </w:rPr>
            </w:pPr>
            <w:r>
              <w:rPr>
                <w:rFonts w:hint="default"/>
              </w:rPr>
              <w:t>特定保健指導対象者数（人）</w:t>
            </w:r>
          </w:p>
        </w:tc>
        <w:tc>
          <w:tcPr>
            <w:tcW w:w="641" w:type="pct"/>
            <w:tcMar>
              <w:top w:w="28" w:type="dxa"/>
              <w:left w:w="28" w:type="dxa"/>
              <w:bottom w:w="28" w:type="dxa"/>
              <w:right w:w="28" w:type="dxa"/>
            </w:tcMar>
            <w:vAlign w:val="center"/>
          </w:tcPr>
          <w:p>
            <w:pPr>
              <w:pStyle w:val="0"/>
              <w:jc w:val="right"/>
              <w:rPr>
                <w:rFonts w:hint="default"/>
              </w:rPr>
            </w:pPr>
            <w:r>
              <w:rPr>
                <w:rFonts w:hint="default"/>
              </w:rPr>
              <w:t>818</w:t>
            </w:r>
          </w:p>
        </w:tc>
        <w:tc>
          <w:tcPr>
            <w:tcW w:w="641" w:type="pct"/>
            <w:tcMar>
              <w:top w:w="28" w:type="dxa"/>
              <w:left w:w="28" w:type="dxa"/>
              <w:bottom w:w="28" w:type="dxa"/>
              <w:right w:w="28" w:type="dxa"/>
            </w:tcMar>
            <w:vAlign w:val="center"/>
          </w:tcPr>
          <w:p>
            <w:pPr>
              <w:pStyle w:val="0"/>
              <w:jc w:val="right"/>
              <w:rPr>
                <w:rFonts w:hint="default"/>
              </w:rPr>
            </w:pPr>
            <w:r>
              <w:rPr>
                <w:rFonts w:hint="eastAsia"/>
              </w:rPr>
              <w:t>458</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731</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540</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r>
        <w:trPr>
          <w:trHeight w:val="30" w:hRule="atLeast"/>
        </w:trPr>
        <w:tc>
          <w:tcPr>
            <w:tcW w:w="1796" w:type="pct"/>
            <w:gridSpan w:val="2"/>
            <w:shd w:val="clear" w:color="auto" w:fill="auto"/>
            <w:tcMar>
              <w:top w:w="28" w:type="dxa"/>
              <w:left w:w="28" w:type="dxa"/>
              <w:bottom w:w="28" w:type="dxa"/>
              <w:right w:w="28" w:type="dxa"/>
            </w:tcMar>
            <w:vAlign w:val="center"/>
          </w:tcPr>
          <w:p>
            <w:pPr>
              <w:pStyle w:val="0"/>
              <w:rPr>
                <w:rFonts w:hint="default"/>
              </w:rPr>
            </w:pPr>
            <w:r>
              <w:rPr>
                <w:rFonts w:hint="default"/>
              </w:rPr>
              <w:t>特定保健指導実施者数（人）</w:t>
            </w:r>
          </w:p>
        </w:tc>
        <w:tc>
          <w:tcPr>
            <w:tcW w:w="641" w:type="pct"/>
            <w:tcMar>
              <w:top w:w="28" w:type="dxa"/>
              <w:left w:w="28" w:type="dxa"/>
              <w:bottom w:w="28" w:type="dxa"/>
              <w:right w:w="28" w:type="dxa"/>
            </w:tcMar>
            <w:vAlign w:val="center"/>
          </w:tcPr>
          <w:p>
            <w:pPr>
              <w:pStyle w:val="0"/>
              <w:jc w:val="right"/>
              <w:rPr>
                <w:rFonts w:hint="default"/>
              </w:rPr>
            </w:pPr>
            <w:r>
              <w:rPr>
                <w:rFonts w:hint="default"/>
              </w:rPr>
              <w:t>149</w:t>
            </w:r>
          </w:p>
        </w:tc>
        <w:tc>
          <w:tcPr>
            <w:tcW w:w="641" w:type="pct"/>
            <w:tcMar>
              <w:top w:w="28" w:type="dxa"/>
              <w:left w:w="28" w:type="dxa"/>
              <w:bottom w:w="28" w:type="dxa"/>
              <w:right w:w="28" w:type="dxa"/>
            </w:tcMar>
            <w:vAlign w:val="center"/>
          </w:tcPr>
          <w:p>
            <w:pPr>
              <w:pStyle w:val="0"/>
              <w:jc w:val="right"/>
              <w:rPr>
                <w:rFonts w:hint="default"/>
              </w:rPr>
            </w:pPr>
            <w:r>
              <w:rPr>
                <w:rFonts w:hint="default"/>
              </w:rPr>
              <w:t>78</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default"/>
              </w:rPr>
              <w:t>149</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146</w:t>
            </w:r>
          </w:p>
        </w:tc>
        <w:tc>
          <w:tcPr>
            <w:tcW w:w="641"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r>
    </w:tbl>
    <w:p>
      <w:pPr>
        <w:pStyle w:val="44"/>
        <w:rPr>
          <w:rFonts w:hint="default"/>
        </w:rPr>
      </w:pPr>
      <w:r>
        <w:rPr>
          <w:rFonts w:hint="eastAsia"/>
        </w:rPr>
        <w:t>【出典】目標値：前期計画</w:t>
      </w:r>
    </w:p>
    <w:p>
      <w:pPr>
        <w:pStyle w:val="44"/>
        <w:rPr>
          <w:rFonts w:hint="default"/>
        </w:rPr>
      </w:pPr>
      <w:r>
        <w:rPr>
          <w:rFonts w:hint="eastAsia"/>
        </w:rPr>
        <w:t>実績値：厚生労働省</w:t>
      </w:r>
      <w:r>
        <w:rPr>
          <w:rFonts w:hint="default"/>
        </w:rPr>
        <w:t xml:space="preserve"> 201</w:t>
      </w:r>
      <w:r>
        <w:rPr>
          <w:rFonts w:hint="eastAsia"/>
        </w:rPr>
        <w:t>9</w:t>
      </w:r>
      <w:r>
        <w:rPr>
          <w:rFonts w:hint="default"/>
        </w:rPr>
        <w:t>年度から</w:t>
      </w:r>
      <w:r>
        <w:rPr>
          <w:rFonts w:hint="eastAsia"/>
        </w:rPr>
        <w:t>20</w:t>
      </w:r>
      <w:r>
        <w:rPr>
          <w:rFonts w:hint="default"/>
        </w:rPr>
        <w:t>21</w:t>
      </w:r>
      <w:r>
        <w:rPr>
          <w:rFonts w:hint="eastAsia"/>
        </w:rPr>
        <w:t>年度</w:t>
      </w:r>
      <w:r>
        <w:rPr>
          <w:rFonts w:hint="default"/>
        </w:rPr>
        <w:t xml:space="preserve"> </w:t>
      </w:r>
      <w:r>
        <w:rPr>
          <w:rFonts w:hint="default"/>
        </w:rPr>
        <w:t>特定健診・</w:t>
      </w:r>
      <w:r>
        <w:rPr>
          <w:rFonts w:hint="eastAsia"/>
        </w:rPr>
        <w:t>特定</w:t>
      </w:r>
      <w:r>
        <w:rPr>
          <w:rFonts w:hint="default"/>
        </w:rPr>
        <w:t>保健指導</w:t>
      </w:r>
      <w:r>
        <w:rPr>
          <w:rFonts w:hint="eastAsia"/>
        </w:rPr>
        <w:t>の</w:t>
      </w:r>
      <w:r>
        <w:rPr>
          <w:rFonts w:hint="default"/>
        </w:rPr>
        <w:t>実施状況（保険者別）</w:t>
      </w:r>
    </w:p>
    <w:p>
      <w:pPr>
        <w:pStyle w:val="40"/>
        <w:rPr>
          <w:rFonts w:hint="default"/>
        </w:rPr>
      </w:pPr>
      <w:r>
        <w:rPr>
          <w:rFonts w:hint="eastAsia"/>
        </w:rPr>
        <w:t>公益社団法人</w:t>
      </w:r>
      <w:r>
        <w:rPr>
          <w:rFonts w:hint="eastAsia"/>
        </w:rPr>
        <w:t xml:space="preserve"> </w:t>
      </w:r>
      <w:r>
        <w:rPr>
          <w:rFonts w:hint="eastAsia"/>
        </w:rPr>
        <w:t>国民健康保険中央会</w:t>
      </w:r>
      <w:r>
        <w:rPr>
          <w:rFonts w:hint="eastAsia"/>
        </w:rPr>
        <w:t xml:space="preserve"> </w:t>
      </w:r>
      <w:r>
        <w:rPr>
          <w:rFonts w:hint="eastAsia"/>
        </w:rPr>
        <w:t>市町村国保特定健康診査・特定保健指導実施状況報告書</w:t>
      </w:r>
      <w:r>
        <w:rPr>
          <w:rFonts w:hint="eastAsia"/>
        </w:rPr>
        <w:t xml:space="preserve"> </w:t>
      </w:r>
      <w:r>
        <w:rPr>
          <w:rFonts w:hint="eastAsia"/>
        </w:rPr>
        <w:t>令和</w:t>
      </w:r>
      <w:r>
        <w:rPr>
          <w:rFonts w:hint="eastAsia"/>
        </w:rPr>
        <w:t>1</w:t>
      </w:r>
      <w:r>
        <w:rPr>
          <w:rFonts w:hint="eastAsia"/>
        </w:rPr>
        <w:t>年度から令和</w:t>
      </w:r>
      <w:r>
        <w:rPr>
          <w:rFonts w:hint="eastAsia"/>
        </w:rPr>
        <w:t>3</w:t>
      </w:r>
      <w:r>
        <w:rPr>
          <w:rFonts w:hint="eastAsia"/>
        </w:rPr>
        <w:t>年度</w:t>
      </w:r>
    </w:p>
    <w:p>
      <w:pPr>
        <w:pStyle w:val="42"/>
        <w:jc w:val="right"/>
        <w:rPr>
          <w:rFonts w:hint="default"/>
        </w:rPr>
      </w:pPr>
      <w:bookmarkStart w:id="260" w:name="_Hlk152706291"/>
      <w:r>
        <w:rPr>
          <w:rFonts w:hint="eastAsia"/>
        </w:rPr>
        <w:t>※令和</w:t>
      </w:r>
      <w:r>
        <w:rPr>
          <w:rFonts w:hint="default"/>
        </w:rPr>
        <w:t>4</w:t>
      </w:r>
      <w:r>
        <w:rPr>
          <w:rFonts w:hint="default"/>
        </w:rPr>
        <w:t>年度の国の法定報告値及び令和</w:t>
      </w:r>
      <w:r>
        <w:rPr>
          <w:rFonts w:hint="default"/>
        </w:rPr>
        <w:t>5</w:t>
      </w:r>
      <w:r>
        <w:rPr>
          <w:rFonts w:hint="default"/>
        </w:rPr>
        <w:t>年度法定報告値は令和</w:t>
      </w:r>
      <w:r>
        <w:rPr>
          <w:rFonts w:hint="eastAsia"/>
        </w:rPr>
        <w:t>6</w:t>
      </w:r>
      <w:r>
        <w:rPr>
          <w:rFonts w:hint="default"/>
        </w:rPr>
        <w:t>年</w:t>
      </w:r>
      <w:r>
        <w:rPr>
          <w:rFonts w:hint="eastAsia"/>
        </w:rPr>
        <w:t>3</w:t>
      </w:r>
      <w:r>
        <w:rPr>
          <w:rFonts w:hint="default"/>
        </w:rPr>
        <w:t>月時点で未公表のため、表は「</w:t>
      </w:r>
      <w:r>
        <w:rPr>
          <w:rFonts w:hint="default"/>
        </w:rPr>
        <w:t>-</w:t>
      </w:r>
      <w:r>
        <w:rPr>
          <w:rFonts w:hint="default"/>
        </w:rPr>
        <w:t>」と表記している</w:t>
      </w:r>
    </w:p>
    <w:p>
      <w:pPr>
        <w:pStyle w:val="0"/>
        <w:rPr>
          <w:rFonts w:hint="default"/>
        </w:rPr>
      </w:pPr>
      <w:bookmarkEnd w:id="260"/>
    </w:p>
    <w:p>
      <w:pPr>
        <w:pStyle w:val="38"/>
        <w:rPr>
          <w:rFonts w:hint="default"/>
        </w:rPr>
      </w:pPr>
      <w:bookmarkStart w:id="261" w:name="_Ref122563556"/>
      <w:bookmarkStart w:id="262" w:name="_Toc124936871"/>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5</w:t>
      </w:r>
      <w:r>
        <w:rPr>
          <w:rFonts w:hint="eastAsia"/>
        </w:rPr>
        <w:fldChar w:fldCharType="end"/>
      </w:r>
      <w:bookmarkEnd w:id="261"/>
      <w:r>
        <w:rPr>
          <w:rFonts w:hint="default"/>
        </w:rPr>
        <w:t>：支援区分別特定保健指導の実施率・対象者数・実施者数</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1"/>
        <w:gridCol w:w="1564"/>
        <w:gridCol w:w="1562"/>
        <w:gridCol w:w="1563"/>
        <w:gridCol w:w="1562"/>
        <w:gridCol w:w="1563"/>
      </w:tblGrid>
      <w:tr>
        <w:trPr>
          <w:trHeight w:val="20" w:hRule="atLeast"/>
        </w:trPr>
        <w:tc>
          <w:tcPr>
            <w:tcW w:w="3125" w:type="dxa"/>
            <w:gridSpan w:val="2"/>
            <w:shd w:val="clear" w:color="auto" w:fill="CCD6FF"/>
            <w:tcMar>
              <w:top w:w="28" w:type="dxa"/>
              <w:left w:w="28" w:type="dxa"/>
              <w:bottom w:w="28" w:type="dxa"/>
              <w:right w:w="28" w:type="dxa"/>
            </w:tcMar>
            <w:vAlign w:val="center"/>
          </w:tcPr>
          <w:p>
            <w:pPr>
              <w:pStyle w:val="0"/>
              <w:jc w:val="center"/>
              <w:rPr>
                <w:rFonts w:hint="default"/>
              </w:rPr>
            </w:pPr>
            <w:bookmarkEnd w:id="262"/>
          </w:p>
        </w:tc>
        <w:tc>
          <w:tcPr>
            <w:tcW w:w="1562"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1</w:t>
            </w:r>
            <w:r>
              <w:rPr>
                <w:rFonts w:hint="default"/>
                <w:b w:val="1"/>
              </w:rPr>
              <w:t>年度</w:t>
            </w:r>
          </w:p>
        </w:tc>
        <w:tc>
          <w:tcPr>
            <w:tcW w:w="1563"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2</w:t>
            </w:r>
            <w:r>
              <w:rPr>
                <w:rFonts w:hint="default"/>
                <w:b w:val="1"/>
              </w:rPr>
              <w:t>年度</w:t>
            </w:r>
          </w:p>
        </w:tc>
        <w:tc>
          <w:tcPr>
            <w:tcW w:w="1562"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rPr>
              <w:t>令和</w:t>
            </w:r>
            <w:r>
              <w:rPr>
                <w:rFonts w:hint="default"/>
                <w:b w:val="1"/>
              </w:rPr>
              <w:t>3</w:t>
            </w:r>
            <w:r>
              <w:rPr>
                <w:rFonts w:hint="default"/>
                <w:b w:val="1"/>
              </w:rPr>
              <w:t>年度</w:t>
            </w:r>
          </w:p>
        </w:tc>
        <w:tc>
          <w:tcPr>
            <w:tcW w:w="1563" w:type="dxa"/>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r>
      <w:tr>
        <w:trPr>
          <w:trHeight w:val="20" w:hRule="atLeast"/>
        </w:trPr>
        <w:tc>
          <w:tcPr>
            <w:tcW w:w="1561" w:type="dxa"/>
            <w:vMerge w:val="restart"/>
            <w:shd w:val="clear" w:color="auto" w:fill="auto"/>
            <w:tcMar>
              <w:top w:w="28" w:type="dxa"/>
              <w:left w:w="28" w:type="dxa"/>
              <w:bottom w:w="28" w:type="dxa"/>
              <w:right w:w="28" w:type="dxa"/>
            </w:tcMar>
            <w:vAlign w:val="center"/>
          </w:tcPr>
          <w:p>
            <w:pPr>
              <w:pStyle w:val="0"/>
              <w:rPr>
                <w:rFonts w:hint="default"/>
              </w:rPr>
            </w:pPr>
            <w:r>
              <w:rPr>
                <w:rFonts w:hint="default"/>
              </w:rPr>
              <w:t>積極的支援</w:t>
            </w:r>
          </w:p>
        </w:tc>
        <w:tc>
          <w:tcPr>
            <w:tcW w:w="1564" w:type="dxa"/>
            <w:shd w:val="clear" w:color="auto" w:fill="auto"/>
            <w:tcMar>
              <w:top w:w="28" w:type="dxa"/>
              <w:left w:w="28" w:type="dxa"/>
              <w:bottom w:w="28" w:type="dxa"/>
              <w:right w:w="28" w:type="dxa"/>
            </w:tcMar>
            <w:vAlign w:val="center"/>
          </w:tcPr>
          <w:p>
            <w:pPr>
              <w:pStyle w:val="0"/>
              <w:rPr>
                <w:rFonts w:hint="default"/>
              </w:rPr>
            </w:pPr>
            <w:r>
              <w:rPr>
                <w:rFonts w:hint="default"/>
              </w:rPr>
              <w:t>実施率</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0.0%</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18.0%</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13.7%</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27.0%</w:t>
            </w:r>
          </w:p>
        </w:tc>
      </w:tr>
      <w:tr>
        <w:trPr>
          <w:trHeight w:val="20" w:hRule="atLeast"/>
        </w:trPr>
        <w:tc>
          <w:tcPr>
            <w:tcW w:w="1561" w:type="dxa"/>
            <w:vMerge w:val="continue"/>
            <w:tcMar>
              <w:top w:w="28" w:type="dxa"/>
              <w:left w:w="28" w:type="dxa"/>
              <w:bottom w:w="28" w:type="dxa"/>
              <w:right w:w="28" w:type="dxa"/>
            </w:tcMar>
            <w:vAlign w:val="center"/>
          </w:tcPr>
          <w:p>
            <w:pPr>
              <w:pStyle w:val="0"/>
              <w:rPr>
                <w:rFonts w:hint="default"/>
              </w:rPr>
            </w:pPr>
          </w:p>
        </w:tc>
        <w:tc>
          <w:tcPr>
            <w:tcW w:w="1564" w:type="dxa"/>
            <w:shd w:val="clear" w:color="auto" w:fill="auto"/>
            <w:tcMar>
              <w:top w:w="28" w:type="dxa"/>
              <w:left w:w="28" w:type="dxa"/>
              <w:bottom w:w="28" w:type="dxa"/>
              <w:right w:w="28" w:type="dxa"/>
            </w:tcMar>
            <w:vAlign w:val="center"/>
          </w:tcPr>
          <w:p>
            <w:pPr>
              <w:pStyle w:val="0"/>
              <w:rPr>
                <w:rFonts w:hint="default"/>
              </w:rPr>
            </w:pPr>
            <w:r>
              <w:rPr>
                <w:rFonts w:hint="default"/>
              </w:rPr>
              <w:t>対象者数（人）</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187</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100</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175</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126</w:t>
            </w:r>
          </w:p>
        </w:tc>
      </w:tr>
      <w:tr>
        <w:trPr>
          <w:trHeight w:val="20" w:hRule="atLeast"/>
        </w:trPr>
        <w:tc>
          <w:tcPr>
            <w:tcW w:w="1561" w:type="dxa"/>
            <w:vMerge w:val="continue"/>
            <w:tcMar>
              <w:top w:w="28" w:type="dxa"/>
              <w:left w:w="28" w:type="dxa"/>
              <w:bottom w:w="28" w:type="dxa"/>
              <w:right w:w="28" w:type="dxa"/>
            </w:tcMar>
            <w:vAlign w:val="center"/>
          </w:tcPr>
          <w:p>
            <w:pPr>
              <w:pStyle w:val="0"/>
              <w:rPr>
                <w:rFonts w:hint="default"/>
              </w:rPr>
            </w:pPr>
          </w:p>
        </w:tc>
        <w:tc>
          <w:tcPr>
            <w:tcW w:w="1564" w:type="dxa"/>
            <w:shd w:val="clear" w:color="auto" w:fill="auto"/>
            <w:tcMar>
              <w:top w:w="28" w:type="dxa"/>
              <w:left w:w="28" w:type="dxa"/>
              <w:bottom w:w="28" w:type="dxa"/>
              <w:right w:w="28" w:type="dxa"/>
            </w:tcMar>
            <w:vAlign w:val="center"/>
          </w:tcPr>
          <w:p>
            <w:pPr>
              <w:pStyle w:val="0"/>
              <w:rPr>
                <w:rFonts w:hint="default"/>
              </w:rPr>
            </w:pPr>
            <w:r>
              <w:rPr>
                <w:rFonts w:hint="default"/>
              </w:rPr>
              <w:t>実施者数（人）</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0</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18</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24</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34</w:t>
            </w:r>
          </w:p>
        </w:tc>
      </w:tr>
      <w:tr>
        <w:trPr>
          <w:trHeight w:val="20" w:hRule="atLeast"/>
        </w:trPr>
        <w:tc>
          <w:tcPr>
            <w:tcW w:w="1561" w:type="dxa"/>
            <w:vMerge w:val="restart"/>
            <w:shd w:val="clear" w:color="auto" w:fill="auto"/>
            <w:tcMar>
              <w:top w:w="28" w:type="dxa"/>
              <w:left w:w="28" w:type="dxa"/>
              <w:bottom w:w="28" w:type="dxa"/>
              <w:right w:w="28" w:type="dxa"/>
            </w:tcMar>
            <w:vAlign w:val="center"/>
          </w:tcPr>
          <w:p>
            <w:pPr>
              <w:pStyle w:val="0"/>
              <w:rPr>
                <w:rFonts w:hint="default"/>
              </w:rPr>
            </w:pPr>
            <w:r>
              <w:rPr>
                <w:rFonts w:hint="default"/>
              </w:rPr>
              <w:t>動機付け支援</w:t>
            </w:r>
          </w:p>
        </w:tc>
        <w:tc>
          <w:tcPr>
            <w:tcW w:w="1564" w:type="dxa"/>
            <w:shd w:val="clear" w:color="auto" w:fill="auto"/>
            <w:tcMar>
              <w:top w:w="28" w:type="dxa"/>
              <w:left w:w="28" w:type="dxa"/>
              <w:bottom w:w="28" w:type="dxa"/>
              <w:right w:w="28" w:type="dxa"/>
            </w:tcMar>
            <w:vAlign w:val="center"/>
          </w:tcPr>
          <w:p>
            <w:pPr>
              <w:pStyle w:val="0"/>
              <w:rPr>
                <w:rFonts w:hint="default"/>
              </w:rPr>
            </w:pPr>
            <w:r>
              <w:rPr>
                <w:rFonts w:hint="default"/>
              </w:rPr>
              <w:t>実施率</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23.1%</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18.2%</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23.6%</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27.7%</w:t>
            </w:r>
          </w:p>
        </w:tc>
      </w:tr>
      <w:tr>
        <w:trPr>
          <w:trHeight w:val="20" w:hRule="atLeast"/>
        </w:trPr>
        <w:tc>
          <w:tcPr>
            <w:tcW w:w="1561" w:type="dxa"/>
            <w:vMerge w:val="continue"/>
            <w:tcMar>
              <w:top w:w="28" w:type="dxa"/>
              <w:left w:w="28" w:type="dxa"/>
              <w:bottom w:w="28" w:type="dxa"/>
              <w:right w:w="28" w:type="dxa"/>
            </w:tcMar>
            <w:vAlign w:val="center"/>
          </w:tcPr>
          <w:p>
            <w:pPr>
              <w:pStyle w:val="0"/>
              <w:rPr>
                <w:rFonts w:hint="default"/>
              </w:rPr>
            </w:pPr>
          </w:p>
        </w:tc>
        <w:tc>
          <w:tcPr>
            <w:tcW w:w="1564" w:type="dxa"/>
            <w:shd w:val="clear" w:color="auto" w:fill="auto"/>
            <w:tcMar>
              <w:top w:w="28" w:type="dxa"/>
              <w:left w:w="28" w:type="dxa"/>
              <w:bottom w:w="28" w:type="dxa"/>
              <w:right w:w="28" w:type="dxa"/>
            </w:tcMar>
            <w:vAlign w:val="center"/>
          </w:tcPr>
          <w:p>
            <w:pPr>
              <w:pStyle w:val="0"/>
              <w:rPr>
                <w:rFonts w:hint="default"/>
              </w:rPr>
            </w:pPr>
            <w:r>
              <w:rPr>
                <w:rFonts w:hint="default"/>
              </w:rPr>
              <w:t>対象者数（人）</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635</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358</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556</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415</w:t>
            </w:r>
          </w:p>
        </w:tc>
      </w:tr>
      <w:tr>
        <w:trPr>
          <w:trHeight w:val="20" w:hRule="atLeast"/>
        </w:trPr>
        <w:tc>
          <w:tcPr>
            <w:tcW w:w="1561" w:type="dxa"/>
            <w:vMerge w:val="continue"/>
            <w:tcMar>
              <w:top w:w="28" w:type="dxa"/>
              <w:left w:w="28" w:type="dxa"/>
              <w:bottom w:w="28" w:type="dxa"/>
              <w:right w:w="28" w:type="dxa"/>
            </w:tcMar>
            <w:vAlign w:val="center"/>
          </w:tcPr>
          <w:p>
            <w:pPr>
              <w:pStyle w:val="0"/>
              <w:rPr>
                <w:rFonts w:hint="default"/>
              </w:rPr>
            </w:pPr>
          </w:p>
        </w:tc>
        <w:tc>
          <w:tcPr>
            <w:tcW w:w="1564" w:type="dxa"/>
            <w:shd w:val="clear" w:color="auto" w:fill="auto"/>
            <w:tcMar>
              <w:top w:w="28" w:type="dxa"/>
              <w:left w:w="28" w:type="dxa"/>
              <w:bottom w:w="28" w:type="dxa"/>
              <w:right w:w="28" w:type="dxa"/>
            </w:tcMar>
            <w:vAlign w:val="center"/>
          </w:tcPr>
          <w:p>
            <w:pPr>
              <w:pStyle w:val="0"/>
              <w:rPr>
                <w:rFonts w:hint="default"/>
              </w:rPr>
            </w:pPr>
            <w:r>
              <w:rPr>
                <w:rFonts w:hint="default"/>
              </w:rPr>
              <w:t>実施者数（人）</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147</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65</w:t>
            </w:r>
          </w:p>
        </w:tc>
        <w:tc>
          <w:tcPr>
            <w:tcW w:w="1562" w:type="dxa"/>
            <w:shd w:val="clear" w:color="auto" w:fill="auto"/>
            <w:tcMar>
              <w:top w:w="28" w:type="dxa"/>
              <w:left w:w="28" w:type="dxa"/>
              <w:bottom w:w="28" w:type="dxa"/>
              <w:right w:w="28" w:type="dxa"/>
            </w:tcMar>
            <w:vAlign w:val="center"/>
          </w:tcPr>
          <w:p>
            <w:pPr>
              <w:pStyle w:val="0"/>
              <w:jc w:val="right"/>
              <w:rPr>
                <w:rFonts w:hint="default"/>
              </w:rPr>
            </w:pPr>
            <w:r>
              <w:rPr>
                <w:rFonts w:hint="default"/>
              </w:rPr>
              <w:t>131</w:t>
            </w:r>
          </w:p>
        </w:tc>
        <w:tc>
          <w:tcPr>
            <w:tcW w:w="1563" w:type="dxa"/>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S21_008-</w:t>
      </w:r>
      <w:r>
        <w:rPr>
          <w:rFonts w:hint="default"/>
        </w:rPr>
        <w:t>健診の状況</w:t>
      </w:r>
      <w:r>
        <w:rPr>
          <w:rFonts w:hint="eastAsia"/>
        </w:rPr>
        <w:t xml:space="preserve"> </w:t>
      </w:r>
      <w:r>
        <w:rPr>
          <w:rFonts w:hint="eastAsia"/>
        </w:rPr>
        <w:t>令和</w:t>
      </w:r>
      <w:r>
        <w:rPr>
          <w:rFonts w:hint="eastAsia"/>
        </w:rPr>
        <w:t>1</w:t>
      </w:r>
      <w:r>
        <w:rPr>
          <w:rFonts w:hint="default"/>
        </w:rPr>
        <w:t>年度から令和</w:t>
      </w:r>
      <w:r>
        <w:rPr>
          <w:rFonts w:hint="default"/>
        </w:rPr>
        <w:t>4</w:t>
      </w:r>
      <w:r>
        <w:rPr>
          <w:rFonts w:hint="default"/>
        </w:rPr>
        <w:t>年度</w:t>
      </w:r>
      <w:r>
        <w:rPr>
          <w:rFonts w:hint="default"/>
        </w:rPr>
        <w:t xml:space="preserve"> </w:t>
      </w:r>
      <w:r>
        <w:rPr>
          <w:rFonts w:hint="default"/>
        </w:rPr>
        <w:t>累計</w:t>
      </w:r>
    </w:p>
    <w:p>
      <w:pPr>
        <w:pStyle w:val="42"/>
        <w:rPr>
          <w:rFonts w:hint="default"/>
        </w:rPr>
      </w:pPr>
      <w:r>
        <w:rPr>
          <w:rFonts w:hint="default"/>
        </w:rPr>
        <w:t>※</w:t>
      </w:r>
      <w:r>
        <w:rPr>
          <w:rFonts w:hint="eastAsia"/>
        </w:rPr>
        <w:fldChar w:fldCharType="begin"/>
      </w:r>
      <w:r>
        <w:rPr>
          <w:rFonts w:hint="eastAsia"/>
        </w:rPr>
        <w:instrText xml:space="preserve">REF _Ref122563547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4</w:t>
      </w:r>
      <w:r>
        <w:rPr>
          <w:rFonts w:hint="eastAsia"/>
        </w:rPr>
        <w:fldChar w:fldCharType="end"/>
      </w:r>
      <w:r>
        <w:rPr>
          <w:rFonts w:hint="default"/>
        </w:rPr>
        <w:t>と</w:t>
      </w:r>
      <w:r>
        <w:rPr>
          <w:rFonts w:hint="eastAsia"/>
        </w:rPr>
        <w:fldChar w:fldCharType="begin"/>
      </w:r>
      <w:r>
        <w:rPr>
          <w:rFonts w:hint="eastAsia"/>
        </w:rPr>
        <w:instrText xml:space="preserve">REF _Ref122563556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5</w:t>
      </w:r>
      <w:r>
        <w:rPr>
          <w:rFonts w:hint="eastAsia"/>
        </w:rPr>
        <w:fldChar w:fldCharType="end"/>
      </w:r>
      <w:r>
        <w:rPr>
          <w:rFonts w:hint="default"/>
        </w:rPr>
        <w:t>における対象者数・実施者数のずれは法定報告値と</w:t>
      </w:r>
      <w:r>
        <w:rPr>
          <w:rFonts w:hint="default"/>
        </w:rPr>
        <w:t>KDB</w:t>
      </w:r>
      <w:r>
        <w:rPr>
          <w:rFonts w:hint="default"/>
        </w:rPr>
        <w:t>帳票の差によるもの</w:t>
      </w:r>
      <w:r>
        <w:rPr>
          <w:rFonts w:hint="default"/>
        </w:rPr>
        <w:br w:type="page"/>
      </w:r>
    </w:p>
    <w:p>
      <w:pPr>
        <w:pStyle w:val="4"/>
        <w:rPr>
          <w:rFonts w:hint="default"/>
        </w:rPr>
      </w:pPr>
      <w:r>
        <w:rPr>
          <w:rFonts w:hint="default"/>
        </w:rPr>
        <w:t>メタボリックシンドロームの該当者</w:t>
      </w:r>
      <w:r>
        <w:rPr>
          <w:rFonts w:hint="eastAsia"/>
        </w:rPr>
        <w:t>数・</w:t>
      </w:r>
      <w:r>
        <w:rPr>
          <w:rFonts w:hint="default"/>
        </w:rPr>
        <w:t>予備群該当者数</w:t>
      </w:r>
    </w:p>
    <w:p>
      <w:pPr>
        <w:pStyle w:val="39"/>
        <w:ind w:firstLine="200"/>
        <w:rPr>
          <w:rFonts w:hint="default"/>
        </w:rPr>
      </w:pPr>
      <w:r>
        <w:rPr>
          <w:rFonts w:hint="default"/>
        </w:rPr>
        <w:t>特定健診受診者におけるメタボ該当者数の数をみると（</w:t>
      </w:r>
      <w:r>
        <w:rPr>
          <w:rFonts w:hint="eastAsia"/>
        </w:rPr>
        <w:fldChar w:fldCharType="begin"/>
      </w:r>
      <w:r>
        <w:rPr>
          <w:rFonts w:hint="eastAsia"/>
        </w:rPr>
        <w:instrText xml:space="preserve">REF _Ref124772787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6</w:t>
      </w:r>
      <w:r>
        <w:rPr>
          <w:rFonts w:hint="eastAsia"/>
        </w:rPr>
        <w:fldChar w:fldCharType="end"/>
      </w:r>
      <w:r>
        <w:rPr>
          <w:rFonts w:hint="default"/>
        </w:rPr>
        <w:t>）、令和</w:t>
      </w:r>
      <w:r>
        <w:rPr>
          <w:rFonts w:hint="default"/>
        </w:rPr>
        <w:t>4</w:t>
      </w:r>
      <w:r>
        <w:rPr>
          <w:rFonts w:hint="default"/>
        </w:rPr>
        <w:t>年度におけるメタボ該当者数は</w:t>
      </w:r>
      <w:r>
        <w:rPr>
          <w:rFonts w:hint="default"/>
        </w:rPr>
        <w:t>676</w:t>
      </w:r>
      <w:r>
        <w:rPr>
          <w:rFonts w:hint="default"/>
        </w:rPr>
        <w:t>人で、特定健診受診者の</w:t>
      </w:r>
      <w:r>
        <w:rPr>
          <w:rFonts w:hint="default"/>
        </w:rPr>
        <w:t>18.7%</w:t>
      </w:r>
      <w:r>
        <w:rPr>
          <w:rFonts w:hint="default"/>
        </w:rPr>
        <w:t>であり、国・県より低い。</w:t>
      </w:r>
    </w:p>
    <w:p>
      <w:pPr>
        <w:pStyle w:val="39"/>
        <w:ind w:firstLine="200"/>
        <w:rPr>
          <w:rFonts w:hint="default"/>
        </w:rPr>
      </w:pPr>
      <w:r>
        <w:rPr>
          <w:rFonts w:hint="default"/>
        </w:rPr>
        <w:t>前期計画中の推移をみると、メタボ該当者数は減少しており、</w:t>
      </w:r>
      <w:r>
        <w:rPr>
          <w:rFonts w:hint="eastAsia"/>
        </w:rPr>
        <w:t>特定健診受診者に占める該当</w:t>
      </w:r>
      <w:r>
        <w:rPr>
          <w:rFonts w:hint="default"/>
        </w:rPr>
        <w:t>割合は上昇している。</w:t>
      </w:r>
    </w:p>
    <w:p>
      <w:pPr>
        <w:pStyle w:val="39"/>
        <w:ind w:firstLine="200"/>
        <w:rPr>
          <w:rFonts w:hint="default"/>
        </w:rPr>
      </w:pPr>
      <w:r>
        <w:rPr>
          <w:rFonts w:hint="default"/>
        </w:rPr>
        <w:t>男女別にみると、メタボ該当者数はいずれの年度においても男性の方が多く、</w:t>
      </w:r>
      <w:r>
        <w:rPr>
          <w:rFonts w:hint="eastAsia"/>
        </w:rPr>
        <w:t>特定健診受診者に占める該当</w:t>
      </w:r>
      <w:r>
        <w:rPr>
          <w:rFonts w:hint="default"/>
        </w:rPr>
        <w:t>割合はいずれの年度においても男性の方が高い。</w:t>
      </w:r>
    </w:p>
    <w:p>
      <w:pPr>
        <w:pStyle w:val="0"/>
        <w:rPr>
          <w:rFonts w:hint="default"/>
        </w:rPr>
      </w:pPr>
    </w:p>
    <w:p>
      <w:pPr>
        <w:pStyle w:val="38"/>
        <w:rPr>
          <w:rFonts w:hint="default"/>
        </w:rPr>
      </w:pPr>
      <w:bookmarkStart w:id="263" w:name="_Ref124772787"/>
      <w:bookmarkStart w:id="264" w:name="_Toc124936872"/>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6</w:t>
      </w:r>
      <w:r>
        <w:rPr>
          <w:rFonts w:hint="eastAsia"/>
        </w:rPr>
        <w:fldChar w:fldCharType="end"/>
      </w:r>
      <w:bookmarkEnd w:id="263"/>
      <w:r>
        <w:rPr>
          <w:rFonts w:hint="default"/>
        </w:rPr>
        <w:t>：特定健診受診者における</w:t>
      </w:r>
      <w:bookmarkEnd w:id="264"/>
      <w:r>
        <w:rPr>
          <w:rFonts w:hint="default"/>
        </w:rPr>
        <w:t>メタボ該当者</w:t>
      </w:r>
      <w:r>
        <w:rPr>
          <w:rFonts w:hint="eastAsia"/>
        </w:rPr>
        <w:t>数・割合</w:t>
      </w:r>
    </w:p>
    <w:p>
      <w:pPr>
        <w:pStyle w:val="0"/>
        <w:jc w:val="center"/>
        <w:rPr>
          <w:rFonts w:hint="default"/>
        </w:rPr>
      </w:pPr>
      <w:r>
        <w:rPr>
          <w:rFonts w:hint="default"/>
        </w:rPr>
        <w:drawing>
          <wp:inline distT="0" distB="0" distL="0" distR="0">
            <wp:extent cx="5939790" cy="2519680"/>
            <wp:effectExtent l="0" t="0" r="0" b="0"/>
            <wp:docPr id="1107" name="オブジェクト 0"/>
            <a:graphic xmlns:a="http://schemas.openxmlformats.org/drawingml/2006/main">
              <a:graphicData uri="http://schemas.openxmlformats.org/drawingml/2006/chart">
                <c:chart xmlns:c="http://schemas.openxmlformats.org/drawingml/2006/chart" r:id="rId59"/>
              </a:graphicData>
            </a:graphic>
          </wp:inline>
        </w:drawing>
      </w:r>
    </w:p>
    <w:p>
      <w:pPr>
        <w:pStyle w:val="0"/>
        <w:rPr>
          <w:rFonts w:hint="default"/>
        </w:rPr>
      </w:pPr>
    </w:p>
    <w:tbl>
      <w:tblPr>
        <w:tblStyle w:val="172"/>
        <w:tblW w:w="9375" w:type="dxa"/>
        <w:tblInd w:w="0" w:type="dxa"/>
        <w:tblLayout w:type="fixed"/>
        <w:tblLook w:firstRow="1" w:lastRow="0" w:firstColumn="1" w:lastColumn="0" w:noHBand="0" w:noVBand="1" w:val="04A0"/>
      </w:tblPr>
      <w:tblGrid>
        <w:gridCol w:w="513"/>
        <w:gridCol w:w="1361"/>
        <w:gridCol w:w="1098"/>
        <w:gridCol w:w="776"/>
        <w:gridCol w:w="1067"/>
        <w:gridCol w:w="808"/>
        <w:gridCol w:w="1077"/>
        <w:gridCol w:w="799"/>
        <w:gridCol w:w="1077"/>
        <w:gridCol w:w="799"/>
      </w:tblGrid>
      <w:tr>
        <w:trPr/>
        <w:tc>
          <w:tcPr>
            <w:tcW w:w="1874" w:type="dxa"/>
            <w:gridSpan w:val="2"/>
            <w:vMerge w:val="restart"/>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メタボ該当者</w:t>
            </w:r>
          </w:p>
        </w:tc>
        <w:tc>
          <w:tcPr>
            <w:tcW w:w="1874"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1</w:t>
            </w:r>
            <w:r>
              <w:rPr>
                <w:rFonts w:hint="default"/>
                <w:b w:val="1"/>
              </w:rPr>
              <w:t>年度</w:t>
            </w:r>
          </w:p>
        </w:tc>
        <w:tc>
          <w:tcPr>
            <w:tcW w:w="1875"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2</w:t>
            </w:r>
            <w:r>
              <w:rPr>
                <w:rFonts w:hint="default"/>
                <w:b w:val="1"/>
              </w:rPr>
              <w:t>年度</w:t>
            </w:r>
          </w:p>
        </w:tc>
        <w:tc>
          <w:tcPr>
            <w:tcW w:w="1876"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3</w:t>
            </w:r>
            <w:r>
              <w:rPr>
                <w:rFonts w:hint="default"/>
                <w:b w:val="1"/>
              </w:rPr>
              <w:t>年度</w:t>
            </w:r>
          </w:p>
        </w:tc>
        <w:tc>
          <w:tcPr>
            <w:tcW w:w="1876" w:type="dxa"/>
            <w:gridSpan w:val="2"/>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rPr>
              <w:t>令和</w:t>
            </w:r>
            <w:r>
              <w:rPr>
                <w:rFonts w:hint="default"/>
                <w:b w:val="1"/>
              </w:rPr>
              <w:t>4</w:t>
            </w:r>
            <w:r>
              <w:rPr>
                <w:rFonts w:hint="default"/>
                <w:b w:val="1"/>
              </w:rPr>
              <w:t>年度</w:t>
            </w:r>
          </w:p>
        </w:tc>
      </w:tr>
      <w:tr>
        <w:trPr/>
        <w:tc>
          <w:tcPr>
            <w:tcW w:w="1874" w:type="dxa"/>
            <w:gridSpan w:val="2"/>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spacing w:line="276" w:lineRule="auto"/>
              <w:rPr>
                <w:rFonts w:hint="default"/>
              </w:rPr>
            </w:pPr>
          </w:p>
        </w:tc>
        <w:tc>
          <w:tcPr>
            <w:tcW w:w="1098"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sz w:val="14"/>
              </w:rPr>
              <w:t>該当者</w:t>
            </w:r>
            <w:r>
              <w:rPr>
                <w:rFonts w:hint="eastAsia"/>
                <w:b w:val="1"/>
                <w:sz w:val="14"/>
              </w:rPr>
              <w:t>数</w:t>
            </w:r>
            <w:r>
              <w:rPr>
                <w:rFonts w:hint="default"/>
                <w:b w:val="1"/>
                <w:sz w:val="14"/>
              </w:rPr>
              <w:t>（人）</w:t>
            </w:r>
          </w:p>
        </w:tc>
        <w:tc>
          <w:tcPr>
            <w:tcW w:w="776"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c>
          <w:tcPr>
            <w:tcW w:w="1067"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sz w:val="14"/>
              </w:rPr>
              <w:t>該当者</w:t>
            </w:r>
            <w:r>
              <w:rPr>
                <w:rFonts w:hint="eastAsia"/>
                <w:b w:val="1"/>
                <w:sz w:val="14"/>
              </w:rPr>
              <w:t>数</w:t>
            </w:r>
            <w:r>
              <w:rPr>
                <w:rFonts w:hint="default"/>
                <w:b w:val="1"/>
                <w:sz w:val="14"/>
              </w:rPr>
              <w:t>（人）</w:t>
            </w:r>
          </w:p>
        </w:tc>
        <w:tc>
          <w:tcPr>
            <w:tcW w:w="808"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c>
          <w:tcPr>
            <w:tcW w:w="1077"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sz w:val="14"/>
              </w:rPr>
              <w:t>該当者</w:t>
            </w:r>
            <w:r>
              <w:rPr>
                <w:rFonts w:hint="eastAsia"/>
                <w:b w:val="1"/>
                <w:sz w:val="14"/>
              </w:rPr>
              <w:t>数</w:t>
            </w:r>
            <w:r>
              <w:rPr>
                <w:rFonts w:hint="default"/>
                <w:b w:val="1"/>
                <w:sz w:val="14"/>
              </w:rPr>
              <w:t>（人）</w:t>
            </w:r>
          </w:p>
        </w:tc>
        <w:tc>
          <w:tcPr>
            <w:tcW w:w="799"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c>
          <w:tcPr>
            <w:tcW w:w="1077" w:type="dxa"/>
            <w:shd w:val="clear" w:color="auto" w:fill="CCD6FF"/>
            <w:tcMar>
              <w:top w:w="28" w:type="dxa"/>
              <w:left w:w="28" w:type="dxa"/>
              <w:bottom w:w="28" w:type="dxa"/>
              <w:right w:w="28" w:type="dxa"/>
            </w:tcMar>
            <w:vAlign w:val="center"/>
          </w:tcPr>
          <w:p>
            <w:pPr>
              <w:pStyle w:val="0"/>
              <w:jc w:val="center"/>
              <w:rPr>
                <w:rFonts w:hint="default"/>
              </w:rPr>
            </w:pPr>
            <w:r>
              <w:rPr>
                <w:rFonts w:hint="default"/>
                <w:b w:val="1"/>
                <w:sz w:val="14"/>
              </w:rPr>
              <w:t>該当者</w:t>
            </w:r>
            <w:r>
              <w:rPr>
                <w:rFonts w:hint="eastAsia"/>
                <w:b w:val="1"/>
                <w:sz w:val="14"/>
              </w:rPr>
              <w:t>数</w:t>
            </w:r>
            <w:r>
              <w:rPr>
                <w:rFonts w:hint="default"/>
                <w:b w:val="1"/>
                <w:sz w:val="14"/>
              </w:rPr>
              <w:t>（人）</w:t>
            </w:r>
          </w:p>
        </w:tc>
        <w:tc>
          <w:tcPr>
            <w:tcW w:w="799" w:type="dxa"/>
            <w:shd w:val="clear" w:color="auto" w:fill="CCD6FF"/>
            <w:tcMar>
              <w:top w:w="28" w:type="dxa"/>
              <w:left w:w="28" w:type="dxa"/>
              <w:bottom w:w="28" w:type="dxa"/>
              <w:right w:w="28" w:type="dxa"/>
            </w:tcMar>
            <w:vAlign w:val="center"/>
          </w:tcPr>
          <w:p>
            <w:pPr>
              <w:pStyle w:val="0"/>
              <w:spacing w:line="276" w:lineRule="auto"/>
              <w:jc w:val="center"/>
              <w:rPr>
                <w:rFonts w:hint="default"/>
              </w:rPr>
            </w:pPr>
            <w:r>
              <w:rPr>
                <w:rFonts w:hint="default"/>
                <w:b w:val="1"/>
                <w:sz w:val="14"/>
              </w:rPr>
              <w:t>割合</w:t>
            </w:r>
          </w:p>
        </w:tc>
      </w:tr>
      <w:tr>
        <w:trPr/>
        <w:tc>
          <w:tcPr>
            <w:tcW w:w="1874" w:type="dxa"/>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pacing w:line="276" w:lineRule="auto"/>
              <w:rPr>
                <w:rFonts w:hint="default"/>
              </w:rPr>
            </w:pPr>
            <w:r>
              <w:rPr>
                <w:rFonts w:hint="default"/>
              </w:rPr>
              <w:t>八街市</w:t>
            </w:r>
          </w:p>
        </w:tc>
        <w:tc>
          <w:tcPr>
            <w:tcW w:w="1098" w:type="dxa"/>
            <w:tcMar>
              <w:top w:w="28" w:type="dxa"/>
              <w:left w:w="28" w:type="dxa"/>
              <w:bottom w:w="28" w:type="dxa"/>
              <w:right w:w="28" w:type="dxa"/>
            </w:tcMar>
            <w:vAlign w:val="center"/>
          </w:tcPr>
          <w:p>
            <w:pPr>
              <w:pStyle w:val="0"/>
              <w:spacing w:line="276" w:lineRule="auto"/>
              <w:jc w:val="right"/>
              <w:rPr>
                <w:rFonts w:hint="default"/>
              </w:rPr>
            </w:pPr>
            <w:r>
              <w:rPr>
                <w:rFonts w:hint="eastAsia"/>
              </w:rPr>
              <w:t>846</w:t>
            </w:r>
          </w:p>
        </w:tc>
        <w:tc>
          <w:tcPr>
            <w:tcW w:w="776" w:type="dxa"/>
            <w:tcMar>
              <w:top w:w="28" w:type="dxa"/>
              <w:left w:w="28" w:type="dxa"/>
              <w:bottom w:w="28" w:type="dxa"/>
              <w:right w:w="28" w:type="dxa"/>
            </w:tcMar>
            <w:vAlign w:val="center"/>
          </w:tcPr>
          <w:p>
            <w:pPr>
              <w:pStyle w:val="0"/>
              <w:spacing w:line="276" w:lineRule="auto"/>
              <w:jc w:val="right"/>
              <w:rPr>
                <w:rFonts w:hint="default"/>
              </w:rPr>
            </w:pPr>
            <w:r>
              <w:rPr>
                <w:rFonts w:hint="default"/>
              </w:rPr>
              <w:t>17.2%</w:t>
            </w:r>
          </w:p>
        </w:tc>
        <w:tc>
          <w:tcPr>
            <w:tcW w:w="1067" w:type="dxa"/>
            <w:tcMar>
              <w:top w:w="28" w:type="dxa"/>
              <w:left w:w="28" w:type="dxa"/>
              <w:bottom w:w="28" w:type="dxa"/>
              <w:right w:w="28" w:type="dxa"/>
            </w:tcMar>
            <w:vAlign w:val="center"/>
          </w:tcPr>
          <w:p>
            <w:pPr>
              <w:pStyle w:val="0"/>
              <w:spacing w:line="276" w:lineRule="auto"/>
              <w:jc w:val="right"/>
              <w:rPr>
                <w:rFonts w:hint="default"/>
              </w:rPr>
            </w:pPr>
            <w:r>
              <w:rPr>
                <w:rFonts w:hint="eastAsia"/>
              </w:rPr>
              <w:t>478</w:t>
            </w:r>
          </w:p>
        </w:tc>
        <w:tc>
          <w:tcPr>
            <w:tcW w:w="808" w:type="dxa"/>
            <w:tcMar>
              <w:top w:w="28" w:type="dxa"/>
              <w:left w:w="28" w:type="dxa"/>
              <w:bottom w:w="28" w:type="dxa"/>
              <w:right w:w="28" w:type="dxa"/>
            </w:tcMar>
            <w:vAlign w:val="center"/>
          </w:tcPr>
          <w:p>
            <w:pPr>
              <w:pStyle w:val="0"/>
              <w:spacing w:line="276" w:lineRule="auto"/>
              <w:jc w:val="right"/>
              <w:rPr>
                <w:rFonts w:hint="default"/>
              </w:rPr>
            </w:pPr>
            <w:r>
              <w:rPr>
                <w:rFonts w:hint="default"/>
              </w:rPr>
              <w:t>18.1%</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eastAsia"/>
              </w:rPr>
              <w:t>730</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19.3%</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eastAsia"/>
              </w:rPr>
              <w:t>676</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18.7%</w:t>
            </w:r>
          </w:p>
        </w:tc>
      </w:tr>
      <w:tr>
        <w:trPr/>
        <w:tc>
          <w:tcPr>
            <w:tcW w:w="513" w:type="dxa"/>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pacing w:line="276" w:lineRule="auto"/>
              <w:rPr>
                <w:rFonts w:hint="default"/>
              </w:rPr>
            </w:pPr>
          </w:p>
        </w:tc>
        <w:tc>
          <w:tcPr>
            <w:tcW w:w="1361" w:type="dxa"/>
            <w:tcBorders>
              <w:top w:val="single" w:color="000000"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pacing w:line="276" w:lineRule="auto"/>
              <w:rPr>
                <w:rFonts w:hint="default"/>
              </w:rPr>
            </w:pPr>
            <w:r>
              <w:rPr>
                <w:rFonts w:hint="default"/>
              </w:rPr>
              <w:t>男性</w:t>
            </w:r>
          </w:p>
        </w:tc>
        <w:tc>
          <w:tcPr>
            <w:tcW w:w="1098" w:type="dxa"/>
            <w:tcMar>
              <w:top w:w="28" w:type="dxa"/>
              <w:left w:w="28" w:type="dxa"/>
              <w:bottom w:w="28" w:type="dxa"/>
              <w:right w:w="28" w:type="dxa"/>
            </w:tcMar>
            <w:vAlign w:val="center"/>
          </w:tcPr>
          <w:p>
            <w:pPr>
              <w:pStyle w:val="0"/>
              <w:spacing w:line="276" w:lineRule="auto"/>
              <w:jc w:val="right"/>
              <w:rPr>
                <w:rFonts w:hint="default"/>
              </w:rPr>
            </w:pPr>
            <w:r>
              <w:rPr>
                <w:rFonts w:hint="eastAsia"/>
              </w:rPr>
              <w:t>595</w:t>
            </w:r>
          </w:p>
        </w:tc>
        <w:tc>
          <w:tcPr>
            <w:tcW w:w="776" w:type="dxa"/>
            <w:tcMar>
              <w:top w:w="28" w:type="dxa"/>
              <w:left w:w="28" w:type="dxa"/>
              <w:bottom w:w="28" w:type="dxa"/>
              <w:right w:w="28" w:type="dxa"/>
            </w:tcMar>
            <w:vAlign w:val="center"/>
          </w:tcPr>
          <w:p>
            <w:pPr>
              <w:pStyle w:val="0"/>
              <w:spacing w:line="276" w:lineRule="auto"/>
              <w:jc w:val="right"/>
              <w:rPr>
                <w:rFonts w:hint="default"/>
              </w:rPr>
            </w:pPr>
            <w:r>
              <w:rPr>
                <w:rFonts w:hint="default"/>
              </w:rPr>
              <w:t>25.7%</w:t>
            </w:r>
          </w:p>
        </w:tc>
        <w:tc>
          <w:tcPr>
            <w:tcW w:w="1067" w:type="dxa"/>
            <w:tcMar>
              <w:top w:w="28" w:type="dxa"/>
              <w:left w:w="28" w:type="dxa"/>
              <w:bottom w:w="28" w:type="dxa"/>
              <w:right w:w="28" w:type="dxa"/>
            </w:tcMar>
            <w:vAlign w:val="center"/>
          </w:tcPr>
          <w:p>
            <w:pPr>
              <w:pStyle w:val="0"/>
              <w:spacing w:line="276" w:lineRule="auto"/>
              <w:jc w:val="right"/>
              <w:rPr>
                <w:rFonts w:hint="default"/>
              </w:rPr>
            </w:pPr>
            <w:r>
              <w:rPr>
                <w:rFonts w:hint="eastAsia"/>
              </w:rPr>
              <w:t>358</w:t>
            </w:r>
          </w:p>
        </w:tc>
        <w:tc>
          <w:tcPr>
            <w:tcW w:w="808" w:type="dxa"/>
            <w:tcMar>
              <w:top w:w="28" w:type="dxa"/>
              <w:left w:w="28" w:type="dxa"/>
              <w:bottom w:w="28" w:type="dxa"/>
              <w:right w:w="28" w:type="dxa"/>
            </w:tcMar>
            <w:vAlign w:val="center"/>
          </w:tcPr>
          <w:p>
            <w:pPr>
              <w:pStyle w:val="0"/>
              <w:spacing w:line="276" w:lineRule="auto"/>
              <w:jc w:val="right"/>
              <w:rPr>
                <w:rFonts w:hint="default"/>
              </w:rPr>
            </w:pPr>
            <w:r>
              <w:rPr>
                <w:rFonts w:hint="default"/>
              </w:rPr>
              <w:t>27.1%</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eastAsia"/>
              </w:rPr>
              <w:t>515</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29.5%</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eastAsia"/>
              </w:rPr>
              <w:t>480</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28.7%</w:t>
            </w:r>
          </w:p>
        </w:tc>
      </w:tr>
      <w:tr>
        <w:trPr/>
        <w:tc>
          <w:tcPr>
            <w:tcW w:w="513" w:type="dxa"/>
            <w:vMerge w:val="continue"/>
            <w:tcBorders>
              <w:top w:val="nil"/>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spacing w:line="276" w:lineRule="auto"/>
              <w:rPr>
                <w:rFonts w:hint="default"/>
              </w:rPr>
            </w:pPr>
          </w:p>
        </w:tc>
        <w:tc>
          <w:tcPr>
            <w:tcW w:w="1361" w:type="dxa"/>
            <w:tcMar>
              <w:top w:w="28" w:type="dxa"/>
              <w:left w:w="28" w:type="dxa"/>
              <w:bottom w:w="28" w:type="dxa"/>
              <w:right w:w="28" w:type="dxa"/>
            </w:tcMar>
            <w:vAlign w:val="center"/>
          </w:tcPr>
          <w:p>
            <w:pPr>
              <w:pStyle w:val="0"/>
              <w:spacing w:line="276" w:lineRule="auto"/>
              <w:rPr>
                <w:rFonts w:hint="default"/>
              </w:rPr>
            </w:pPr>
            <w:r>
              <w:rPr>
                <w:rFonts w:hint="default"/>
              </w:rPr>
              <w:t>女性</w:t>
            </w:r>
          </w:p>
        </w:tc>
        <w:tc>
          <w:tcPr>
            <w:tcW w:w="1098" w:type="dxa"/>
            <w:tcMar>
              <w:top w:w="28" w:type="dxa"/>
              <w:left w:w="28" w:type="dxa"/>
              <w:bottom w:w="28" w:type="dxa"/>
              <w:right w:w="28" w:type="dxa"/>
            </w:tcMar>
            <w:vAlign w:val="center"/>
          </w:tcPr>
          <w:p>
            <w:pPr>
              <w:pStyle w:val="0"/>
              <w:spacing w:line="276" w:lineRule="auto"/>
              <w:jc w:val="right"/>
              <w:rPr>
                <w:rFonts w:hint="default"/>
              </w:rPr>
            </w:pPr>
            <w:r>
              <w:rPr>
                <w:rFonts w:hint="eastAsia"/>
              </w:rPr>
              <w:t>251</w:t>
            </w:r>
          </w:p>
        </w:tc>
        <w:tc>
          <w:tcPr>
            <w:tcW w:w="776" w:type="dxa"/>
            <w:tcMar>
              <w:top w:w="28" w:type="dxa"/>
              <w:left w:w="28" w:type="dxa"/>
              <w:bottom w:w="28" w:type="dxa"/>
              <w:right w:w="28" w:type="dxa"/>
            </w:tcMar>
            <w:vAlign w:val="center"/>
          </w:tcPr>
          <w:p>
            <w:pPr>
              <w:pStyle w:val="0"/>
              <w:spacing w:line="276" w:lineRule="auto"/>
              <w:jc w:val="right"/>
              <w:rPr>
                <w:rFonts w:hint="default"/>
              </w:rPr>
            </w:pPr>
            <w:r>
              <w:rPr>
                <w:rFonts w:hint="default"/>
              </w:rPr>
              <w:t>9.7%</w:t>
            </w:r>
          </w:p>
        </w:tc>
        <w:tc>
          <w:tcPr>
            <w:tcW w:w="1067" w:type="dxa"/>
            <w:tcMar>
              <w:top w:w="28" w:type="dxa"/>
              <w:left w:w="28" w:type="dxa"/>
              <w:bottom w:w="28" w:type="dxa"/>
              <w:right w:w="28" w:type="dxa"/>
            </w:tcMar>
            <w:vAlign w:val="center"/>
          </w:tcPr>
          <w:p>
            <w:pPr>
              <w:pStyle w:val="0"/>
              <w:spacing w:line="276" w:lineRule="auto"/>
              <w:jc w:val="right"/>
              <w:rPr>
                <w:rFonts w:hint="default"/>
              </w:rPr>
            </w:pPr>
            <w:r>
              <w:rPr>
                <w:rFonts w:hint="eastAsia"/>
              </w:rPr>
              <w:t>120</w:t>
            </w:r>
          </w:p>
        </w:tc>
        <w:tc>
          <w:tcPr>
            <w:tcW w:w="808" w:type="dxa"/>
            <w:tcMar>
              <w:top w:w="28" w:type="dxa"/>
              <w:left w:w="28" w:type="dxa"/>
              <w:bottom w:w="28" w:type="dxa"/>
              <w:right w:w="28" w:type="dxa"/>
            </w:tcMar>
            <w:vAlign w:val="center"/>
          </w:tcPr>
          <w:p>
            <w:pPr>
              <w:pStyle w:val="0"/>
              <w:spacing w:line="276" w:lineRule="auto"/>
              <w:jc w:val="right"/>
              <w:rPr>
                <w:rFonts w:hint="default"/>
              </w:rPr>
            </w:pPr>
            <w:r>
              <w:rPr>
                <w:rFonts w:hint="default"/>
              </w:rPr>
              <w:t>9.1%</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eastAsia"/>
              </w:rPr>
              <w:t>215</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10.5%</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eastAsia"/>
              </w:rPr>
              <w:t>196</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10.1%</w:t>
            </w:r>
          </w:p>
        </w:tc>
      </w:tr>
      <w:tr>
        <w:trPr/>
        <w:tc>
          <w:tcPr>
            <w:tcW w:w="1874" w:type="dxa"/>
            <w:gridSpan w:val="2"/>
            <w:tcMar>
              <w:top w:w="28" w:type="dxa"/>
              <w:left w:w="28" w:type="dxa"/>
              <w:bottom w:w="28" w:type="dxa"/>
              <w:right w:w="28" w:type="dxa"/>
            </w:tcMar>
            <w:vAlign w:val="center"/>
          </w:tcPr>
          <w:p>
            <w:pPr>
              <w:pStyle w:val="0"/>
              <w:spacing w:line="276" w:lineRule="auto"/>
              <w:rPr>
                <w:rFonts w:hint="default"/>
              </w:rPr>
            </w:pPr>
            <w:r>
              <w:rPr>
                <w:rFonts w:hint="default"/>
              </w:rPr>
              <w:t>国</w:t>
            </w:r>
          </w:p>
        </w:tc>
        <w:tc>
          <w:tcPr>
            <w:tcW w:w="1098"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76" w:type="dxa"/>
            <w:tcMar>
              <w:top w:w="28" w:type="dxa"/>
              <w:left w:w="28" w:type="dxa"/>
              <w:bottom w:w="28" w:type="dxa"/>
              <w:right w:w="28" w:type="dxa"/>
            </w:tcMar>
            <w:vAlign w:val="center"/>
          </w:tcPr>
          <w:p>
            <w:pPr>
              <w:pStyle w:val="0"/>
              <w:spacing w:line="276" w:lineRule="auto"/>
              <w:jc w:val="right"/>
              <w:rPr>
                <w:rFonts w:hint="default"/>
              </w:rPr>
            </w:pPr>
            <w:r>
              <w:rPr>
                <w:rFonts w:hint="default"/>
              </w:rPr>
              <w:t>19.2%</w:t>
            </w:r>
          </w:p>
        </w:tc>
        <w:tc>
          <w:tcPr>
            <w:tcW w:w="106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808" w:type="dxa"/>
            <w:tcMar>
              <w:top w:w="28" w:type="dxa"/>
              <w:left w:w="28" w:type="dxa"/>
              <w:bottom w:w="28" w:type="dxa"/>
              <w:right w:w="28" w:type="dxa"/>
            </w:tcMar>
            <w:vAlign w:val="center"/>
          </w:tcPr>
          <w:p>
            <w:pPr>
              <w:pStyle w:val="0"/>
              <w:spacing w:line="276" w:lineRule="auto"/>
              <w:jc w:val="right"/>
              <w:rPr>
                <w:rFonts w:hint="default"/>
              </w:rPr>
            </w:pPr>
            <w:r>
              <w:rPr>
                <w:rFonts w:hint="default"/>
              </w:rPr>
              <w:t>20.8%</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20.6%</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20.6%</w:t>
            </w:r>
          </w:p>
        </w:tc>
      </w:tr>
      <w:tr>
        <w:trPr/>
        <w:tc>
          <w:tcPr>
            <w:tcW w:w="1874" w:type="dxa"/>
            <w:gridSpan w:val="2"/>
            <w:tcMar>
              <w:top w:w="28" w:type="dxa"/>
              <w:left w:w="28" w:type="dxa"/>
              <w:bottom w:w="28" w:type="dxa"/>
              <w:right w:w="28" w:type="dxa"/>
            </w:tcMar>
            <w:vAlign w:val="center"/>
          </w:tcPr>
          <w:p>
            <w:pPr>
              <w:pStyle w:val="0"/>
              <w:spacing w:line="276" w:lineRule="auto"/>
              <w:rPr>
                <w:rFonts w:hint="default"/>
              </w:rPr>
            </w:pPr>
            <w:r>
              <w:rPr>
                <w:rFonts w:hint="default"/>
              </w:rPr>
              <w:t>県</w:t>
            </w:r>
          </w:p>
        </w:tc>
        <w:tc>
          <w:tcPr>
            <w:tcW w:w="1098"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76" w:type="dxa"/>
            <w:tcMar>
              <w:top w:w="28" w:type="dxa"/>
              <w:left w:w="28" w:type="dxa"/>
              <w:bottom w:w="28" w:type="dxa"/>
              <w:right w:w="28" w:type="dxa"/>
            </w:tcMar>
            <w:vAlign w:val="center"/>
          </w:tcPr>
          <w:p>
            <w:pPr>
              <w:pStyle w:val="0"/>
              <w:spacing w:line="276" w:lineRule="auto"/>
              <w:jc w:val="right"/>
              <w:rPr>
                <w:rFonts w:hint="default"/>
              </w:rPr>
            </w:pPr>
            <w:r>
              <w:rPr>
                <w:rFonts w:hint="default"/>
              </w:rPr>
              <w:t>18.5%</w:t>
            </w:r>
          </w:p>
        </w:tc>
        <w:tc>
          <w:tcPr>
            <w:tcW w:w="106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808" w:type="dxa"/>
            <w:tcMar>
              <w:top w:w="28" w:type="dxa"/>
              <w:left w:w="28" w:type="dxa"/>
              <w:bottom w:w="28" w:type="dxa"/>
              <w:right w:w="28" w:type="dxa"/>
            </w:tcMar>
            <w:vAlign w:val="center"/>
          </w:tcPr>
          <w:p>
            <w:pPr>
              <w:pStyle w:val="0"/>
              <w:spacing w:line="276" w:lineRule="auto"/>
              <w:jc w:val="right"/>
              <w:rPr>
                <w:rFonts w:hint="default"/>
              </w:rPr>
            </w:pPr>
            <w:r>
              <w:rPr>
                <w:rFonts w:hint="default"/>
              </w:rPr>
              <w:t>20.6%</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20.2%</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20.3%</w:t>
            </w:r>
          </w:p>
        </w:tc>
      </w:tr>
      <w:tr>
        <w:trPr/>
        <w:tc>
          <w:tcPr>
            <w:tcW w:w="1874" w:type="dxa"/>
            <w:gridSpan w:val="2"/>
            <w:tcMar>
              <w:top w:w="28" w:type="dxa"/>
              <w:left w:w="28" w:type="dxa"/>
              <w:bottom w:w="28" w:type="dxa"/>
              <w:right w:w="28" w:type="dxa"/>
            </w:tcMar>
            <w:vAlign w:val="center"/>
          </w:tcPr>
          <w:p>
            <w:pPr>
              <w:pStyle w:val="0"/>
              <w:spacing w:line="276" w:lineRule="auto"/>
              <w:rPr>
                <w:rFonts w:hint="default"/>
              </w:rPr>
            </w:pPr>
            <w:r>
              <w:rPr>
                <w:rFonts w:hint="default"/>
              </w:rPr>
              <w:t>同規模</w:t>
            </w:r>
          </w:p>
        </w:tc>
        <w:tc>
          <w:tcPr>
            <w:tcW w:w="1098"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76" w:type="dxa"/>
            <w:tcMar>
              <w:top w:w="28" w:type="dxa"/>
              <w:left w:w="28" w:type="dxa"/>
              <w:bottom w:w="28" w:type="dxa"/>
              <w:right w:w="28" w:type="dxa"/>
            </w:tcMar>
            <w:vAlign w:val="center"/>
          </w:tcPr>
          <w:p>
            <w:pPr>
              <w:pStyle w:val="0"/>
              <w:spacing w:line="276" w:lineRule="auto"/>
              <w:jc w:val="right"/>
              <w:rPr>
                <w:rFonts w:hint="default"/>
              </w:rPr>
            </w:pPr>
            <w:r>
              <w:rPr>
                <w:rFonts w:hint="default"/>
              </w:rPr>
              <w:t>19.4%</w:t>
            </w:r>
          </w:p>
        </w:tc>
        <w:tc>
          <w:tcPr>
            <w:tcW w:w="106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808" w:type="dxa"/>
            <w:tcMar>
              <w:top w:w="28" w:type="dxa"/>
              <w:left w:w="28" w:type="dxa"/>
              <w:bottom w:w="28" w:type="dxa"/>
              <w:right w:w="28" w:type="dxa"/>
            </w:tcMar>
            <w:vAlign w:val="center"/>
          </w:tcPr>
          <w:p>
            <w:pPr>
              <w:pStyle w:val="0"/>
              <w:spacing w:line="276" w:lineRule="auto"/>
              <w:jc w:val="right"/>
              <w:rPr>
                <w:rFonts w:hint="default"/>
              </w:rPr>
            </w:pPr>
            <w:r>
              <w:rPr>
                <w:rFonts w:hint="default"/>
              </w:rPr>
              <w:t>21.0%</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20.8%</w:t>
            </w:r>
          </w:p>
        </w:tc>
        <w:tc>
          <w:tcPr>
            <w:tcW w:w="1077" w:type="dxa"/>
            <w:tcMar>
              <w:top w:w="28" w:type="dxa"/>
              <w:left w:w="28" w:type="dxa"/>
              <w:bottom w:w="28" w:type="dxa"/>
              <w:right w:w="28" w:type="dxa"/>
            </w:tcMar>
            <w:vAlign w:val="center"/>
          </w:tcPr>
          <w:p>
            <w:pPr>
              <w:pStyle w:val="0"/>
              <w:spacing w:line="276" w:lineRule="auto"/>
              <w:jc w:val="right"/>
              <w:rPr>
                <w:rFonts w:hint="default"/>
              </w:rPr>
            </w:pPr>
            <w:r>
              <w:rPr>
                <w:rFonts w:hint="default"/>
              </w:rPr>
              <w:t>-</w:t>
            </w:r>
          </w:p>
        </w:tc>
        <w:tc>
          <w:tcPr>
            <w:tcW w:w="799" w:type="dxa"/>
            <w:tcMar>
              <w:top w:w="28" w:type="dxa"/>
              <w:left w:w="28" w:type="dxa"/>
              <w:bottom w:w="28" w:type="dxa"/>
              <w:right w:w="28" w:type="dxa"/>
            </w:tcMar>
            <w:vAlign w:val="center"/>
          </w:tcPr>
          <w:p>
            <w:pPr>
              <w:pStyle w:val="0"/>
              <w:spacing w:line="276" w:lineRule="auto"/>
              <w:jc w:val="right"/>
              <w:rPr>
                <w:rFonts w:hint="default"/>
              </w:rPr>
            </w:pPr>
            <w:r>
              <w:rPr>
                <w:rFonts w:hint="default"/>
              </w:rPr>
              <w:t>20.9%</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1</w:t>
      </w:r>
      <w:r>
        <w:rPr>
          <w:rFonts w:hint="default"/>
        </w:rPr>
        <w:t>年度から令和</w:t>
      </w:r>
      <w:r>
        <w:rPr>
          <w:rFonts w:hint="default"/>
        </w:rPr>
        <w:t>4</w:t>
      </w:r>
      <w:r>
        <w:rPr>
          <w:rFonts w:hint="default"/>
        </w:rPr>
        <w:t>年度</w:t>
      </w:r>
      <w:r>
        <w:rPr>
          <w:rFonts w:hint="default"/>
        </w:rPr>
        <w:t xml:space="preserve"> </w:t>
      </w:r>
      <w:r>
        <w:rPr>
          <w:rFonts w:hint="default"/>
        </w:rPr>
        <w:t>累計</w:t>
      </w:r>
    </w:p>
    <w:p>
      <w:pPr>
        <w:pStyle w:val="0"/>
        <w:ind w:right="400"/>
        <w:rPr>
          <w:rFonts w:hint="default"/>
        </w:rPr>
      </w:pPr>
      <w:r>
        <w:rPr>
          <w:rFonts w:hint="default"/>
        </w:rPr>
        <w:br w:type="page"/>
      </w:r>
    </w:p>
    <w:p>
      <w:pPr>
        <w:pStyle w:val="39"/>
        <w:ind w:firstLine="200"/>
        <w:rPr>
          <w:rFonts w:hint="default"/>
        </w:rPr>
      </w:pPr>
      <w:r>
        <w:rPr>
          <w:rFonts w:hint="default"/>
        </w:rPr>
        <w:t>特定健診受診者におけるメタボ予備群</w:t>
      </w:r>
      <w:r>
        <w:rPr>
          <w:rFonts w:hint="eastAsia"/>
        </w:rPr>
        <w:t>該当者</w:t>
      </w:r>
      <w:r>
        <w:rPr>
          <w:rFonts w:hint="default"/>
        </w:rPr>
        <w:t>数をみると（</w:t>
      </w:r>
      <w:r>
        <w:rPr>
          <w:rFonts w:hint="eastAsia"/>
        </w:rPr>
        <w:fldChar w:fldCharType="begin"/>
      </w:r>
      <w:r>
        <w:rPr>
          <w:rFonts w:hint="eastAsia"/>
        </w:rPr>
        <w:instrText xml:space="preserve">REF _Ref124772982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2</w:t>
      </w:r>
      <w:r>
        <w:rPr>
          <w:rFonts w:hint="eastAsia"/>
        </w:rPr>
        <w:t>-</w:t>
      </w:r>
      <w:r>
        <w:rPr>
          <w:rFonts w:hint="default"/>
        </w:rPr>
        <w:t>7</w:t>
      </w:r>
      <w:r>
        <w:rPr>
          <w:rFonts w:hint="eastAsia"/>
        </w:rPr>
        <w:fldChar w:fldCharType="end"/>
      </w:r>
      <w:r>
        <w:rPr>
          <w:rFonts w:hint="default"/>
        </w:rPr>
        <w:t>）、令和</w:t>
      </w:r>
      <w:r>
        <w:rPr>
          <w:rFonts w:hint="default"/>
        </w:rPr>
        <w:t>4</w:t>
      </w:r>
      <w:r>
        <w:rPr>
          <w:rFonts w:hint="default"/>
        </w:rPr>
        <w:t>年度におけるメタボ予備群該当者数は</w:t>
      </w:r>
      <w:r>
        <w:rPr>
          <w:rFonts w:hint="default"/>
        </w:rPr>
        <w:t>452</w:t>
      </w:r>
      <w:r>
        <w:rPr>
          <w:rFonts w:hint="default"/>
        </w:rPr>
        <w:t>人で、特定健診受診者における該当割合は</w:t>
      </w:r>
      <w:r>
        <w:rPr>
          <w:rFonts w:hint="default"/>
        </w:rPr>
        <w:t>12.5%</w:t>
      </w:r>
      <w:r>
        <w:rPr>
          <w:rFonts w:hint="default"/>
        </w:rPr>
        <w:t>で、</w:t>
      </w:r>
      <w:r>
        <w:rPr>
          <w:rFonts w:hint="default"/>
          <w:color w:val="000000"/>
        </w:rPr>
        <w:t>国・県より高い。</w:t>
      </w:r>
    </w:p>
    <w:p>
      <w:pPr>
        <w:pStyle w:val="39"/>
        <w:ind w:firstLine="200"/>
        <w:rPr>
          <w:rFonts w:hint="default"/>
        </w:rPr>
      </w:pPr>
      <w:r>
        <w:rPr>
          <w:rFonts w:hint="default"/>
        </w:rPr>
        <w:t>前期計画中の推移をみると、メタボ予備群該当者数は減少しており</w:t>
      </w:r>
      <w:r>
        <w:rPr>
          <w:rFonts w:hint="eastAsia"/>
        </w:rPr>
        <w:t>、特定健診受診者における該当割合は</w:t>
      </w:r>
      <w:r>
        <w:rPr>
          <w:rFonts w:hint="default"/>
        </w:rPr>
        <w:t>低下している。</w:t>
      </w:r>
    </w:p>
    <w:p>
      <w:pPr>
        <w:pStyle w:val="39"/>
        <w:ind w:firstLine="200"/>
        <w:rPr>
          <w:rFonts w:hint="default"/>
        </w:rPr>
      </w:pPr>
      <w:r>
        <w:rPr>
          <w:rFonts w:hint="default"/>
        </w:rPr>
        <w:t>男女別にみると、メタボ予備群該当者数はいずれの年度においても男性の方が多く、</w:t>
      </w:r>
      <w:r>
        <w:rPr>
          <w:rFonts w:hint="eastAsia"/>
        </w:rPr>
        <w:t>特定健診受診者における該当</w:t>
      </w:r>
      <w:r>
        <w:rPr>
          <w:rFonts w:hint="default"/>
        </w:rPr>
        <w:t>割合はいずれの年度においても男性の方が高い。</w:t>
      </w:r>
    </w:p>
    <w:p>
      <w:pPr>
        <w:pStyle w:val="0"/>
        <w:rPr>
          <w:rFonts w:hint="default"/>
        </w:rPr>
      </w:pPr>
    </w:p>
    <w:p>
      <w:pPr>
        <w:pStyle w:val="38"/>
        <w:rPr>
          <w:rFonts w:hint="default"/>
        </w:rPr>
      </w:pPr>
      <w:bookmarkStart w:id="265" w:name="_Ref124772982"/>
      <w:bookmarkStart w:id="266" w:name="_Toc124936873"/>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7</w:t>
      </w:r>
      <w:r>
        <w:rPr>
          <w:rFonts w:hint="eastAsia"/>
        </w:rPr>
        <w:fldChar w:fldCharType="end"/>
      </w:r>
      <w:bookmarkEnd w:id="265"/>
      <w:r>
        <w:rPr>
          <w:rFonts w:hint="default"/>
        </w:rPr>
        <w:t>：特定健診受診者におけるメタボ予備群該当者</w:t>
      </w:r>
      <w:r>
        <w:rPr>
          <w:rFonts w:hint="eastAsia"/>
        </w:rPr>
        <w:t>数</w:t>
      </w:r>
      <w:bookmarkEnd w:id="266"/>
      <w:r>
        <w:rPr>
          <w:rFonts w:hint="eastAsia"/>
        </w:rPr>
        <w:t>・割合</w:t>
      </w:r>
    </w:p>
    <w:p>
      <w:pPr>
        <w:pStyle w:val="0"/>
        <w:jc w:val="center"/>
        <w:rPr>
          <w:rFonts w:hint="default"/>
        </w:rPr>
      </w:pPr>
      <w:r>
        <w:rPr>
          <w:rFonts w:hint="default"/>
        </w:rPr>
        <w:drawing>
          <wp:inline distT="0" distB="0" distL="0" distR="0">
            <wp:extent cx="5939790" cy="2519680"/>
            <wp:effectExtent l="0" t="0" r="0" b="0"/>
            <wp:docPr id="1108" name="オブジェクト 0"/>
            <a:graphic xmlns:a="http://schemas.openxmlformats.org/drawingml/2006/main">
              <a:graphicData uri="http://schemas.openxmlformats.org/drawingml/2006/chart">
                <c:chart xmlns:c="http://schemas.openxmlformats.org/drawingml/2006/chart" r:id="rId60"/>
              </a:graphicData>
            </a:graphic>
          </wp:inline>
        </w:drawing>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20"/>
        <w:gridCol w:w="1038"/>
        <w:gridCol w:w="1095"/>
        <w:gridCol w:w="834"/>
        <w:gridCol w:w="1099"/>
        <w:gridCol w:w="833"/>
        <w:gridCol w:w="1097"/>
        <w:gridCol w:w="833"/>
        <w:gridCol w:w="1099"/>
        <w:gridCol w:w="827"/>
      </w:tblGrid>
      <w:tr>
        <w:trPr>
          <w:trHeight w:val="20" w:hRule="atLeast"/>
        </w:trPr>
        <w:tc>
          <w:tcPr>
            <w:tcW w:w="884" w:type="pct"/>
            <w:gridSpan w:val="2"/>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メタボ予備群</w:t>
            </w:r>
          </w:p>
          <w:p>
            <w:pPr>
              <w:pStyle w:val="0"/>
              <w:jc w:val="center"/>
              <w:rPr>
                <w:rFonts w:hint="default"/>
                <w:b w:val="1"/>
              </w:rPr>
            </w:pPr>
            <w:r>
              <w:rPr>
                <w:rFonts w:hint="eastAsia"/>
                <w:b w:val="1"/>
              </w:rPr>
              <w:t>該当者</w:t>
            </w:r>
          </w:p>
        </w:tc>
        <w:tc>
          <w:tcPr>
            <w:tcW w:w="1029"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w:t>
            </w:r>
            <w:r>
              <w:rPr>
                <w:rFonts w:hint="default"/>
                <w:b w:val="1"/>
              </w:rPr>
              <w:t>年度</w:t>
            </w:r>
          </w:p>
        </w:tc>
        <w:tc>
          <w:tcPr>
            <w:tcW w:w="1030"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2</w:t>
            </w:r>
            <w:r>
              <w:rPr>
                <w:rFonts w:hint="default"/>
                <w:b w:val="1"/>
              </w:rPr>
              <w:t>年度</w:t>
            </w:r>
          </w:p>
        </w:tc>
        <w:tc>
          <w:tcPr>
            <w:tcW w:w="1029"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3</w:t>
            </w:r>
            <w:r>
              <w:rPr>
                <w:rFonts w:hint="default"/>
                <w:b w:val="1"/>
              </w:rPr>
              <w:t>年度</w:t>
            </w:r>
          </w:p>
        </w:tc>
        <w:tc>
          <w:tcPr>
            <w:tcW w:w="1027"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4</w:t>
            </w:r>
            <w:r>
              <w:rPr>
                <w:rFonts w:hint="default"/>
                <w:b w:val="1"/>
              </w:rPr>
              <w:t>年度</w:t>
            </w:r>
          </w:p>
        </w:tc>
      </w:tr>
      <w:tr>
        <w:trPr>
          <w:trHeight w:val="20" w:hRule="atLeast"/>
        </w:trPr>
        <w:tc>
          <w:tcPr>
            <w:tcW w:w="884" w:type="pct"/>
            <w:gridSpan w:val="2"/>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p>
        </w:tc>
        <w:tc>
          <w:tcPr>
            <w:tcW w:w="58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該当者</w:t>
            </w:r>
            <w:r>
              <w:rPr>
                <w:rFonts w:hint="eastAsia"/>
                <w:b w:val="1"/>
                <w:sz w:val="14"/>
              </w:rPr>
              <w:t>数</w:t>
            </w:r>
            <w:r>
              <w:rPr>
                <w:rFonts w:hint="default"/>
                <w:b w:val="1"/>
                <w:sz w:val="14"/>
              </w:rPr>
              <w:t>（人）</w:t>
            </w:r>
          </w:p>
        </w:tc>
        <w:tc>
          <w:tcPr>
            <w:tcW w:w="445"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586"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該当者</w:t>
            </w:r>
            <w:r>
              <w:rPr>
                <w:rFonts w:hint="eastAsia"/>
                <w:b w:val="1"/>
                <w:sz w:val="14"/>
              </w:rPr>
              <w:t>数</w:t>
            </w:r>
            <w:r>
              <w:rPr>
                <w:rFonts w:hint="default"/>
                <w:b w:val="1"/>
                <w:sz w:val="14"/>
              </w:rPr>
              <w:t>（人）</w:t>
            </w:r>
          </w:p>
        </w:tc>
        <w:tc>
          <w:tcPr>
            <w:tcW w:w="44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585"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該当者</w:t>
            </w:r>
            <w:r>
              <w:rPr>
                <w:rFonts w:hint="eastAsia"/>
                <w:b w:val="1"/>
                <w:sz w:val="14"/>
              </w:rPr>
              <w:t>数</w:t>
            </w:r>
            <w:r>
              <w:rPr>
                <w:rFonts w:hint="default"/>
                <w:b w:val="1"/>
                <w:sz w:val="14"/>
              </w:rPr>
              <w:t>（人）</w:t>
            </w:r>
          </w:p>
        </w:tc>
        <w:tc>
          <w:tcPr>
            <w:tcW w:w="444"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c>
          <w:tcPr>
            <w:tcW w:w="586"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該当者</w:t>
            </w:r>
            <w:r>
              <w:rPr>
                <w:rFonts w:hint="eastAsia"/>
                <w:b w:val="1"/>
                <w:sz w:val="14"/>
              </w:rPr>
              <w:t>数</w:t>
            </w:r>
            <w:r>
              <w:rPr>
                <w:rFonts w:hint="default"/>
                <w:b w:val="1"/>
                <w:sz w:val="14"/>
              </w:rPr>
              <w:t>（人）</w:t>
            </w:r>
          </w:p>
        </w:tc>
        <w:tc>
          <w:tcPr>
            <w:tcW w:w="441" w:type="pct"/>
            <w:shd w:val="clear" w:color="auto" w:fill="CCD6FF"/>
            <w:tcMar>
              <w:top w:w="28" w:type="dxa"/>
              <w:left w:w="28" w:type="dxa"/>
              <w:bottom w:w="28" w:type="dxa"/>
              <w:right w:w="28" w:type="dxa"/>
            </w:tcMar>
            <w:vAlign w:val="center"/>
          </w:tcPr>
          <w:p>
            <w:pPr>
              <w:pStyle w:val="0"/>
              <w:jc w:val="center"/>
              <w:rPr>
                <w:rFonts w:hint="default"/>
                <w:b w:val="1"/>
                <w:sz w:val="14"/>
              </w:rPr>
            </w:pPr>
            <w:r>
              <w:rPr>
                <w:rFonts w:hint="default"/>
                <w:b w:val="1"/>
                <w:sz w:val="14"/>
              </w:rPr>
              <w:t>割合</w:t>
            </w:r>
          </w:p>
        </w:tc>
      </w:tr>
      <w:tr>
        <w:trPr>
          <w:trHeight w:val="20" w:hRule="atLeast"/>
        </w:trPr>
        <w:tc>
          <w:tcPr>
            <w:tcW w:w="884" w:type="pct"/>
            <w:gridSpan w:val="2"/>
            <w:tcBorders>
              <w:top w:val="none" w:color="auto" w:sz="0" w:space="0"/>
              <w:left w:val="none" w:color="auto" w:sz="0" w:space="0"/>
              <w:bottom w:val="single" w:color="FFFFFF" w:themeColor="background1"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八街市</w:t>
            </w:r>
          </w:p>
        </w:tc>
        <w:tc>
          <w:tcPr>
            <w:tcW w:w="584" w:type="pct"/>
            <w:shd w:val="clear" w:color="auto" w:fill="auto"/>
            <w:tcMar>
              <w:top w:w="28" w:type="dxa"/>
              <w:left w:w="28" w:type="dxa"/>
              <w:bottom w:w="28" w:type="dxa"/>
              <w:right w:w="28" w:type="dxa"/>
            </w:tcMar>
            <w:vAlign w:val="center"/>
          </w:tcPr>
          <w:p>
            <w:pPr>
              <w:pStyle w:val="0"/>
              <w:jc w:val="right"/>
              <w:rPr>
                <w:rFonts w:hint="default"/>
              </w:rPr>
            </w:pPr>
            <w:r>
              <w:rPr>
                <w:rFonts w:hint="default"/>
              </w:rPr>
              <w:t>633</w:t>
            </w:r>
          </w:p>
        </w:tc>
        <w:tc>
          <w:tcPr>
            <w:tcW w:w="445" w:type="pct"/>
            <w:shd w:val="clear" w:color="auto" w:fill="auto"/>
            <w:tcMar>
              <w:top w:w="28" w:type="dxa"/>
              <w:left w:w="28" w:type="dxa"/>
              <w:bottom w:w="28" w:type="dxa"/>
              <w:right w:w="28" w:type="dxa"/>
            </w:tcMar>
            <w:vAlign w:val="center"/>
          </w:tcPr>
          <w:p>
            <w:pPr>
              <w:pStyle w:val="0"/>
              <w:jc w:val="right"/>
              <w:rPr>
                <w:rFonts w:hint="default"/>
              </w:rPr>
            </w:pPr>
            <w:r>
              <w:rPr>
                <w:rFonts w:hint="default"/>
              </w:rPr>
              <w:t>12.9%</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default"/>
              </w:rPr>
              <w:t>379</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585" w:type="pct"/>
            <w:shd w:val="clear" w:color="auto" w:fill="auto"/>
            <w:tcMar>
              <w:top w:w="28" w:type="dxa"/>
              <w:left w:w="28" w:type="dxa"/>
              <w:bottom w:w="28" w:type="dxa"/>
              <w:right w:w="28" w:type="dxa"/>
            </w:tcMar>
            <w:vAlign w:val="center"/>
          </w:tcPr>
          <w:p>
            <w:pPr>
              <w:pStyle w:val="0"/>
              <w:jc w:val="right"/>
              <w:rPr>
                <w:rFonts w:hint="default"/>
              </w:rPr>
            </w:pPr>
            <w:r>
              <w:rPr>
                <w:rFonts w:hint="default"/>
              </w:rPr>
              <w:t>546</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14.4%</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eastAsia"/>
              </w:rPr>
              <w:t>452</w:t>
            </w:r>
          </w:p>
        </w:tc>
        <w:tc>
          <w:tcPr>
            <w:tcW w:w="441" w:type="pct"/>
            <w:shd w:val="clear" w:color="auto" w:fill="auto"/>
            <w:tcMar>
              <w:top w:w="28" w:type="dxa"/>
              <w:left w:w="28" w:type="dxa"/>
              <w:bottom w:w="28" w:type="dxa"/>
              <w:right w:w="28" w:type="dxa"/>
            </w:tcMar>
            <w:vAlign w:val="center"/>
          </w:tcPr>
          <w:p>
            <w:pPr>
              <w:pStyle w:val="0"/>
              <w:jc w:val="right"/>
              <w:rPr>
                <w:rFonts w:hint="default"/>
              </w:rPr>
            </w:pPr>
            <w:r>
              <w:rPr>
                <w:rFonts w:hint="default"/>
              </w:rPr>
              <w:t>12.5%</w:t>
            </w:r>
          </w:p>
        </w:tc>
      </w:tr>
      <w:tr>
        <w:trPr>
          <w:trHeight w:val="20" w:hRule="atLeast"/>
        </w:trPr>
        <w:tc>
          <w:tcPr>
            <w:tcW w:w="331" w:type="pct"/>
            <w:vMerge w:val="restart"/>
            <w:tcBorders>
              <w:top w:val="single" w:color="FFFFFF" w:themeColor="background1"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c>
          <w:tcPr>
            <w:tcW w:w="554"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男性</w:t>
            </w:r>
          </w:p>
        </w:tc>
        <w:tc>
          <w:tcPr>
            <w:tcW w:w="584" w:type="pct"/>
            <w:shd w:val="clear" w:color="auto" w:fill="auto"/>
            <w:tcMar>
              <w:top w:w="28" w:type="dxa"/>
              <w:left w:w="28" w:type="dxa"/>
              <w:bottom w:w="28" w:type="dxa"/>
              <w:right w:w="28" w:type="dxa"/>
            </w:tcMar>
            <w:vAlign w:val="center"/>
          </w:tcPr>
          <w:p>
            <w:pPr>
              <w:pStyle w:val="0"/>
              <w:jc w:val="right"/>
              <w:rPr>
                <w:rFonts w:hint="default"/>
              </w:rPr>
            </w:pPr>
            <w:r>
              <w:rPr>
                <w:rFonts w:hint="default"/>
              </w:rPr>
              <w:t>461</w:t>
            </w:r>
          </w:p>
        </w:tc>
        <w:tc>
          <w:tcPr>
            <w:tcW w:w="445" w:type="pct"/>
            <w:shd w:val="clear" w:color="auto" w:fill="auto"/>
            <w:tcMar>
              <w:top w:w="28" w:type="dxa"/>
              <w:left w:w="28" w:type="dxa"/>
              <w:bottom w:w="28" w:type="dxa"/>
              <w:right w:w="28" w:type="dxa"/>
            </w:tcMar>
            <w:vAlign w:val="center"/>
          </w:tcPr>
          <w:p>
            <w:pPr>
              <w:pStyle w:val="0"/>
              <w:jc w:val="right"/>
              <w:rPr>
                <w:rFonts w:hint="default"/>
              </w:rPr>
            </w:pPr>
            <w:r>
              <w:rPr>
                <w:rFonts w:hint="default"/>
              </w:rPr>
              <w:t>19.9%</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default"/>
              </w:rPr>
              <w:t>269</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20.3%</w:t>
            </w:r>
          </w:p>
        </w:tc>
        <w:tc>
          <w:tcPr>
            <w:tcW w:w="585" w:type="pct"/>
            <w:shd w:val="clear" w:color="auto" w:fill="auto"/>
            <w:tcMar>
              <w:top w:w="28" w:type="dxa"/>
              <w:left w:w="28" w:type="dxa"/>
              <w:bottom w:w="28" w:type="dxa"/>
              <w:right w:w="28" w:type="dxa"/>
            </w:tcMar>
            <w:vAlign w:val="center"/>
          </w:tcPr>
          <w:p>
            <w:pPr>
              <w:pStyle w:val="0"/>
              <w:jc w:val="right"/>
              <w:rPr>
                <w:rFonts w:hint="default"/>
              </w:rPr>
            </w:pPr>
            <w:r>
              <w:rPr>
                <w:rFonts w:hint="default"/>
              </w:rPr>
              <w:t>375</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21.5%</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eastAsia"/>
              </w:rPr>
              <w:t>322</w:t>
            </w:r>
          </w:p>
        </w:tc>
        <w:tc>
          <w:tcPr>
            <w:tcW w:w="441" w:type="pct"/>
            <w:shd w:val="clear" w:color="auto" w:fill="auto"/>
            <w:tcMar>
              <w:top w:w="28" w:type="dxa"/>
              <w:left w:w="28" w:type="dxa"/>
              <w:bottom w:w="28" w:type="dxa"/>
              <w:right w:w="28" w:type="dxa"/>
            </w:tcMar>
            <w:vAlign w:val="center"/>
          </w:tcPr>
          <w:p>
            <w:pPr>
              <w:pStyle w:val="0"/>
              <w:jc w:val="right"/>
              <w:rPr>
                <w:rFonts w:hint="default"/>
              </w:rPr>
            </w:pPr>
            <w:r>
              <w:rPr>
                <w:rFonts w:hint="default"/>
              </w:rPr>
              <w:t>19.2%</w:t>
            </w:r>
          </w:p>
        </w:tc>
      </w:tr>
      <w:tr>
        <w:trPr>
          <w:trHeight w:val="20" w:hRule="atLeast"/>
        </w:trPr>
        <w:tc>
          <w:tcPr>
            <w:tcW w:w="331" w:type="pct"/>
            <w:vMerge w:val="continue"/>
            <w:shd w:val="clear" w:color="auto" w:fill="auto"/>
            <w:tcMar>
              <w:top w:w="28" w:type="dxa"/>
              <w:left w:w="28" w:type="dxa"/>
              <w:bottom w:w="28" w:type="dxa"/>
              <w:right w:w="28" w:type="dxa"/>
            </w:tcMar>
            <w:vAlign w:val="center"/>
          </w:tcPr>
          <w:p>
            <w:pPr>
              <w:pStyle w:val="0"/>
              <w:rPr>
                <w:rFonts w:hint="default"/>
              </w:rPr>
            </w:pPr>
          </w:p>
        </w:tc>
        <w:tc>
          <w:tcPr>
            <w:tcW w:w="554" w:type="pct"/>
            <w:shd w:val="clear" w:color="auto" w:fill="auto"/>
            <w:tcMar>
              <w:top w:w="28" w:type="dxa"/>
              <w:left w:w="28" w:type="dxa"/>
              <w:bottom w:w="28" w:type="dxa"/>
              <w:right w:w="28" w:type="dxa"/>
            </w:tcMar>
            <w:vAlign w:val="center"/>
          </w:tcPr>
          <w:p>
            <w:pPr>
              <w:pStyle w:val="0"/>
              <w:rPr>
                <w:rFonts w:hint="default"/>
              </w:rPr>
            </w:pPr>
            <w:r>
              <w:rPr>
                <w:rFonts w:hint="default"/>
              </w:rPr>
              <w:t>女性</w:t>
            </w:r>
          </w:p>
        </w:tc>
        <w:tc>
          <w:tcPr>
            <w:tcW w:w="584" w:type="pct"/>
            <w:shd w:val="clear" w:color="auto" w:fill="auto"/>
            <w:tcMar>
              <w:top w:w="28" w:type="dxa"/>
              <w:left w:w="28" w:type="dxa"/>
              <w:bottom w:w="28" w:type="dxa"/>
              <w:right w:w="28" w:type="dxa"/>
            </w:tcMar>
            <w:vAlign w:val="center"/>
          </w:tcPr>
          <w:p>
            <w:pPr>
              <w:pStyle w:val="0"/>
              <w:jc w:val="right"/>
              <w:rPr>
                <w:rFonts w:hint="default"/>
              </w:rPr>
            </w:pPr>
            <w:r>
              <w:rPr>
                <w:rFonts w:hint="default"/>
              </w:rPr>
              <w:t>172</w:t>
            </w:r>
          </w:p>
        </w:tc>
        <w:tc>
          <w:tcPr>
            <w:tcW w:w="445" w:type="pct"/>
            <w:shd w:val="clear" w:color="auto" w:fill="auto"/>
            <w:tcMar>
              <w:top w:w="28" w:type="dxa"/>
              <w:left w:w="28" w:type="dxa"/>
              <w:bottom w:w="28" w:type="dxa"/>
              <w:right w:w="28" w:type="dxa"/>
            </w:tcMar>
            <w:vAlign w:val="center"/>
          </w:tcPr>
          <w:p>
            <w:pPr>
              <w:pStyle w:val="0"/>
              <w:jc w:val="right"/>
              <w:rPr>
                <w:rFonts w:hint="default"/>
              </w:rPr>
            </w:pPr>
            <w:r>
              <w:rPr>
                <w:rFonts w:hint="default"/>
              </w:rPr>
              <w:t>6.6%</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default"/>
              </w:rPr>
              <w:t>110</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8.3%</w:t>
            </w:r>
          </w:p>
        </w:tc>
        <w:tc>
          <w:tcPr>
            <w:tcW w:w="585" w:type="pct"/>
            <w:shd w:val="clear" w:color="auto" w:fill="auto"/>
            <w:tcMar>
              <w:top w:w="28" w:type="dxa"/>
              <w:left w:w="28" w:type="dxa"/>
              <w:bottom w:w="28" w:type="dxa"/>
              <w:right w:w="28" w:type="dxa"/>
            </w:tcMar>
            <w:vAlign w:val="center"/>
          </w:tcPr>
          <w:p>
            <w:pPr>
              <w:pStyle w:val="0"/>
              <w:jc w:val="right"/>
              <w:rPr>
                <w:rFonts w:hint="default"/>
              </w:rPr>
            </w:pPr>
            <w:r>
              <w:rPr>
                <w:rFonts w:hint="default"/>
              </w:rPr>
              <w:t>171</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8.4%</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eastAsia"/>
              </w:rPr>
              <w:t>130</w:t>
            </w:r>
          </w:p>
        </w:tc>
        <w:tc>
          <w:tcPr>
            <w:tcW w:w="441" w:type="pct"/>
            <w:shd w:val="clear" w:color="auto" w:fill="auto"/>
            <w:tcMar>
              <w:top w:w="28" w:type="dxa"/>
              <w:left w:w="28" w:type="dxa"/>
              <w:bottom w:w="28" w:type="dxa"/>
              <w:right w:w="28" w:type="dxa"/>
            </w:tcMar>
            <w:vAlign w:val="center"/>
          </w:tcPr>
          <w:p>
            <w:pPr>
              <w:pStyle w:val="0"/>
              <w:jc w:val="right"/>
              <w:rPr>
                <w:rFonts w:hint="default"/>
              </w:rPr>
            </w:pPr>
            <w:r>
              <w:rPr>
                <w:rFonts w:hint="default"/>
              </w:rPr>
              <w:t>6.7%</w:t>
            </w:r>
          </w:p>
        </w:tc>
      </w:tr>
      <w:tr>
        <w:trPr>
          <w:trHeight w:val="20" w:hRule="atLeast"/>
        </w:trPr>
        <w:tc>
          <w:tcPr>
            <w:tcW w:w="884" w:type="pct"/>
            <w:gridSpan w:val="2"/>
            <w:shd w:val="clear" w:color="auto" w:fill="auto"/>
            <w:tcMar>
              <w:top w:w="28" w:type="dxa"/>
              <w:left w:w="28" w:type="dxa"/>
              <w:bottom w:w="28" w:type="dxa"/>
              <w:right w:w="28" w:type="dxa"/>
            </w:tcMar>
            <w:vAlign w:val="center"/>
          </w:tcPr>
          <w:p>
            <w:pPr>
              <w:pStyle w:val="0"/>
              <w:rPr>
                <w:rFonts w:hint="default"/>
              </w:rPr>
            </w:pPr>
            <w:r>
              <w:rPr>
                <w:rFonts w:hint="default"/>
              </w:rPr>
              <w:t>国</w:t>
            </w:r>
          </w:p>
        </w:tc>
        <w:tc>
          <w:tcPr>
            <w:tcW w:w="584"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5"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11.3%</w:t>
            </w:r>
          </w:p>
        </w:tc>
        <w:tc>
          <w:tcPr>
            <w:tcW w:w="58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11.2%</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441"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r>
      <w:tr>
        <w:trPr>
          <w:trHeight w:val="20" w:hRule="atLeast"/>
        </w:trPr>
        <w:tc>
          <w:tcPr>
            <w:tcW w:w="884" w:type="pct"/>
            <w:gridSpan w:val="2"/>
            <w:shd w:val="clear" w:color="auto" w:fill="auto"/>
            <w:tcMar>
              <w:top w:w="28" w:type="dxa"/>
              <w:left w:w="28" w:type="dxa"/>
              <w:bottom w:w="28" w:type="dxa"/>
              <w:right w:w="28" w:type="dxa"/>
            </w:tcMar>
            <w:vAlign w:val="center"/>
          </w:tcPr>
          <w:p>
            <w:pPr>
              <w:pStyle w:val="0"/>
              <w:rPr>
                <w:rFonts w:hint="default"/>
              </w:rPr>
            </w:pPr>
            <w:r>
              <w:rPr>
                <w:rFonts w:hint="default"/>
              </w:rPr>
              <w:t>県</w:t>
            </w:r>
          </w:p>
        </w:tc>
        <w:tc>
          <w:tcPr>
            <w:tcW w:w="584"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5" w:type="pct"/>
            <w:shd w:val="clear" w:color="auto" w:fill="auto"/>
            <w:tcMar>
              <w:top w:w="28" w:type="dxa"/>
              <w:left w:w="28" w:type="dxa"/>
              <w:bottom w:w="28" w:type="dxa"/>
              <w:right w:w="28" w:type="dxa"/>
            </w:tcMar>
            <w:vAlign w:val="center"/>
          </w:tcPr>
          <w:p>
            <w:pPr>
              <w:pStyle w:val="0"/>
              <w:jc w:val="right"/>
              <w:rPr>
                <w:rFonts w:hint="default"/>
              </w:rPr>
            </w:pPr>
            <w:r>
              <w:rPr>
                <w:rFonts w:hint="default"/>
              </w:rPr>
              <w:t>11.3%</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11.5%</w:t>
            </w:r>
          </w:p>
        </w:tc>
        <w:tc>
          <w:tcPr>
            <w:tcW w:w="58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11.7%</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441" w:type="pct"/>
            <w:shd w:val="clear" w:color="auto" w:fill="auto"/>
            <w:tcMar>
              <w:top w:w="28" w:type="dxa"/>
              <w:left w:w="28" w:type="dxa"/>
              <w:bottom w:w="28" w:type="dxa"/>
              <w:right w:w="28" w:type="dxa"/>
            </w:tcMar>
            <w:vAlign w:val="center"/>
          </w:tcPr>
          <w:p>
            <w:pPr>
              <w:pStyle w:val="0"/>
              <w:jc w:val="right"/>
              <w:rPr>
                <w:rFonts w:hint="default"/>
              </w:rPr>
            </w:pPr>
            <w:r>
              <w:rPr>
                <w:rFonts w:hint="default"/>
              </w:rPr>
              <w:t>11.3%</w:t>
            </w:r>
          </w:p>
        </w:tc>
      </w:tr>
      <w:tr>
        <w:trPr>
          <w:trHeight w:val="20" w:hRule="atLeast"/>
        </w:trPr>
        <w:tc>
          <w:tcPr>
            <w:tcW w:w="884" w:type="pct"/>
            <w:gridSpan w:val="2"/>
            <w:shd w:val="clear" w:color="auto" w:fill="auto"/>
            <w:tcMar>
              <w:top w:w="28" w:type="dxa"/>
              <w:left w:w="28" w:type="dxa"/>
              <w:bottom w:w="28" w:type="dxa"/>
              <w:right w:w="28" w:type="dxa"/>
            </w:tcMar>
            <w:vAlign w:val="center"/>
          </w:tcPr>
          <w:p>
            <w:pPr>
              <w:pStyle w:val="0"/>
              <w:rPr>
                <w:rFonts w:hint="default"/>
              </w:rPr>
            </w:pPr>
            <w:r>
              <w:rPr>
                <w:rFonts w:hint="default"/>
              </w:rPr>
              <w:t>同規模</w:t>
            </w:r>
          </w:p>
        </w:tc>
        <w:tc>
          <w:tcPr>
            <w:tcW w:w="584"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5" w:type="pct"/>
            <w:shd w:val="clear" w:color="auto" w:fill="auto"/>
            <w:tcMar>
              <w:top w:w="28" w:type="dxa"/>
              <w:left w:w="28" w:type="dxa"/>
              <w:bottom w:w="28" w:type="dxa"/>
              <w:right w:w="28" w:type="dxa"/>
            </w:tcMar>
            <w:vAlign w:val="center"/>
          </w:tcPr>
          <w:p>
            <w:pPr>
              <w:pStyle w:val="0"/>
              <w:jc w:val="right"/>
              <w:rPr>
                <w:rFonts w:hint="default"/>
              </w:rPr>
            </w:pPr>
            <w:r>
              <w:rPr>
                <w:rFonts w:hint="default"/>
              </w:rPr>
              <w:t>11.1%</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11.3%</w:t>
            </w:r>
          </w:p>
        </w:tc>
        <w:tc>
          <w:tcPr>
            <w:tcW w:w="585" w:type="pct"/>
            <w:shd w:val="clear" w:color="auto" w:fill="auto"/>
            <w:tcMar>
              <w:top w:w="28" w:type="dxa"/>
              <w:left w:w="28" w:type="dxa"/>
              <w:bottom w:w="28" w:type="dxa"/>
              <w:right w:w="28" w:type="dxa"/>
            </w:tcMar>
            <w:vAlign w:val="center"/>
          </w:tcPr>
          <w:p>
            <w:pPr>
              <w:pStyle w:val="0"/>
              <w:jc w:val="right"/>
              <w:rPr>
                <w:rFonts w:hint="default"/>
              </w:rPr>
            </w:pPr>
            <w:r>
              <w:rPr>
                <w:rFonts w:hint="default"/>
              </w:rPr>
              <w:t>-</w:t>
            </w:r>
          </w:p>
        </w:tc>
        <w:tc>
          <w:tcPr>
            <w:tcW w:w="444" w:type="pct"/>
            <w:shd w:val="clear" w:color="auto" w:fill="auto"/>
            <w:tcMar>
              <w:top w:w="28" w:type="dxa"/>
              <w:left w:w="28" w:type="dxa"/>
              <w:bottom w:w="28" w:type="dxa"/>
              <w:right w:w="28" w:type="dxa"/>
            </w:tcMar>
            <w:vAlign w:val="center"/>
          </w:tcPr>
          <w:p>
            <w:pPr>
              <w:pStyle w:val="0"/>
              <w:jc w:val="right"/>
              <w:rPr>
                <w:rFonts w:hint="default"/>
              </w:rPr>
            </w:pPr>
            <w:r>
              <w:rPr>
                <w:rFonts w:hint="default"/>
              </w:rPr>
              <w:t>11.3%</w:t>
            </w:r>
          </w:p>
        </w:tc>
        <w:tc>
          <w:tcPr>
            <w:tcW w:w="586" w:type="pct"/>
            <w:shd w:val="clear" w:color="auto" w:fill="auto"/>
            <w:tcMar>
              <w:top w:w="28" w:type="dxa"/>
              <w:left w:w="28" w:type="dxa"/>
              <w:bottom w:w="28" w:type="dxa"/>
              <w:right w:w="28" w:type="dxa"/>
            </w:tcMar>
            <w:vAlign w:val="center"/>
          </w:tcPr>
          <w:p>
            <w:pPr>
              <w:pStyle w:val="0"/>
              <w:jc w:val="right"/>
              <w:rPr>
                <w:rFonts w:hint="default"/>
              </w:rPr>
            </w:pPr>
            <w:r>
              <w:rPr>
                <w:rFonts w:hint="eastAsia"/>
              </w:rPr>
              <w:t>-</w:t>
            </w:r>
          </w:p>
        </w:tc>
        <w:tc>
          <w:tcPr>
            <w:tcW w:w="441" w:type="pct"/>
            <w:shd w:val="clear" w:color="auto" w:fill="auto"/>
            <w:tcMar>
              <w:top w:w="28" w:type="dxa"/>
              <w:left w:w="28" w:type="dxa"/>
              <w:bottom w:w="28" w:type="dxa"/>
              <w:right w:w="28" w:type="dxa"/>
            </w:tcMar>
            <w:vAlign w:val="center"/>
          </w:tcPr>
          <w:p>
            <w:pPr>
              <w:pStyle w:val="0"/>
              <w:jc w:val="right"/>
              <w:rPr>
                <w:rFonts w:hint="default"/>
              </w:rPr>
            </w:pPr>
            <w:r>
              <w:rPr>
                <w:rFonts w:hint="default"/>
              </w:rPr>
              <w:t>11.0%</w:t>
            </w:r>
          </w:p>
        </w:tc>
      </w:tr>
    </w:tbl>
    <w:p>
      <w:pPr>
        <w:pStyle w:val="44"/>
        <w:rPr>
          <w:rFonts w:hint="default"/>
        </w:rPr>
      </w:pPr>
      <w:r>
        <w:rPr>
          <w:rFonts w:hint="default"/>
        </w:rPr>
        <w:t>【出典】</w:t>
      </w:r>
      <w:r>
        <w:rPr>
          <w:rFonts w:hint="default"/>
        </w:rPr>
        <w:t>KDB</w:t>
      </w:r>
      <w:r>
        <w:rPr>
          <w:rFonts w:hint="default"/>
        </w:rPr>
        <w:t>帳票</w:t>
      </w:r>
      <w:r>
        <w:rPr>
          <w:rFonts w:hint="default"/>
        </w:rPr>
        <w:t xml:space="preserve"> S21_001-</w:t>
      </w:r>
      <w:r>
        <w:rPr>
          <w:rFonts w:hint="default"/>
        </w:rPr>
        <w:t>地域の全体像の把握</w:t>
      </w:r>
      <w:r>
        <w:rPr>
          <w:rFonts w:hint="default"/>
        </w:rPr>
        <w:t xml:space="preserve"> </w:t>
      </w:r>
      <w:r>
        <w:rPr>
          <w:rFonts w:hint="eastAsia"/>
        </w:rPr>
        <w:t>令和</w:t>
      </w:r>
      <w:r>
        <w:rPr>
          <w:rFonts w:hint="eastAsia"/>
        </w:rPr>
        <w:t>1</w:t>
      </w:r>
      <w:r>
        <w:rPr>
          <w:rFonts w:hint="default"/>
        </w:rPr>
        <w:t>年度から令和</w:t>
      </w:r>
      <w:r>
        <w:rPr>
          <w:rFonts w:hint="default"/>
        </w:rPr>
        <w:t>4</w:t>
      </w:r>
      <w:r>
        <w:rPr>
          <w:rFonts w:hint="default"/>
        </w:rPr>
        <w:t>年度</w:t>
      </w:r>
      <w:r>
        <w:rPr>
          <w:rFonts w:hint="default"/>
        </w:rPr>
        <w:t xml:space="preserve"> </w:t>
      </w:r>
      <w:r>
        <w:rPr>
          <w:rFonts w:hint="default"/>
        </w:rPr>
        <w:t>累計</w:t>
      </w:r>
    </w:p>
    <w:p>
      <w:pPr>
        <w:pStyle w:val="0"/>
        <w:ind w:right="400"/>
        <w:rPr>
          <w:rFonts w:hint="default"/>
        </w:rPr>
      </w:pPr>
    </w:p>
    <w:p>
      <w:pPr>
        <w:pStyle w:val="38"/>
        <w:rPr>
          <w:rFonts w:hint="default"/>
        </w:rPr>
      </w:pPr>
      <w:r>
        <w:rPr>
          <w:rFonts w:hint="default"/>
        </w:rPr>
        <w:t>参考：メタボリックシンドローム判定値の定義</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567"/>
        <w:gridCol w:w="1568"/>
        <w:gridCol w:w="6240"/>
      </w:tblGrid>
      <w:tr>
        <w:trPr>
          <w:trHeight w:val="228" w:hRule="atLeast"/>
        </w:trPr>
        <w:tc>
          <w:tcPr>
            <w:tcW w:w="836"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widowControl w:val="0"/>
              <w:spacing w:line="240" w:lineRule="auto"/>
              <w:rPr>
                <w:rFonts w:hint="default"/>
                <w:b w:val="1"/>
                <w:sz w:val="14"/>
              </w:rPr>
            </w:pPr>
            <w:r>
              <w:rPr>
                <w:rFonts w:hint="eastAsia"/>
                <w:b w:val="1"/>
                <w:sz w:val="14"/>
              </w:rPr>
              <w:t>メタボ</w:t>
            </w:r>
            <w:r>
              <w:rPr>
                <w:rFonts w:hint="default"/>
                <w:b w:val="1"/>
                <w:sz w:val="14"/>
              </w:rPr>
              <w:t>該当者</w:t>
            </w:r>
          </w:p>
        </w:tc>
        <w:tc>
          <w:tcPr>
            <w:tcW w:w="836" w:type="pct"/>
            <w:vMerge w:val="restart"/>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腹囲</w:t>
            </w:r>
            <w:r>
              <w:rPr>
                <w:rFonts w:hint="default"/>
                <w:sz w:val="14"/>
              </w:rPr>
              <w:t xml:space="preserve"> </w:t>
            </w:r>
          </w:p>
          <w:p>
            <w:pPr>
              <w:pStyle w:val="0"/>
              <w:widowControl w:val="0"/>
              <w:spacing w:line="240" w:lineRule="auto"/>
              <w:rPr>
                <w:rFonts w:hint="default"/>
                <w:sz w:val="14"/>
              </w:rPr>
            </w:pPr>
            <w:r>
              <w:rPr>
                <w:rFonts w:hint="default"/>
                <w:sz w:val="14"/>
              </w:rPr>
              <w:t>85</w:t>
            </w:r>
            <w:r>
              <w:rPr>
                <w:rFonts w:hint="default"/>
                <w:sz w:val="14"/>
              </w:rPr>
              <w:t>㎝（男性）</w:t>
            </w:r>
          </w:p>
          <w:p>
            <w:pPr>
              <w:pStyle w:val="0"/>
              <w:widowControl w:val="0"/>
              <w:spacing w:line="240" w:lineRule="auto"/>
              <w:rPr>
                <w:rFonts w:hint="default"/>
                <w:sz w:val="14"/>
              </w:rPr>
            </w:pPr>
            <w:r>
              <w:rPr>
                <w:rFonts w:hint="default"/>
                <w:sz w:val="14"/>
              </w:rPr>
              <w:t>90</w:t>
            </w:r>
            <w:r>
              <w:rPr>
                <w:rFonts w:hint="default"/>
                <w:sz w:val="14"/>
              </w:rPr>
              <w:t>㎝（女性）以上</w:t>
            </w:r>
          </w:p>
        </w:tc>
        <w:tc>
          <w:tcPr>
            <w:tcW w:w="3328" w:type="pct"/>
            <w:tcBorders>
              <w:top w:val="none" w:color="auto" w:sz="0" w:space="0"/>
              <w:left w:val="none" w:color="auto" w:sz="0" w:space="0"/>
              <w:bottom w:val="sing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以下の追加リスク</w:t>
            </w:r>
            <w:r>
              <w:rPr>
                <w:rFonts w:hint="eastAsia"/>
                <w:sz w:val="14"/>
              </w:rPr>
              <w:t>のうち</w:t>
            </w:r>
            <w:r>
              <w:rPr>
                <w:rFonts w:hint="default"/>
                <w:sz w:val="14"/>
              </w:rPr>
              <w:t>2</w:t>
            </w:r>
            <w:r>
              <w:rPr>
                <w:rFonts w:hint="eastAsia"/>
                <w:sz w:val="14"/>
              </w:rPr>
              <w:t>つ</w:t>
            </w:r>
            <w:r>
              <w:rPr>
                <w:rFonts w:hint="default"/>
                <w:sz w:val="14"/>
              </w:rPr>
              <w:t>以上該当</w:t>
            </w:r>
          </w:p>
        </w:tc>
      </w:tr>
      <w:tr>
        <w:trPr>
          <w:trHeight w:val="228" w:hRule="atLeast"/>
        </w:trPr>
        <w:tc>
          <w:tcPr>
            <w:tcW w:w="836" w:type="pct"/>
            <w:tcBorders>
              <w:top w:val="none" w:color="auto" w:sz="0" w:space="0"/>
              <w:left w:val="none" w:color="auto" w:sz="0" w:space="0"/>
              <w:bottom w:val="double" w:color="auto" w:sz="4"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widowControl w:val="0"/>
              <w:spacing w:line="240" w:lineRule="auto"/>
              <w:rPr>
                <w:rFonts w:hint="default"/>
                <w:b w:val="1"/>
                <w:sz w:val="14"/>
              </w:rPr>
            </w:pPr>
            <w:r>
              <w:rPr>
                <w:rFonts w:hint="eastAsia"/>
                <w:b w:val="1"/>
                <w:sz w:val="14"/>
              </w:rPr>
              <w:t>メタボ</w:t>
            </w:r>
            <w:r>
              <w:rPr>
                <w:rFonts w:hint="default"/>
                <w:b w:val="1"/>
                <w:sz w:val="14"/>
              </w:rPr>
              <w:t>予備群</w:t>
            </w:r>
            <w:r>
              <w:rPr>
                <w:rFonts w:hint="eastAsia"/>
                <w:b w:val="1"/>
                <w:sz w:val="14"/>
              </w:rPr>
              <w:t>該当者</w:t>
            </w:r>
          </w:p>
        </w:tc>
        <w:tc>
          <w:tcPr>
            <w:tcW w:w="836"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rPr>
                <w:rFonts w:hint="default"/>
                <w:sz w:val="14"/>
              </w:rPr>
            </w:pPr>
          </w:p>
        </w:tc>
        <w:tc>
          <w:tcPr>
            <w:tcW w:w="3328" w:type="pct"/>
            <w:tcBorders>
              <w:top w:val="none" w:color="auto" w:sz="0" w:space="0"/>
              <w:left w:val="none" w:color="auto" w:sz="0" w:space="0"/>
              <w:bottom w:val="double" w:color="auto" w:sz="4"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以下の追加リスク</w:t>
            </w:r>
            <w:r>
              <w:rPr>
                <w:rFonts w:hint="eastAsia"/>
                <w:sz w:val="14"/>
              </w:rPr>
              <w:t>のうち</w:t>
            </w:r>
            <w:r>
              <w:rPr>
                <w:rFonts w:hint="default"/>
                <w:sz w:val="14"/>
              </w:rPr>
              <w:t>1</w:t>
            </w:r>
            <w:r>
              <w:rPr>
                <w:rFonts w:hint="eastAsia"/>
                <w:sz w:val="14"/>
              </w:rPr>
              <w:t>つ</w:t>
            </w:r>
            <w:r>
              <w:rPr>
                <w:rFonts w:hint="default"/>
                <w:sz w:val="14"/>
              </w:rPr>
              <w:t>該当</w:t>
            </w:r>
          </w:p>
        </w:tc>
      </w:tr>
      <w:tr>
        <w:trPr>
          <w:trHeight w:val="20" w:hRule="atLeast"/>
        </w:trPr>
        <w:tc>
          <w:tcPr>
            <w:tcW w:w="836"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shd w:val="clear" w:color="auto" w:fill="EFEFEF"/>
            <w:tcMar>
              <w:top w:w="28" w:type="dxa"/>
              <w:left w:w="28" w:type="dxa"/>
              <w:bottom w:w="28" w:type="dxa"/>
              <w:right w:w="28" w:type="dxa"/>
            </w:tcMar>
            <w:vAlign w:val="center"/>
          </w:tcPr>
          <w:p>
            <w:pPr>
              <w:pStyle w:val="0"/>
              <w:widowControl w:val="0"/>
              <w:spacing w:line="240" w:lineRule="auto"/>
              <w:rPr>
                <w:rFonts w:hint="default"/>
                <w:b w:val="1"/>
                <w:sz w:val="14"/>
              </w:rPr>
            </w:pPr>
            <w:r>
              <w:rPr>
                <w:rFonts w:hint="default"/>
                <w:b w:val="1"/>
                <w:sz w:val="14"/>
              </w:rPr>
              <w:t>追加リスク</w:t>
            </w:r>
          </w:p>
        </w:tc>
        <w:tc>
          <w:tcPr>
            <w:tcW w:w="836" w:type="pct"/>
            <w:tcBorders>
              <w:top w:val="double" w:color="auto"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血糖</w:t>
            </w:r>
          </w:p>
        </w:tc>
        <w:tc>
          <w:tcPr>
            <w:tcW w:w="3328" w:type="pct"/>
            <w:tcBorders>
              <w:top w:val="double" w:color="auto" w:sz="4" w:space="0"/>
              <w:left w:val="none" w:color="auto" w:sz="0" w:space="0"/>
              <w:bottom w:val="none" w:color="auto" w:sz="0" w:space="0"/>
              <w:right w:val="none" w:color="auto" w:sz="0" w:space="0"/>
              <w:tl2br w:val="none" w:color="auto" w:sz="0" w:space="0"/>
              <w:tr2bl w:val="none" w:color="auto" w:sz="0" w:space="0"/>
            </w:tcBorders>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空腹時血糖</w:t>
            </w:r>
            <w:r>
              <w:rPr>
                <w:rFonts w:hint="default"/>
                <w:sz w:val="14"/>
              </w:rPr>
              <w:t>110mg/dL</w:t>
            </w:r>
            <w:r>
              <w:rPr>
                <w:rFonts w:hint="default"/>
                <w:sz w:val="14"/>
              </w:rPr>
              <w:t>以上</w:t>
            </w:r>
            <w:r>
              <w:rPr>
                <w:rFonts w:hint="eastAsia"/>
                <w:sz w:val="14"/>
              </w:rPr>
              <w:t>（空腹時血糖の結果値が存在しない場合、</w:t>
            </w:r>
            <w:r>
              <w:rPr>
                <w:rFonts w:hint="default"/>
                <w:sz w:val="14"/>
              </w:rPr>
              <w:t>HbA1c 6.0%</w:t>
            </w:r>
            <w:r>
              <w:rPr>
                <w:rFonts w:hint="default"/>
                <w:sz w:val="14"/>
              </w:rPr>
              <w:t>以上）</w:t>
            </w:r>
          </w:p>
        </w:tc>
      </w:tr>
      <w:tr>
        <w:trPr>
          <w:trHeight w:val="20" w:hRule="atLeast"/>
        </w:trPr>
        <w:tc>
          <w:tcPr>
            <w:tcW w:w="836" w:type="pct"/>
            <w:vMerge w:val="continue"/>
            <w:shd w:val="clear" w:color="auto" w:fill="EFEFEF"/>
            <w:tcMar>
              <w:top w:w="28" w:type="dxa"/>
              <w:left w:w="28" w:type="dxa"/>
              <w:bottom w:w="28" w:type="dxa"/>
              <w:right w:w="28" w:type="dxa"/>
            </w:tcMar>
            <w:vAlign w:val="center"/>
          </w:tcPr>
          <w:p>
            <w:pPr>
              <w:pStyle w:val="0"/>
              <w:widowControl w:val="0"/>
              <w:spacing w:line="240" w:lineRule="auto"/>
              <w:rPr>
                <w:rFonts w:hint="default"/>
                <w:sz w:val="14"/>
              </w:rPr>
            </w:pPr>
          </w:p>
        </w:tc>
        <w:tc>
          <w:tcPr>
            <w:tcW w:w="836" w:type="pct"/>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血圧</w:t>
            </w:r>
          </w:p>
        </w:tc>
        <w:tc>
          <w:tcPr>
            <w:tcW w:w="3328" w:type="pct"/>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収縮期血圧</w:t>
            </w:r>
            <w:r>
              <w:rPr>
                <w:rFonts w:hint="default"/>
                <w:sz w:val="14"/>
              </w:rPr>
              <w:t>130mmHg</w:t>
            </w:r>
            <w:r>
              <w:rPr>
                <w:rFonts w:hint="default"/>
                <w:sz w:val="14"/>
              </w:rPr>
              <w:t>以上</w:t>
            </w:r>
            <w:r>
              <w:rPr>
                <w:rFonts w:hint="eastAsia"/>
                <w:sz w:val="14"/>
              </w:rPr>
              <w:t>、</w:t>
            </w:r>
            <w:r>
              <w:rPr>
                <w:rFonts w:hint="default"/>
                <w:sz w:val="14"/>
              </w:rPr>
              <w:t>または拡張期血圧</w:t>
            </w:r>
            <w:r>
              <w:rPr>
                <w:rFonts w:hint="default"/>
                <w:sz w:val="14"/>
              </w:rPr>
              <w:t>85mmHg</w:t>
            </w:r>
            <w:r>
              <w:rPr>
                <w:rFonts w:hint="default"/>
                <w:sz w:val="14"/>
              </w:rPr>
              <w:t>以上</w:t>
            </w:r>
          </w:p>
        </w:tc>
      </w:tr>
      <w:tr>
        <w:trPr>
          <w:trHeight w:val="20" w:hRule="atLeast"/>
        </w:trPr>
        <w:tc>
          <w:tcPr>
            <w:tcW w:w="836" w:type="pct"/>
            <w:vMerge w:val="continue"/>
            <w:shd w:val="clear" w:color="auto" w:fill="EFEFEF"/>
            <w:tcMar>
              <w:top w:w="28" w:type="dxa"/>
              <w:left w:w="28" w:type="dxa"/>
              <w:bottom w:w="28" w:type="dxa"/>
              <w:right w:w="28" w:type="dxa"/>
            </w:tcMar>
            <w:vAlign w:val="center"/>
          </w:tcPr>
          <w:p>
            <w:pPr>
              <w:pStyle w:val="0"/>
              <w:widowControl w:val="0"/>
              <w:spacing w:line="240" w:lineRule="auto"/>
              <w:rPr>
                <w:rFonts w:hint="default"/>
                <w:sz w:val="14"/>
              </w:rPr>
            </w:pPr>
          </w:p>
        </w:tc>
        <w:tc>
          <w:tcPr>
            <w:tcW w:w="836" w:type="pct"/>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脂質</w:t>
            </w:r>
          </w:p>
        </w:tc>
        <w:tc>
          <w:tcPr>
            <w:tcW w:w="3328" w:type="pct"/>
            <w:tcMar>
              <w:top w:w="28" w:type="dxa"/>
              <w:left w:w="28" w:type="dxa"/>
              <w:bottom w:w="28" w:type="dxa"/>
              <w:right w:w="28" w:type="dxa"/>
            </w:tcMar>
            <w:vAlign w:val="center"/>
          </w:tcPr>
          <w:p>
            <w:pPr>
              <w:pStyle w:val="0"/>
              <w:widowControl w:val="0"/>
              <w:spacing w:line="240" w:lineRule="auto"/>
              <w:rPr>
                <w:rFonts w:hint="default"/>
                <w:sz w:val="14"/>
              </w:rPr>
            </w:pPr>
            <w:r>
              <w:rPr>
                <w:rFonts w:hint="default"/>
                <w:sz w:val="14"/>
              </w:rPr>
              <w:t>中性脂肪</w:t>
            </w:r>
            <w:r>
              <w:rPr>
                <w:rFonts w:hint="default"/>
                <w:sz w:val="14"/>
              </w:rPr>
              <w:t>150mg/dL</w:t>
            </w:r>
            <w:r>
              <w:rPr>
                <w:rFonts w:hint="default"/>
                <w:sz w:val="14"/>
              </w:rPr>
              <w:t>以上</w:t>
            </w:r>
            <w:r>
              <w:rPr>
                <w:rFonts w:hint="eastAsia"/>
                <w:sz w:val="14"/>
              </w:rPr>
              <w:t>、</w:t>
            </w:r>
            <w:r>
              <w:rPr>
                <w:rFonts w:hint="default"/>
                <w:sz w:val="14"/>
              </w:rPr>
              <w:t>または</w:t>
            </w:r>
            <w:r>
              <w:rPr>
                <w:rFonts w:hint="default"/>
                <w:sz w:val="14"/>
              </w:rPr>
              <w:t>HDL</w:t>
            </w:r>
            <w:r>
              <w:rPr>
                <w:rFonts w:hint="default"/>
                <w:sz w:val="14"/>
              </w:rPr>
              <w:t>コレステロール</w:t>
            </w:r>
            <w:r>
              <w:rPr>
                <w:rFonts w:hint="default"/>
                <w:sz w:val="14"/>
              </w:rPr>
              <w:t>40mg/dL</w:t>
            </w:r>
            <w:r>
              <w:rPr>
                <w:rFonts w:hint="default"/>
                <w:sz w:val="14"/>
              </w:rPr>
              <w:t>未満</w:t>
            </w:r>
          </w:p>
        </w:tc>
      </w:tr>
    </w:tbl>
    <w:p>
      <w:pPr>
        <w:pStyle w:val="44"/>
        <w:rPr>
          <w:rFonts w:hint="default"/>
        </w:rPr>
      </w:pPr>
      <w:r>
        <w:rPr>
          <w:rFonts w:hint="default"/>
        </w:rPr>
        <w:t>【出典】厚生労働省</w:t>
      </w:r>
      <w:r>
        <w:rPr>
          <w:rFonts w:hint="eastAsia"/>
        </w:rPr>
        <w:t xml:space="preserve"> </w:t>
      </w:r>
      <w:r>
        <w:rPr>
          <w:rFonts w:hint="default"/>
        </w:rPr>
        <w:t>メタボリックシンドロームの診断基準</w:t>
      </w:r>
    </w:p>
    <w:p>
      <w:pPr>
        <w:pStyle w:val="0"/>
        <w:rPr>
          <w:rFonts w:hint="default"/>
        </w:rPr>
      </w:pPr>
      <w:r>
        <w:rPr>
          <w:rFonts w:hint="default"/>
        </w:rPr>
        <w:br w:type="page"/>
      </w:r>
    </w:p>
    <w:p>
      <w:pPr>
        <w:pStyle w:val="3"/>
        <w:rPr>
          <w:rFonts w:hint="default"/>
        </w:rPr>
      </w:pPr>
      <w:bookmarkStart w:id="267" w:name="_Toc162548749"/>
      <w:r>
        <w:rPr>
          <w:rFonts w:hint="default"/>
        </w:rPr>
        <w:t>国の示す目標</w:t>
      </w:r>
      <w:bookmarkEnd w:id="267"/>
    </w:p>
    <w:p>
      <w:pPr>
        <w:pStyle w:val="39"/>
        <w:ind w:firstLine="200"/>
        <w:rPr>
          <w:rFonts w:hint="default"/>
        </w:rPr>
      </w:pPr>
      <w:r>
        <w:rPr>
          <w:rFonts w:hint="default"/>
        </w:rPr>
        <w:t>第</w:t>
      </w:r>
      <w:r>
        <w:rPr>
          <w:rFonts w:hint="default"/>
        </w:rPr>
        <w:t>4</w:t>
      </w:r>
      <w:r>
        <w:rPr>
          <w:rFonts w:hint="default"/>
        </w:rPr>
        <w:t>期計画においては</w:t>
      </w:r>
      <w:r>
        <w:rPr>
          <w:rFonts w:hint="eastAsia"/>
        </w:rPr>
        <w:fldChar w:fldCharType="begin"/>
      </w:r>
      <w:r>
        <w:rPr>
          <w:rFonts w:hint="eastAsia"/>
        </w:rPr>
        <w:instrText xml:space="preserve">REF _Ref138938345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3</w:t>
      </w:r>
      <w:r>
        <w:rPr>
          <w:rFonts w:hint="eastAsia"/>
        </w:rPr>
        <w:t>-</w:t>
      </w:r>
      <w:r>
        <w:rPr>
          <w:rFonts w:hint="default"/>
        </w:rPr>
        <w:t>1</w:t>
      </w:r>
      <w:r>
        <w:rPr>
          <w:rFonts w:hint="eastAsia"/>
        </w:rPr>
        <w:fldChar w:fldCharType="end"/>
      </w:r>
      <w:r>
        <w:rPr>
          <w:rFonts w:hint="eastAsia"/>
        </w:rPr>
        <w:t>のとおりであり、</w:t>
      </w:r>
      <w:r>
        <w:rPr>
          <w:rFonts w:hint="default"/>
        </w:rPr>
        <w:t>令和</w:t>
      </w:r>
      <w:r>
        <w:rPr>
          <w:rFonts w:hint="default"/>
        </w:rPr>
        <w:t>11</w:t>
      </w:r>
      <w:r>
        <w:rPr>
          <w:rFonts w:hint="default"/>
        </w:rPr>
        <w:t>年度までに特定健診の全国平均受診率</w:t>
      </w:r>
      <w:r>
        <w:rPr>
          <w:rFonts w:hint="default"/>
        </w:rPr>
        <w:t>70%</w:t>
      </w:r>
      <w:r>
        <w:rPr>
          <w:rFonts w:hint="default"/>
        </w:rPr>
        <w:t>以上、特定保健指導の全国平均実施率</w:t>
      </w:r>
      <w:r>
        <w:rPr>
          <w:rFonts w:hint="default"/>
        </w:rPr>
        <w:t>45%</w:t>
      </w:r>
      <w:r>
        <w:rPr>
          <w:rFonts w:hint="default"/>
        </w:rPr>
        <w:t>以上を達成することが設定されている。目標値は、第</w:t>
      </w:r>
      <w:r>
        <w:rPr>
          <w:rFonts w:hint="default"/>
        </w:rPr>
        <w:t>3</w:t>
      </w:r>
      <w:r>
        <w:rPr>
          <w:rFonts w:hint="default"/>
        </w:rPr>
        <w:t>期計画目標の目標値から</w:t>
      </w:r>
      <w:r>
        <w:rPr>
          <w:rFonts w:hint="eastAsia"/>
        </w:rPr>
        <w:t>変更されて</w:t>
      </w:r>
      <w:r>
        <w:rPr>
          <w:rFonts w:hint="default"/>
        </w:rPr>
        <w:t>いない。市町村国保における目標値も第</w:t>
      </w:r>
      <w:r>
        <w:rPr>
          <w:rFonts w:hint="default"/>
        </w:rPr>
        <w:t>3</w:t>
      </w:r>
      <w:r>
        <w:rPr>
          <w:rFonts w:hint="default"/>
        </w:rPr>
        <w:t>期から</w:t>
      </w:r>
      <w:r>
        <w:rPr>
          <w:rFonts w:hint="eastAsia"/>
        </w:rPr>
        <w:t>の変更はなく</w:t>
      </w:r>
      <w:r>
        <w:rPr>
          <w:rFonts w:hint="default"/>
        </w:rPr>
        <w:t>、</w:t>
      </w:r>
      <w:r>
        <w:rPr>
          <w:rFonts w:hint="eastAsia"/>
        </w:rPr>
        <w:t>特定健診</w:t>
      </w:r>
      <w:r>
        <w:rPr>
          <w:rFonts w:hint="default"/>
        </w:rPr>
        <w:t>受診率</w:t>
      </w:r>
      <w:r>
        <w:rPr>
          <w:rFonts w:hint="eastAsia"/>
        </w:rPr>
        <w:t>及び特定保健指導</w:t>
      </w:r>
      <w:r>
        <w:rPr>
          <w:rFonts w:hint="default"/>
        </w:rPr>
        <w:t>実施率のいずれも</w:t>
      </w:r>
      <w:r>
        <w:rPr>
          <w:rFonts w:hint="default"/>
        </w:rPr>
        <w:t>60%</w:t>
      </w:r>
      <w:r>
        <w:rPr>
          <w:rFonts w:hint="default"/>
        </w:rPr>
        <w:t>以上と設定されている。</w:t>
      </w:r>
    </w:p>
    <w:p>
      <w:pPr>
        <w:pStyle w:val="39"/>
        <w:ind w:firstLine="200"/>
        <w:rPr>
          <w:rFonts w:hint="default"/>
        </w:rPr>
      </w:pPr>
      <w:r>
        <w:rPr>
          <w:rFonts w:hint="default"/>
        </w:rPr>
        <w:t>また、メタボ該当者</w:t>
      </w:r>
      <w:r>
        <w:rPr>
          <w:rFonts w:hint="eastAsia"/>
        </w:rPr>
        <w:t>及びメタボ</w:t>
      </w:r>
      <w:r>
        <w:rPr>
          <w:rFonts w:hint="default"/>
        </w:rPr>
        <w:t>予備群の減少率についても、第</w:t>
      </w:r>
      <w:r>
        <w:rPr>
          <w:rFonts w:hint="default"/>
        </w:rPr>
        <w:t>3</w:t>
      </w:r>
      <w:r>
        <w:rPr>
          <w:rFonts w:hint="default"/>
        </w:rPr>
        <w:t>期に引き続き、平成</w:t>
      </w:r>
      <w:r>
        <w:rPr>
          <w:rFonts w:hint="default"/>
        </w:rPr>
        <w:t>20</w:t>
      </w:r>
      <w:r>
        <w:rPr>
          <w:rFonts w:hint="default"/>
        </w:rPr>
        <w:t>年度比</w:t>
      </w:r>
      <w:r>
        <w:rPr>
          <w:rFonts w:hint="default"/>
        </w:rPr>
        <w:t>25%</w:t>
      </w:r>
      <w:r>
        <w:rPr>
          <w:rFonts w:hint="default"/>
        </w:rPr>
        <w:t>以上減と設定されている。</w:t>
      </w:r>
    </w:p>
    <w:p>
      <w:pPr>
        <w:pStyle w:val="0"/>
        <w:rPr>
          <w:rFonts w:hint="default"/>
        </w:rPr>
      </w:pPr>
    </w:p>
    <w:p>
      <w:pPr>
        <w:pStyle w:val="38"/>
        <w:rPr>
          <w:rFonts w:hint="default"/>
        </w:rPr>
      </w:pPr>
      <w:bookmarkStart w:id="268" w:name="_Ref138938345"/>
      <w:bookmarkStart w:id="269" w:name="_Toc124936874"/>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68"/>
      <w:r>
        <w:rPr>
          <w:rFonts w:hint="default"/>
        </w:rPr>
        <w:t>：第</w:t>
      </w:r>
      <w:r>
        <w:rPr>
          <w:rFonts w:hint="default"/>
        </w:rPr>
        <w:t>4</w:t>
      </w:r>
      <w:r>
        <w:rPr>
          <w:rFonts w:hint="default"/>
        </w:rPr>
        <w:t>期計画における国が設定した</w:t>
      </w:r>
      <w:bookmarkEnd w:id="269"/>
      <w:r>
        <w:rPr>
          <w:rFonts w:hint="default"/>
        </w:rPr>
        <w:t>目標値</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4957"/>
        <w:gridCol w:w="2209"/>
        <w:gridCol w:w="2209"/>
      </w:tblGrid>
      <w:tr>
        <w:trPr>
          <w:trHeight w:val="199" w:hRule="atLeast"/>
        </w:trPr>
        <w:tc>
          <w:tcPr>
            <w:tcW w:w="2644" w:type="pct"/>
            <w:shd w:val="clear" w:color="auto" w:fill="CCD6FF"/>
            <w:tcMar>
              <w:top w:w="28" w:type="dxa"/>
              <w:left w:w="28" w:type="dxa"/>
              <w:bottom w:w="28" w:type="dxa"/>
              <w:right w:w="28" w:type="dxa"/>
            </w:tcMar>
            <w:vAlign w:val="center"/>
          </w:tcPr>
          <w:p>
            <w:pPr>
              <w:pStyle w:val="0"/>
              <w:rPr>
                <w:rFonts w:hint="default"/>
              </w:rPr>
            </w:pPr>
          </w:p>
        </w:tc>
        <w:tc>
          <w:tcPr>
            <w:tcW w:w="1178"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全国（令和</w:t>
            </w:r>
            <w:r>
              <w:rPr>
                <w:rFonts w:hint="default"/>
                <w:b w:val="1"/>
              </w:rPr>
              <w:t>11</w:t>
            </w:r>
            <w:r>
              <w:rPr>
                <w:rFonts w:hint="default"/>
                <w:b w:val="1"/>
              </w:rPr>
              <w:t>年度）</w:t>
            </w:r>
          </w:p>
        </w:tc>
        <w:tc>
          <w:tcPr>
            <w:tcW w:w="1178"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市町村国保（令和</w:t>
            </w:r>
            <w:r>
              <w:rPr>
                <w:rFonts w:hint="default"/>
                <w:b w:val="1"/>
              </w:rPr>
              <w:t>11</w:t>
            </w:r>
            <w:r>
              <w:rPr>
                <w:rFonts w:hint="default"/>
                <w:b w:val="1"/>
              </w:rPr>
              <w:t>年度）</w:t>
            </w:r>
          </w:p>
        </w:tc>
      </w:tr>
      <w:tr>
        <w:trPr>
          <w:trHeight w:val="231" w:hRule="atLeast"/>
        </w:trPr>
        <w:tc>
          <w:tcPr>
            <w:tcW w:w="2644" w:type="pct"/>
            <w:shd w:val="clear" w:color="auto" w:fill="auto"/>
            <w:tcMar>
              <w:top w:w="28" w:type="dxa"/>
              <w:left w:w="28" w:type="dxa"/>
              <w:bottom w:w="28" w:type="dxa"/>
              <w:right w:w="28" w:type="dxa"/>
            </w:tcMar>
            <w:vAlign w:val="center"/>
          </w:tcPr>
          <w:p>
            <w:pPr>
              <w:pStyle w:val="0"/>
              <w:rPr>
                <w:rFonts w:hint="default"/>
              </w:rPr>
            </w:pPr>
            <w:r>
              <w:rPr>
                <w:rFonts w:hint="default"/>
              </w:rPr>
              <w:t>特定健診受診率</w:t>
            </w:r>
          </w:p>
        </w:tc>
        <w:tc>
          <w:tcPr>
            <w:tcW w:w="1178" w:type="pct"/>
            <w:shd w:val="clear" w:color="auto" w:fill="auto"/>
            <w:tcMar>
              <w:top w:w="28" w:type="dxa"/>
              <w:left w:w="28" w:type="dxa"/>
              <w:bottom w:w="28" w:type="dxa"/>
              <w:right w:w="28" w:type="dxa"/>
            </w:tcMar>
            <w:vAlign w:val="center"/>
          </w:tcPr>
          <w:p>
            <w:pPr>
              <w:pStyle w:val="0"/>
              <w:jc w:val="center"/>
              <w:rPr>
                <w:rFonts w:hint="default"/>
              </w:rPr>
            </w:pPr>
            <w:r>
              <w:rPr>
                <w:rFonts w:hint="default"/>
              </w:rPr>
              <w:t>70%</w:t>
            </w:r>
            <w:r>
              <w:rPr>
                <w:rFonts w:hint="default"/>
              </w:rPr>
              <w:t>以上</w:t>
            </w:r>
          </w:p>
        </w:tc>
        <w:tc>
          <w:tcPr>
            <w:tcW w:w="1178" w:type="pct"/>
            <w:shd w:val="clear" w:color="auto" w:fill="auto"/>
            <w:tcMar>
              <w:top w:w="28" w:type="dxa"/>
              <w:left w:w="28" w:type="dxa"/>
              <w:bottom w:w="28" w:type="dxa"/>
              <w:right w:w="28" w:type="dxa"/>
            </w:tcMar>
            <w:vAlign w:val="center"/>
          </w:tcPr>
          <w:p>
            <w:pPr>
              <w:pStyle w:val="0"/>
              <w:jc w:val="center"/>
              <w:rPr>
                <w:rFonts w:hint="default"/>
              </w:rPr>
            </w:pPr>
            <w:r>
              <w:rPr>
                <w:rFonts w:hint="default"/>
              </w:rPr>
              <w:t>60%</w:t>
            </w:r>
            <w:r>
              <w:rPr>
                <w:rFonts w:hint="default"/>
              </w:rPr>
              <w:t>以上</w:t>
            </w:r>
          </w:p>
        </w:tc>
      </w:tr>
      <w:tr>
        <w:trPr>
          <w:trHeight w:val="231" w:hRule="atLeast"/>
        </w:trPr>
        <w:tc>
          <w:tcPr>
            <w:tcW w:w="2644" w:type="pct"/>
            <w:shd w:val="clear" w:color="auto" w:fill="auto"/>
            <w:tcMar>
              <w:top w:w="28" w:type="dxa"/>
              <w:left w:w="28" w:type="dxa"/>
              <w:bottom w:w="28" w:type="dxa"/>
              <w:right w:w="28" w:type="dxa"/>
            </w:tcMar>
            <w:vAlign w:val="center"/>
          </w:tcPr>
          <w:p>
            <w:pPr>
              <w:pStyle w:val="0"/>
              <w:rPr>
                <w:rFonts w:hint="default"/>
              </w:rPr>
            </w:pPr>
            <w:r>
              <w:rPr>
                <w:rFonts w:hint="default"/>
              </w:rPr>
              <w:t>特定保健指導の実施率</w:t>
            </w:r>
          </w:p>
        </w:tc>
        <w:tc>
          <w:tcPr>
            <w:tcW w:w="1178" w:type="pct"/>
            <w:shd w:val="clear" w:color="auto" w:fill="auto"/>
            <w:tcMar>
              <w:top w:w="28" w:type="dxa"/>
              <w:left w:w="28" w:type="dxa"/>
              <w:bottom w:w="28" w:type="dxa"/>
              <w:right w:w="28" w:type="dxa"/>
            </w:tcMar>
            <w:vAlign w:val="center"/>
          </w:tcPr>
          <w:p>
            <w:pPr>
              <w:pStyle w:val="0"/>
              <w:jc w:val="center"/>
              <w:rPr>
                <w:rFonts w:hint="default"/>
              </w:rPr>
            </w:pPr>
            <w:r>
              <w:rPr>
                <w:rFonts w:hint="default"/>
              </w:rPr>
              <w:t>45%</w:t>
            </w:r>
            <w:r>
              <w:rPr>
                <w:rFonts w:hint="default"/>
              </w:rPr>
              <w:t>以上</w:t>
            </w:r>
          </w:p>
        </w:tc>
        <w:tc>
          <w:tcPr>
            <w:tcW w:w="1178" w:type="pct"/>
            <w:shd w:val="clear" w:color="auto" w:fill="auto"/>
            <w:tcMar>
              <w:top w:w="28" w:type="dxa"/>
              <w:left w:w="28" w:type="dxa"/>
              <w:bottom w:w="28" w:type="dxa"/>
              <w:right w:w="28" w:type="dxa"/>
            </w:tcMar>
            <w:vAlign w:val="center"/>
          </w:tcPr>
          <w:p>
            <w:pPr>
              <w:pStyle w:val="0"/>
              <w:jc w:val="center"/>
              <w:rPr>
                <w:rFonts w:hint="default"/>
              </w:rPr>
            </w:pPr>
            <w:r>
              <w:rPr>
                <w:rFonts w:hint="default"/>
              </w:rPr>
              <w:t>60%</w:t>
            </w:r>
            <w:r>
              <w:rPr>
                <w:rFonts w:hint="default"/>
              </w:rPr>
              <w:t>以上</w:t>
            </w:r>
          </w:p>
        </w:tc>
      </w:tr>
      <w:tr>
        <w:trPr>
          <w:trHeight w:val="24" w:hRule="atLeast"/>
        </w:trPr>
        <w:tc>
          <w:tcPr>
            <w:tcW w:w="2644" w:type="pct"/>
            <w:shd w:val="clear" w:color="auto" w:fill="auto"/>
            <w:tcMar>
              <w:top w:w="28" w:type="dxa"/>
              <w:left w:w="28" w:type="dxa"/>
              <w:bottom w:w="28" w:type="dxa"/>
              <w:right w:w="28" w:type="dxa"/>
            </w:tcMar>
            <w:vAlign w:val="center"/>
          </w:tcPr>
          <w:p>
            <w:pPr>
              <w:pStyle w:val="0"/>
              <w:rPr>
                <w:rFonts w:hint="default"/>
              </w:rPr>
            </w:pPr>
            <w:r>
              <w:rPr>
                <w:rFonts w:hint="default"/>
              </w:rPr>
              <w:t>メタボ</w:t>
            </w:r>
            <w:r>
              <w:rPr>
                <w:rFonts w:hint="eastAsia"/>
              </w:rPr>
              <w:t>該</w:t>
            </w:r>
            <w:r>
              <w:rPr>
                <w:rFonts w:hint="default"/>
              </w:rPr>
              <w:t>当者</w:t>
            </w:r>
            <w:r>
              <w:rPr>
                <w:rFonts w:hint="eastAsia"/>
              </w:rPr>
              <w:t>・メタボ</w:t>
            </w:r>
            <w:r>
              <w:rPr>
                <w:rFonts w:hint="default"/>
              </w:rPr>
              <w:t>予備群</w:t>
            </w:r>
            <w:r>
              <w:rPr>
                <w:rFonts w:hint="eastAsia"/>
              </w:rPr>
              <w:t>該当者</w:t>
            </w:r>
            <w:r>
              <w:rPr>
                <w:rFonts w:hint="default"/>
              </w:rPr>
              <w:t>の減少率（平成</w:t>
            </w:r>
            <w:r>
              <w:rPr>
                <w:rFonts w:hint="default"/>
              </w:rPr>
              <w:t>20</w:t>
            </w:r>
            <w:r>
              <w:rPr>
                <w:rFonts w:hint="default"/>
              </w:rPr>
              <w:t>年度比）</w:t>
            </w:r>
          </w:p>
        </w:tc>
        <w:tc>
          <w:tcPr>
            <w:tcW w:w="2356" w:type="pct"/>
            <w:gridSpan w:val="2"/>
            <w:shd w:val="clear" w:color="auto" w:fill="auto"/>
            <w:tcMar>
              <w:top w:w="28" w:type="dxa"/>
              <w:left w:w="28" w:type="dxa"/>
              <w:bottom w:w="28" w:type="dxa"/>
              <w:right w:w="28" w:type="dxa"/>
            </w:tcMar>
            <w:vAlign w:val="center"/>
          </w:tcPr>
          <w:p>
            <w:pPr>
              <w:pStyle w:val="0"/>
              <w:jc w:val="center"/>
              <w:rPr>
                <w:rFonts w:hint="default"/>
              </w:rPr>
            </w:pPr>
            <w:r>
              <w:rPr>
                <w:rFonts w:hint="default"/>
              </w:rPr>
              <w:t>25%</w:t>
            </w:r>
            <w:r>
              <w:rPr>
                <w:rFonts w:hint="default"/>
              </w:rPr>
              <w:t>以上減</w:t>
            </w:r>
          </w:p>
        </w:tc>
      </w:tr>
    </w:tbl>
    <w:p>
      <w:pPr>
        <w:pStyle w:val="44"/>
        <w:rPr>
          <w:rFonts w:hint="default"/>
        </w:rPr>
      </w:pPr>
      <w:r>
        <w:rPr>
          <w:rFonts w:hint="default"/>
        </w:rPr>
        <w:t>【出典】厚生労働省</w:t>
      </w:r>
      <w:r>
        <w:rPr>
          <w:rFonts w:hint="eastAsia"/>
        </w:rPr>
        <w:t xml:space="preserve"> </w:t>
      </w:r>
      <w:r>
        <w:rPr>
          <w:rFonts w:hint="eastAsia"/>
        </w:rPr>
        <w:t>第</w:t>
      </w:r>
      <w:r>
        <w:rPr>
          <w:rFonts w:hint="eastAsia"/>
        </w:rPr>
        <w:t>4</w:t>
      </w:r>
      <w:r>
        <w:rPr>
          <w:rFonts w:hint="eastAsia"/>
        </w:rPr>
        <w:t>期特定健康診査等実施計画期間における保険者種別の目標値について</w:t>
      </w:r>
    </w:p>
    <w:p>
      <w:pPr>
        <w:pStyle w:val="0"/>
        <w:rPr>
          <w:rFonts w:hint="default"/>
        </w:rPr>
      </w:pPr>
    </w:p>
    <w:p>
      <w:pPr>
        <w:pStyle w:val="3"/>
        <w:rPr>
          <w:rFonts w:hint="default"/>
        </w:rPr>
      </w:pPr>
      <w:bookmarkStart w:id="270" w:name="_Toc162548750"/>
      <w:r>
        <w:rPr>
          <w:rFonts w:hint="default"/>
        </w:rPr>
        <w:t>八街市の目標</w:t>
      </w:r>
      <w:bookmarkEnd w:id="270"/>
    </w:p>
    <w:p>
      <w:pPr>
        <w:pStyle w:val="39"/>
        <w:ind w:firstLine="200"/>
        <w:rPr>
          <w:rFonts w:hint="default"/>
        </w:rPr>
      </w:pPr>
      <w:r>
        <w:rPr>
          <w:rFonts w:hint="eastAsia"/>
        </w:rPr>
        <w:t>特定健診</w:t>
      </w:r>
      <w:r>
        <w:rPr>
          <w:rFonts w:hint="default"/>
        </w:rPr>
        <w:t>受診率及び</w:t>
      </w:r>
      <w:r>
        <w:rPr>
          <w:rFonts w:hint="eastAsia"/>
        </w:rPr>
        <w:t>特定保健指導</w:t>
      </w:r>
      <w:r>
        <w:rPr>
          <w:rFonts w:hint="default"/>
        </w:rPr>
        <w:t>実施率の目標値</w:t>
      </w:r>
      <w:r>
        <w:rPr>
          <w:rFonts w:hint="eastAsia"/>
        </w:rPr>
        <w:t>は</w:t>
      </w:r>
      <w:r>
        <w:rPr>
          <w:rFonts w:hint="eastAsia"/>
        </w:rPr>
        <w:fldChar w:fldCharType="begin"/>
      </w:r>
      <w:r>
        <w:rPr>
          <w:rFonts w:hint="eastAsia"/>
        </w:rPr>
        <w:instrText xml:space="preserve">REF _Ref124773176 \h </w:instrText>
      </w:r>
      <w:r>
        <w:rPr>
          <w:rFonts w:hint="eastAsia"/>
        </w:rPr>
        <w:fldChar w:fldCharType="separate"/>
      </w:r>
      <w:r>
        <w:rPr>
          <w:rFonts w:hint="default"/>
        </w:rPr>
        <w:t>図表</w:t>
      </w:r>
      <w:r>
        <w:rPr>
          <w:rFonts w:hint="default"/>
        </w:rPr>
        <w:t>10</w:t>
      </w:r>
      <w:r>
        <w:rPr>
          <w:rFonts w:hint="eastAsia"/>
        </w:rPr>
        <w:t>-</w:t>
      </w:r>
      <w:r>
        <w:rPr>
          <w:rFonts w:hint="default"/>
        </w:rPr>
        <w:t>2</w:t>
      </w:r>
      <w:r>
        <w:rPr>
          <w:rFonts w:hint="eastAsia"/>
        </w:rPr>
        <w:t>-</w:t>
      </w:r>
      <w:r>
        <w:rPr>
          <w:rFonts w:hint="default"/>
        </w:rPr>
        <w:t>4</w:t>
      </w:r>
      <w:r>
        <w:rPr>
          <w:rFonts w:hint="eastAsia"/>
        </w:rPr>
        <w:t>-</w:t>
      </w:r>
      <w:r>
        <w:rPr>
          <w:rFonts w:hint="default"/>
        </w:rPr>
        <w:t>1</w:t>
      </w:r>
      <w:r>
        <w:rPr>
          <w:rFonts w:hint="eastAsia"/>
        </w:rPr>
        <w:fldChar w:fldCharType="end"/>
      </w:r>
      <w:r>
        <w:rPr>
          <w:rFonts w:hint="eastAsia"/>
        </w:rPr>
        <w:t>のとおりであり、</w:t>
      </w:r>
      <w:r>
        <w:rPr>
          <w:rFonts w:hint="default"/>
        </w:rPr>
        <w:t>令和</w:t>
      </w:r>
      <w:r>
        <w:rPr>
          <w:rFonts w:hint="default"/>
        </w:rPr>
        <w:t>11</w:t>
      </w:r>
      <w:r>
        <w:rPr>
          <w:rFonts w:hint="default"/>
        </w:rPr>
        <w:t>年度までに特定健診受診率を</w:t>
      </w:r>
      <w:r>
        <w:rPr>
          <w:rFonts w:hint="eastAsia"/>
        </w:rPr>
        <w:t>4</w:t>
      </w:r>
      <w:r>
        <w:rPr>
          <w:rFonts w:hint="default"/>
        </w:rPr>
        <w:t>4</w:t>
      </w:r>
      <w:r>
        <w:rPr>
          <w:rFonts w:hint="eastAsia"/>
        </w:rPr>
        <w:t>.0%</w:t>
      </w:r>
      <w:r>
        <w:rPr>
          <w:rFonts w:hint="default"/>
        </w:rPr>
        <w:t>、特定保健指導実施率を</w:t>
      </w:r>
      <w:r>
        <w:rPr>
          <w:rFonts w:hint="eastAsia"/>
        </w:rPr>
        <w:t>5</w:t>
      </w:r>
      <w:r>
        <w:rPr>
          <w:rFonts w:hint="default"/>
        </w:rPr>
        <w:t>0</w:t>
      </w:r>
      <w:r>
        <w:rPr>
          <w:rFonts w:hint="eastAsia"/>
        </w:rPr>
        <w:t>.0%</w:t>
      </w:r>
      <w:r>
        <w:rPr>
          <w:rFonts w:hint="eastAsia"/>
        </w:rPr>
        <w:t>まで</w:t>
      </w:r>
      <w:r>
        <w:rPr>
          <w:rFonts w:hint="default"/>
        </w:rPr>
        <w:t>引き上げる</w:t>
      </w:r>
      <w:r>
        <w:rPr>
          <w:rFonts w:hint="eastAsia"/>
        </w:rPr>
        <w:t>ように</w:t>
      </w:r>
      <w:r>
        <w:rPr>
          <w:rFonts w:hint="default"/>
        </w:rPr>
        <w:t>設定する。</w:t>
      </w:r>
    </w:p>
    <w:p>
      <w:pPr>
        <w:pStyle w:val="39"/>
        <w:ind w:firstLine="200"/>
        <w:rPr>
          <w:rFonts w:hint="default"/>
        </w:rPr>
      </w:pPr>
      <w:r>
        <w:rPr>
          <w:rFonts w:hint="eastAsia"/>
        </w:rPr>
        <w:t>特定健診対象者及び特定保健指導実施者の見込み数については、</w:t>
      </w:r>
      <w:r>
        <w:rPr>
          <w:rFonts w:hint="eastAsia"/>
        </w:rPr>
        <w:fldChar w:fldCharType="begin"/>
      </w:r>
      <w:r>
        <w:rPr>
          <w:rFonts w:hint="eastAsia"/>
        </w:rPr>
        <w:instrText xml:space="preserve">REF _Ref124772983 \h </w:instrText>
      </w:r>
      <w:r>
        <w:rPr>
          <w:rFonts w:hint="eastAsia"/>
        </w:rPr>
        <w:fldChar w:fldCharType="separate"/>
      </w:r>
      <w:r>
        <w:rPr>
          <w:rFonts w:hint="default"/>
        </w:rPr>
        <w:t>図表</w:t>
      </w:r>
      <w:r>
        <w:rPr>
          <w:rFonts w:hint="default"/>
        </w:rPr>
        <w:t>10-2-4-2</w:t>
      </w:r>
      <w:r>
        <w:rPr>
          <w:rFonts w:hint="eastAsia"/>
        </w:rPr>
        <w:fldChar w:fldCharType="end"/>
      </w:r>
      <w:r>
        <w:rPr>
          <w:rFonts w:hint="eastAsia"/>
        </w:rPr>
        <w:t>のとおりである。</w:t>
      </w:r>
    </w:p>
    <w:p>
      <w:pPr>
        <w:pStyle w:val="0"/>
        <w:rPr>
          <w:rFonts w:hint="default"/>
        </w:rPr>
      </w:pPr>
    </w:p>
    <w:p>
      <w:pPr>
        <w:pStyle w:val="38"/>
        <w:rPr>
          <w:rFonts w:hint="default"/>
        </w:rPr>
      </w:pPr>
      <w:bookmarkStart w:id="271" w:name="_Ref124773176"/>
      <w:bookmarkStart w:id="272" w:name="_Toc124936875"/>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71"/>
      <w:r>
        <w:rPr>
          <w:rFonts w:hint="default"/>
        </w:rPr>
        <w:t>：</w:t>
      </w:r>
      <w:r>
        <w:rPr>
          <w:rFonts w:hint="eastAsia"/>
        </w:rPr>
        <w:t>特定健診</w:t>
      </w:r>
      <w:r>
        <w:rPr>
          <w:rFonts w:hint="default"/>
        </w:rPr>
        <w:t>受診率</w:t>
      </w:r>
      <w:r>
        <w:rPr>
          <w:rFonts w:hint="eastAsia"/>
        </w:rPr>
        <w:t>・特定保健指導</w:t>
      </w:r>
      <w:r>
        <w:rPr>
          <w:rFonts w:hint="default"/>
        </w:rPr>
        <w:t>実施率の目標値</w:t>
      </w:r>
      <w:bookmarkEnd w:id="272"/>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2679"/>
        <w:gridCol w:w="1116"/>
        <w:gridCol w:w="1116"/>
        <w:gridCol w:w="1116"/>
        <w:gridCol w:w="1116"/>
        <w:gridCol w:w="1116"/>
        <w:gridCol w:w="1116"/>
      </w:tblGrid>
      <w:tr>
        <w:trPr>
          <w:trHeight w:val="20" w:hRule="atLeast"/>
        </w:trPr>
        <w:tc>
          <w:tcPr>
            <w:tcW w:w="1428" w:type="pct"/>
            <w:shd w:val="clear" w:color="auto" w:fill="CCD6FF"/>
            <w:tcMar>
              <w:top w:w="28" w:type="dxa"/>
              <w:left w:w="28" w:type="dxa"/>
              <w:bottom w:w="28" w:type="dxa"/>
              <w:right w:w="28" w:type="dxa"/>
            </w:tcMar>
            <w:vAlign w:val="center"/>
          </w:tcPr>
          <w:p>
            <w:pPr>
              <w:pStyle w:val="0"/>
              <w:jc w:val="center"/>
              <w:rPr>
                <w:rFonts w:hint="default"/>
                <w:b w:val="1"/>
              </w:rPr>
            </w:pP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6</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7</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8</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9</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10</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11</w:t>
            </w:r>
            <w:r>
              <w:rPr>
                <w:rFonts w:hint="default"/>
                <w:b w:val="1"/>
              </w:rPr>
              <w:t>年度</w:t>
            </w:r>
          </w:p>
        </w:tc>
      </w:tr>
      <w:tr>
        <w:trPr>
          <w:trHeight w:val="20" w:hRule="atLeast"/>
        </w:trPr>
        <w:tc>
          <w:tcPr>
            <w:tcW w:w="1428" w:type="pct"/>
            <w:shd w:val="clear" w:color="auto" w:fill="auto"/>
            <w:tcMar>
              <w:top w:w="28" w:type="dxa"/>
              <w:left w:w="28" w:type="dxa"/>
              <w:bottom w:w="28" w:type="dxa"/>
              <w:right w:w="28" w:type="dxa"/>
            </w:tcMar>
            <w:vAlign w:val="center"/>
          </w:tcPr>
          <w:p>
            <w:pPr>
              <w:pStyle w:val="0"/>
              <w:rPr>
                <w:rFonts w:hint="default"/>
              </w:rPr>
            </w:pPr>
            <w:r>
              <w:rPr>
                <w:rFonts w:hint="default"/>
              </w:rPr>
              <w:t>特定健診受診率</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r>
              <w:rPr>
                <w:rFonts w:hint="eastAsia"/>
              </w:rPr>
              <w:t>2</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default"/>
              </w:rPr>
              <w:t>3</w:t>
            </w:r>
            <w:r>
              <w:rPr>
                <w:rFonts w:hint="eastAsia"/>
              </w:rPr>
              <w:t>6</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38</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40</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42</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44</w:t>
            </w:r>
            <w:r>
              <w:rPr>
                <w:rFonts w:hint="default"/>
              </w:rPr>
              <w:t>.0%</w:t>
            </w:r>
          </w:p>
        </w:tc>
      </w:tr>
      <w:tr>
        <w:trPr>
          <w:trHeight w:val="20" w:hRule="atLeast"/>
        </w:trPr>
        <w:tc>
          <w:tcPr>
            <w:tcW w:w="1428" w:type="pct"/>
            <w:shd w:val="clear" w:color="auto" w:fill="auto"/>
            <w:tcMar>
              <w:top w:w="28" w:type="dxa"/>
              <w:left w:w="28" w:type="dxa"/>
              <w:bottom w:w="28" w:type="dxa"/>
              <w:right w:w="28" w:type="dxa"/>
            </w:tcMar>
            <w:vAlign w:val="center"/>
          </w:tcPr>
          <w:p>
            <w:pPr>
              <w:pStyle w:val="0"/>
              <w:rPr>
                <w:rFonts w:hint="default"/>
              </w:rPr>
            </w:pPr>
            <w:r>
              <w:rPr>
                <w:rFonts w:hint="default"/>
              </w:rPr>
              <w:t>特定保健指導実施率</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35</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38</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41</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44</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47</w:t>
            </w:r>
            <w:r>
              <w:rPr>
                <w:rFonts w:hint="default"/>
              </w:rPr>
              <w:t>.0%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50</w:t>
            </w:r>
            <w:r>
              <w:rPr>
                <w:rFonts w:hint="default"/>
              </w:rPr>
              <w:t>.0%</w:t>
            </w:r>
          </w:p>
        </w:tc>
      </w:tr>
    </w:tbl>
    <w:p>
      <w:pPr>
        <w:pStyle w:val="0"/>
        <w:rPr>
          <w:rFonts w:hint="default"/>
        </w:rPr>
      </w:pPr>
    </w:p>
    <w:p>
      <w:pPr>
        <w:pStyle w:val="38"/>
        <w:rPr>
          <w:rFonts w:hint="default"/>
        </w:rPr>
      </w:pPr>
      <w:bookmarkStart w:id="273" w:name="_Ref124772983"/>
      <w:bookmarkStart w:id="274" w:name="_Toc124936876"/>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default"/>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2</w:t>
      </w:r>
      <w:r>
        <w:rPr>
          <w:rFonts w:hint="eastAsia"/>
        </w:rPr>
        <w:fldChar w:fldCharType="end"/>
      </w:r>
      <w:r>
        <w:rPr>
          <w:rFonts w:hint="default"/>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4</w:t>
      </w:r>
      <w:r>
        <w:rPr>
          <w:rFonts w:hint="eastAsia"/>
        </w:rPr>
        <w:fldChar w:fldCharType="end"/>
      </w:r>
      <w:r>
        <w:rPr>
          <w:rFonts w:hint="default"/>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2</w:t>
      </w:r>
      <w:r>
        <w:rPr>
          <w:rFonts w:hint="eastAsia"/>
        </w:rPr>
        <w:fldChar w:fldCharType="end"/>
      </w:r>
      <w:bookmarkEnd w:id="273"/>
      <w:r>
        <w:rPr>
          <w:rFonts w:hint="default"/>
        </w:rPr>
        <w:t>：特定健診</w:t>
      </w:r>
      <w:r>
        <w:rPr>
          <w:rFonts w:hint="eastAsia"/>
        </w:rPr>
        <w:t>対象者・</w:t>
      </w:r>
      <w:r>
        <w:rPr>
          <w:rFonts w:hint="default"/>
        </w:rPr>
        <w:t>特定保健指導実施者の見込み数</w:t>
      </w:r>
      <w:bookmarkEnd w:id="274"/>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638"/>
        <w:gridCol w:w="915"/>
        <w:gridCol w:w="1134"/>
        <w:gridCol w:w="1114"/>
        <w:gridCol w:w="1116"/>
        <w:gridCol w:w="1114"/>
        <w:gridCol w:w="1116"/>
        <w:gridCol w:w="1114"/>
        <w:gridCol w:w="1114"/>
      </w:tblGrid>
      <w:tr>
        <w:trPr>
          <w:trHeight w:val="20" w:hRule="atLeast"/>
        </w:trPr>
        <w:tc>
          <w:tcPr>
            <w:tcW w:w="1434" w:type="pct"/>
            <w:gridSpan w:val="3"/>
            <w:shd w:val="clear" w:color="auto" w:fill="CCD6FF"/>
            <w:tcMar>
              <w:top w:w="28" w:type="dxa"/>
              <w:left w:w="28" w:type="dxa"/>
              <w:bottom w:w="28" w:type="dxa"/>
              <w:right w:w="28" w:type="dxa"/>
            </w:tcMar>
            <w:vAlign w:val="center"/>
          </w:tcPr>
          <w:p>
            <w:pPr>
              <w:pStyle w:val="0"/>
              <w:jc w:val="center"/>
              <w:rPr>
                <w:rFonts w:hint="default"/>
                <w:b w:val="1"/>
              </w:rPr>
            </w:pPr>
          </w:p>
        </w:tc>
        <w:tc>
          <w:tcPr>
            <w:tcW w:w="5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6</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7</w:t>
            </w:r>
            <w:r>
              <w:rPr>
                <w:rFonts w:hint="default"/>
                <w:b w:val="1"/>
              </w:rPr>
              <w:t>年度</w:t>
            </w:r>
          </w:p>
        </w:tc>
        <w:tc>
          <w:tcPr>
            <w:tcW w:w="5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8</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9</w:t>
            </w:r>
            <w:r>
              <w:rPr>
                <w:rFonts w:hint="default"/>
                <w:b w:val="1"/>
              </w:rPr>
              <w:t>年度</w:t>
            </w:r>
          </w:p>
        </w:tc>
        <w:tc>
          <w:tcPr>
            <w:tcW w:w="594"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10</w:t>
            </w:r>
            <w:r>
              <w:rPr>
                <w:rFonts w:hint="default"/>
                <w:b w:val="1"/>
              </w:rPr>
              <w:t>年度</w:t>
            </w:r>
          </w:p>
        </w:tc>
        <w:tc>
          <w:tcPr>
            <w:tcW w:w="595"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令和</w:t>
            </w:r>
            <w:r>
              <w:rPr>
                <w:rFonts w:hint="default"/>
                <w:b w:val="1"/>
              </w:rPr>
              <w:t>11</w:t>
            </w:r>
            <w:r>
              <w:rPr>
                <w:rFonts w:hint="default"/>
                <w:b w:val="1"/>
              </w:rPr>
              <w:t>年度</w:t>
            </w:r>
          </w:p>
        </w:tc>
      </w:tr>
      <w:tr>
        <w:trPr>
          <w:trHeight w:val="20" w:hRule="atLeast"/>
        </w:trPr>
        <w:tc>
          <w:tcPr>
            <w:tcW w:w="341"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w:t>
            </w:r>
          </w:p>
          <w:p>
            <w:pPr>
              <w:pStyle w:val="0"/>
              <w:rPr>
                <w:rFonts w:hint="default"/>
              </w:rPr>
            </w:pPr>
            <w:r>
              <w:rPr>
                <w:rFonts w:hint="default"/>
              </w:rPr>
              <w:t>健診</w:t>
            </w:r>
          </w:p>
        </w:tc>
        <w:tc>
          <w:tcPr>
            <w:tcW w:w="1093" w:type="pct"/>
            <w:gridSpan w:val="2"/>
            <w:shd w:val="clear" w:color="auto" w:fill="auto"/>
            <w:tcMar>
              <w:top w:w="28" w:type="dxa"/>
              <w:left w:w="28" w:type="dxa"/>
              <w:bottom w:w="28" w:type="dxa"/>
              <w:right w:w="28" w:type="dxa"/>
            </w:tcMar>
            <w:vAlign w:val="center"/>
          </w:tcPr>
          <w:p>
            <w:pPr>
              <w:pStyle w:val="0"/>
              <w:rPr>
                <w:rFonts w:hint="default"/>
              </w:rPr>
            </w:pPr>
            <w:r>
              <w:rPr>
                <w:rFonts w:hint="default"/>
              </w:rPr>
              <w:t>対象者数（人）</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12,979</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12,770</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12,561</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12,352</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12,143</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11,935</w:t>
            </w:r>
          </w:p>
        </w:tc>
      </w:tr>
      <w:tr>
        <w:trPr>
          <w:trHeight w:val="20" w:hRule="atLeast"/>
        </w:trPr>
        <w:tc>
          <w:tcPr>
            <w:tcW w:w="341" w:type="pct"/>
            <w:vMerge w:val="continue"/>
            <w:tcMar>
              <w:top w:w="28" w:type="dxa"/>
              <w:left w:w="28" w:type="dxa"/>
              <w:bottom w:w="28" w:type="dxa"/>
              <w:right w:w="28" w:type="dxa"/>
            </w:tcMar>
            <w:vAlign w:val="center"/>
          </w:tcPr>
          <w:p>
            <w:pPr>
              <w:pStyle w:val="0"/>
              <w:rPr>
                <w:rFonts w:hint="default"/>
              </w:rPr>
            </w:pPr>
          </w:p>
        </w:tc>
        <w:tc>
          <w:tcPr>
            <w:tcW w:w="1093" w:type="pct"/>
            <w:gridSpan w:val="2"/>
            <w:shd w:val="clear" w:color="auto" w:fill="auto"/>
            <w:tcMar>
              <w:top w:w="28" w:type="dxa"/>
              <w:left w:w="28" w:type="dxa"/>
              <w:bottom w:w="28" w:type="dxa"/>
              <w:right w:w="28" w:type="dxa"/>
            </w:tcMar>
            <w:vAlign w:val="center"/>
          </w:tcPr>
          <w:p>
            <w:pPr>
              <w:pStyle w:val="0"/>
              <w:rPr>
                <w:rFonts w:hint="default"/>
              </w:rPr>
            </w:pPr>
            <w:r>
              <w:rPr>
                <w:rFonts w:hint="default"/>
              </w:rPr>
              <w:t>受診者数（人）</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4,153</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4,597</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4,773</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4,941</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5,100</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5,251</w:t>
            </w:r>
          </w:p>
        </w:tc>
      </w:tr>
      <w:tr>
        <w:trPr>
          <w:trHeight w:val="20" w:hRule="atLeast"/>
        </w:trPr>
        <w:tc>
          <w:tcPr>
            <w:tcW w:w="341"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特定</w:t>
            </w:r>
          </w:p>
          <w:p>
            <w:pPr>
              <w:pStyle w:val="0"/>
              <w:rPr>
                <w:rFonts w:hint="default"/>
              </w:rPr>
            </w:pPr>
            <w:r>
              <w:rPr>
                <w:rFonts w:hint="default"/>
              </w:rPr>
              <w:t>保健</w:t>
            </w:r>
          </w:p>
          <w:p>
            <w:pPr>
              <w:pStyle w:val="0"/>
              <w:rPr>
                <w:rFonts w:hint="default"/>
              </w:rPr>
            </w:pPr>
            <w:r>
              <w:rPr>
                <w:rFonts w:hint="default"/>
              </w:rPr>
              <w:t>指導</w:t>
            </w:r>
          </w:p>
        </w:tc>
        <w:tc>
          <w:tcPr>
            <w:tcW w:w="488"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対象者数</w:t>
            </w:r>
          </w:p>
          <w:p>
            <w:pPr>
              <w:pStyle w:val="0"/>
              <w:rPr>
                <w:rFonts w:hint="default"/>
              </w:rPr>
            </w:pPr>
            <w:r>
              <w:rPr>
                <w:rFonts w:hint="default"/>
              </w:rPr>
              <w:t>（人）</w:t>
            </w:r>
          </w:p>
        </w:tc>
        <w:tc>
          <w:tcPr>
            <w:tcW w:w="605" w:type="pct"/>
            <w:shd w:val="clear" w:color="auto" w:fill="auto"/>
            <w:tcMar>
              <w:top w:w="28" w:type="dxa"/>
              <w:left w:w="28" w:type="dxa"/>
              <w:bottom w:w="28" w:type="dxa"/>
              <w:right w:w="28" w:type="dxa"/>
            </w:tcMar>
            <w:vAlign w:val="center"/>
          </w:tcPr>
          <w:p>
            <w:pPr>
              <w:pStyle w:val="0"/>
              <w:rPr>
                <w:rFonts w:hint="default"/>
              </w:rPr>
            </w:pPr>
            <w:r>
              <w:rPr>
                <w:rFonts w:hint="default"/>
              </w:rPr>
              <w:t>合計</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622</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689</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715</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740</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764</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787</w:t>
            </w:r>
          </w:p>
        </w:tc>
      </w:tr>
      <w:tr>
        <w:trPr>
          <w:trHeight w:val="20" w:hRule="atLeast"/>
        </w:trPr>
        <w:tc>
          <w:tcPr>
            <w:tcW w:w="341" w:type="pct"/>
            <w:vMerge w:val="continue"/>
            <w:tcMar>
              <w:top w:w="28" w:type="dxa"/>
              <w:left w:w="28" w:type="dxa"/>
              <w:bottom w:w="28" w:type="dxa"/>
              <w:right w:w="28" w:type="dxa"/>
            </w:tcMar>
            <w:vAlign w:val="center"/>
          </w:tcPr>
          <w:p>
            <w:pPr>
              <w:pStyle w:val="0"/>
              <w:rPr>
                <w:rFonts w:hint="default"/>
              </w:rPr>
            </w:pPr>
          </w:p>
        </w:tc>
        <w:tc>
          <w:tcPr>
            <w:tcW w:w="488" w:type="pct"/>
            <w:vMerge w:val="continue"/>
            <w:tcMar>
              <w:top w:w="28" w:type="dxa"/>
              <w:left w:w="28" w:type="dxa"/>
              <w:bottom w:w="28" w:type="dxa"/>
              <w:right w:w="28" w:type="dxa"/>
            </w:tcMar>
            <w:vAlign w:val="center"/>
          </w:tcPr>
          <w:p>
            <w:pPr>
              <w:pStyle w:val="0"/>
              <w:rPr>
                <w:rFonts w:hint="default"/>
              </w:rPr>
            </w:pPr>
          </w:p>
        </w:tc>
        <w:tc>
          <w:tcPr>
            <w:tcW w:w="605" w:type="pct"/>
            <w:shd w:val="clear" w:color="auto" w:fill="auto"/>
            <w:tcMar>
              <w:top w:w="28" w:type="dxa"/>
              <w:left w:w="28" w:type="dxa"/>
              <w:bottom w:w="28" w:type="dxa"/>
              <w:right w:w="28" w:type="dxa"/>
            </w:tcMar>
            <w:vAlign w:val="center"/>
          </w:tcPr>
          <w:p>
            <w:pPr>
              <w:pStyle w:val="0"/>
              <w:rPr>
                <w:rFonts w:hint="default"/>
              </w:rPr>
            </w:pPr>
            <w:r>
              <w:rPr>
                <w:rFonts w:hint="default"/>
              </w:rPr>
              <w:t>積極的支援</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145</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160</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167</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172</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178</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183</w:t>
            </w:r>
          </w:p>
        </w:tc>
      </w:tr>
      <w:tr>
        <w:trPr>
          <w:trHeight w:val="20" w:hRule="atLeast"/>
        </w:trPr>
        <w:tc>
          <w:tcPr>
            <w:tcW w:w="341" w:type="pct"/>
            <w:vMerge w:val="continue"/>
            <w:tcMar>
              <w:top w:w="28" w:type="dxa"/>
              <w:left w:w="28" w:type="dxa"/>
              <w:bottom w:w="28" w:type="dxa"/>
              <w:right w:w="28" w:type="dxa"/>
            </w:tcMar>
            <w:vAlign w:val="center"/>
          </w:tcPr>
          <w:p>
            <w:pPr>
              <w:pStyle w:val="0"/>
              <w:rPr>
                <w:rFonts w:hint="default"/>
              </w:rPr>
            </w:pPr>
          </w:p>
        </w:tc>
        <w:tc>
          <w:tcPr>
            <w:tcW w:w="488" w:type="pct"/>
            <w:vMerge w:val="continue"/>
            <w:tcMar>
              <w:top w:w="28" w:type="dxa"/>
              <w:left w:w="28" w:type="dxa"/>
              <w:bottom w:w="28" w:type="dxa"/>
              <w:right w:w="28" w:type="dxa"/>
            </w:tcMar>
            <w:vAlign w:val="center"/>
          </w:tcPr>
          <w:p>
            <w:pPr>
              <w:pStyle w:val="0"/>
              <w:rPr>
                <w:rFonts w:hint="default"/>
              </w:rPr>
            </w:pPr>
          </w:p>
        </w:tc>
        <w:tc>
          <w:tcPr>
            <w:tcW w:w="605" w:type="pct"/>
            <w:shd w:val="clear" w:color="auto" w:fill="auto"/>
            <w:tcMar>
              <w:top w:w="28" w:type="dxa"/>
              <w:left w:w="28" w:type="dxa"/>
              <w:bottom w:w="28" w:type="dxa"/>
              <w:right w:w="28" w:type="dxa"/>
            </w:tcMar>
            <w:vAlign w:val="center"/>
          </w:tcPr>
          <w:p>
            <w:pPr>
              <w:pStyle w:val="0"/>
              <w:rPr>
                <w:rFonts w:hint="default"/>
              </w:rPr>
            </w:pPr>
            <w:r>
              <w:rPr>
                <w:rFonts w:hint="default"/>
              </w:rPr>
              <w:t>動機付け支援</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477</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529</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548</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568</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586</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604</w:t>
            </w:r>
          </w:p>
        </w:tc>
      </w:tr>
      <w:tr>
        <w:trPr>
          <w:trHeight w:val="20" w:hRule="atLeast"/>
        </w:trPr>
        <w:tc>
          <w:tcPr>
            <w:tcW w:w="341" w:type="pct"/>
            <w:vMerge w:val="continue"/>
            <w:tcMar>
              <w:top w:w="28" w:type="dxa"/>
              <w:left w:w="28" w:type="dxa"/>
              <w:bottom w:w="28" w:type="dxa"/>
              <w:right w:w="28" w:type="dxa"/>
            </w:tcMar>
            <w:vAlign w:val="center"/>
          </w:tcPr>
          <w:p>
            <w:pPr>
              <w:pStyle w:val="0"/>
              <w:rPr>
                <w:rFonts w:hint="default"/>
              </w:rPr>
            </w:pPr>
          </w:p>
        </w:tc>
        <w:tc>
          <w:tcPr>
            <w:tcW w:w="488"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実施者数</w:t>
            </w:r>
          </w:p>
          <w:p>
            <w:pPr>
              <w:pStyle w:val="0"/>
              <w:rPr>
                <w:rFonts w:hint="default"/>
              </w:rPr>
            </w:pPr>
            <w:r>
              <w:rPr>
                <w:rFonts w:hint="default"/>
              </w:rPr>
              <w:t>（人）</w:t>
            </w:r>
          </w:p>
        </w:tc>
        <w:tc>
          <w:tcPr>
            <w:tcW w:w="605" w:type="pct"/>
            <w:shd w:val="clear" w:color="auto" w:fill="auto"/>
            <w:tcMar>
              <w:top w:w="28" w:type="dxa"/>
              <w:left w:w="28" w:type="dxa"/>
              <w:bottom w:w="28" w:type="dxa"/>
              <w:right w:w="28" w:type="dxa"/>
            </w:tcMar>
            <w:vAlign w:val="center"/>
          </w:tcPr>
          <w:p>
            <w:pPr>
              <w:pStyle w:val="0"/>
              <w:rPr>
                <w:rFonts w:hint="default"/>
              </w:rPr>
            </w:pPr>
            <w:r>
              <w:rPr>
                <w:rFonts w:hint="default"/>
              </w:rPr>
              <w:t>合計</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218</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262</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293</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326</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359</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394</w:t>
            </w:r>
          </w:p>
        </w:tc>
      </w:tr>
      <w:tr>
        <w:trPr>
          <w:trHeight w:val="20" w:hRule="atLeast"/>
        </w:trPr>
        <w:tc>
          <w:tcPr>
            <w:tcW w:w="341" w:type="pct"/>
            <w:vMerge w:val="continue"/>
            <w:tcMar>
              <w:top w:w="28" w:type="dxa"/>
              <w:left w:w="28" w:type="dxa"/>
              <w:bottom w:w="28" w:type="dxa"/>
              <w:right w:w="28" w:type="dxa"/>
            </w:tcMar>
            <w:vAlign w:val="center"/>
          </w:tcPr>
          <w:p>
            <w:pPr>
              <w:pStyle w:val="0"/>
              <w:rPr>
                <w:rFonts w:hint="default"/>
              </w:rPr>
            </w:pPr>
          </w:p>
        </w:tc>
        <w:tc>
          <w:tcPr>
            <w:tcW w:w="488" w:type="pct"/>
            <w:vMerge w:val="continue"/>
            <w:tcMar>
              <w:top w:w="28" w:type="dxa"/>
              <w:left w:w="28" w:type="dxa"/>
              <w:bottom w:w="28" w:type="dxa"/>
              <w:right w:w="28" w:type="dxa"/>
            </w:tcMar>
            <w:vAlign w:val="center"/>
          </w:tcPr>
          <w:p>
            <w:pPr>
              <w:pStyle w:val="0"/>
              <w:rPr>
                <w:rFonts w:hint="default"/>
              </w:rPr>
            </w:pPr>
          </w:p>
        </w:tc>
        <w:tc>
          <w:tcPr>
            <w:tcW w:w="605" w:type="pct"/>
            <w:shd w:val="clear" w:color="auto" w:fill="auto"/>
            <w:tcMar>
              <w:top w:w="28" w:type="dxa"/>
              <w:left w:w="28" w:type="dxa"/>
              <w:bottom w:w="28" w:type="dxa"/>
              <w:right w:w="28" w:type="dxa"/>
            </w:tcMar>
            <w:vAlign w:val="center"/>
          </w:tcPr>
          <w:p>
            <w:pPr>
              <w:pStyle w:val="0"/>
              <w:rPr>
                <w:rFonts w:hint="default"/>
              </w:rPr>
            </w:pPr>
            <w:r>
              <w:rPr>
                <w:rFonts w:hint="default"/>
              </w:rPr>
              <w:t>積極的支援</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51</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61</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68</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76</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84</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92</w:t>
            </w:r>
          </w:p>
        </w:tc>
      </w:tr>
      <w:tr>
        <w:trPr>
          <w:trHeight w:val="20" w:hRule="atLeast"/>
        </w:trPr>
        <w:tc>
          <w:tcPr>
            <w:tcW w:w="341" w:type="pct"/>
            <w:vMerge w:val="continue"/>
            <w:tcMar>
              <w:top w:w="28" w:type="dxa"/>
              <w:left w:w="28" w:type="dxa"/>
              <w:bottom w:w="28" w:type="dxa"/>
              <w:right w:w="28" w:type="dxa"/>
            </w:tcMar>
            <w:vAlign w:val="center"/>
          </w:tcPr>
          <w:p>
            <w:pPr>
              <w:pStyle w:val="0"/>
              <w:rPr>
                <w:rFonts w:hint="default"/>
              </w:rPr>
            </w:pPr>
          </w:p>
        </w:tc>
        <w:tc>
          <w:tcPr>
            <w:tcW w:w="488" w:type="pct"/>
            <w:vMerge w:val="continue"/>
            <w:tcMar>
              <w:top w:w="28" w:type="dxa"/>
              <w:left w:w="28" w:type="dxa"/>
              <w:bottom w:w="28" w:type="dxa"/>
              <w:right w:w="28" w:type="dxa"/>
            </w:tcMar>
            <w:vAlign w:val="center"/>
          </w:tcPr>
          <w:p>
            <w:pPr>
              <w:pStyle w:val="0"/>
              <w:rPr>
                <w:rFonts w:hint="default"/>
              </w:rPr>
            </w:pPr>
          </w:p>
        </w:tc>
        <w:tc>
          <w:tcPr>
            <w:tcW w:w="605" w:type="pct"/>
            <w:shd w:val="clear" w:color="auto" w:fill="auto"/>
            <w:tcMar>
              <w:top w:w="28" w:type="dxa"/>
              <w:left w:w="28" w:type="dxa"/>
              <w:bottom w:w="28" w:type="dxa"/>
              <w:right w:w="28" w:type="dxa"/>
            </w:tcMar>
            <w:vAlign w:val="center"/>
          </w:tcPr>
          <w:p>
            <w:pPr>
              <w:pStyle w:val="0"/>
              <w:rPr>
                <w:rFonts w:hint="default"/>
              </w:rPr>
            </w:pPr>
            <w:r>
              <w:rPr>
                <w:rFonts w:hint="default"/>
              </w:rPr>
              <w:t>動機付け支援</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167</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201</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225</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250</w:t>
            </w:r>
          </w:p>
        </w:tc>
        <w:tc>
          <w:tcPr>
            <w:tcW w:w="594" w:type="pct"/>
            <w:shd w:val="clear" w:color="auto" w:fill="auto"/>
            <w:tcMar>
              <w:top w:w="28" w:type="dxa"/>
              <w:left w:w="28" w:type="dxa"/>
              <w:bottom w:w="28" w:type="dxa"/>
              <w:right w:w="28" w:type="dxa"/>
            </w:tcMar>
            <w:vAlign w:val="center"/>
          </w:tcPr>
          <w:p>
            <w:pPr>
              <w:pStyle w:val="0"/>
              <w:jc w:val="right"/>
              <w:rPr>
                <w:rFonts w:hint="default"/>
              </w:rPr>
            </w:pPr>
            <w:r>
              <w:rPr>
                <w:rFonts w:hint="eastAsia"/>
              </w:rPr>
              <w:t>275</w:t>
            </w:r>
          </w:p>
        </w:tc>
        <w:tc>
          <w:tcPr>
            <w:tcW w:w="595" w:type="pct"/>
            <w:shd w:val="clear" w:color="auto" w:fill="auto"/>
            <w:tcMar>
              <w:top w:w="28" w:type="dxa"/>
              <w:left w:w="28" w:type="dxa"/>
              <w:bottom w:w="28" w:type="dxa"/>
              <w:right w:w="28" w:type="dxa"/>
            </w:tcMar>
            <w:vAlign w:val="center"/>
          </w:tcPr>
          <w:p>
            <w:pPr>
              <w:pStyle w:val="0"/>
              <w:jc w:val="right"/>
              <w:rPr>
                <w:rFonts w:hint="default"/>
              </w:rPr>
            </w:pPr>
            <w:r>
              <w:rPr>
                <w:rFonts w:hint="eastAsia"/>
              </w:rPr>
              <w:t>302</w:t>
            </w:r>
          </w:p>
        </w:tc>
      </w:tr>
    </w:tbl>
    <w:p>
      <w:pPr>
        <w:pStyle w:val="42"/>
        <w:rPr>
          <w:rFonts w:hint="default"/>
        </w:rPr>
      </w:pPr>
      <w:r>
        <w:rPr>
          <w:rFonts w:hint="default"/>
        </w:rPr>
        <w:t>※</w:t>
      </w:r>
      <w:r>
        <w:rPr>
          <w:rFonts w:hint="eastAsia"/>
        </w:rPr>
        <w:t>各</w:t>
      </w:r>
      <w:r>
        <w:rPr>
          <w:rFonts w:hint="default"/>
        </w:rPr>
        <w:t>見込み数の算出方法</w:t>
      </w:r>
    </w:p>
    <w:p>
      <w:pPr>
        <w:pStyle w:val="42"/>
        <w:ind w:left="373" w:leftChars="233" w:firstLine="0" w:firstLineChars="0"/>
        <w:rPr>
          <w:rFonts w:hint="default"/>
        </w:rPr>
      </w:pPr>
      <w:r>
        <w:rPr>
          <w:rFonts w:hint="default"/>
        </w:rPr>
        <w:t>特定健診対象者数：</w:t>
      </w:r>
      <w:r>
        <w:rPr>
          <w:rFonts w:hint="default"/>
        </w:rPr>
        <w:t>40</w:t>
      </w:r>
      <w:r>
        <w:rPr>
          <w:rFonts w:hint="eastAsia"/>
        </w:rPr>
        <w:t>-</w:t>
      </w:r>
      <w:r>
        <w:rPr>
          <w:rFonts w:hint="default"/>
        </w:rPr>
        <w:t>6</w:t>
      </w:r>
      <w:r>
        <w:rPr>
          <w:rFonts w:hint="eastAsia"/>
        </w:rPr>
        <w:t>4</w:t>
      </w:r>
      <w:r>
        <w:rPr>
          <w:rFonts w:hint="default"/>
        </w:rPr>
        <w:t>歳、</w:t>
      </w:r>
      <w:r>
        <w:rPr>
          <w:rFonts w:hint="default"/>
        </w:rPr>
        <w:t>65</w:t>
      </w:r>
      <w:r>
        <w:rPr>
          <w:rFonts w:hint="eastAsia"/>
        </w:rPr>
        <w:t>-</w:t>
      </w:r>
      <w:r>
        <w:rPr>
          <w:rFonts w:hint="default"/>
        </w:rPr>
        <w:t>74</w:t>
      </w:r>
      <w:r>
        <w:rPr>
          <w:rFonts w:hint="default"/>
        </w:rPr>
        <w:t>歳の推計人口に</w:t>
      </w:r>
      <w:r>
        <w:rPr>
          <w:rFonts w:hint="eastAsia"/>
        </w:rPr>
        <w:t>令和</w:t>
      </w:r>
      <w:r>
        <w:rPr>
          <w:rFonts w:hint="eastAsia"/>
        </w:rPr>
        <w:t>4</w:t>
      </w:r>
      <w:r>
        <w:rPr>
          <w:rFonts w:hint="eastAsia"/>
        </w:rPr>
        <w:t>年度の</w:t>
      </w:r>
      <w:r>
        <w:rPr>
          <w:rFonts w:hint="default"/>
        </w:rPr>
        <w:t>各層の国保加入率を乗じて算出</w:t>
      </w:r>
    </w:p>
    <w:p>
      <w:pPr>
        <w:pStyle w:val="42"/>
        <w:ind w:left="373" w:leftChars="233" w:firstLine="0" w:firstLineChars="0"/>
        <w:rPr>
          <w:rFonts w:hint="default"/>
        </w:rPr>
      </w:pPr>
      <w:r>
        <w:rPr>
          <w:rFonts w:hint="eastAsia"/>
        </w:rPr>
        <w:t>特定健診受診者数：特定健診対象者数に特定健診受診率の目標値を乗じて算出</w:t>
      </w:r>
    </w:p>
    <w:p>
      <w:pPr>
        <w:pStyle w:val="42"/>
        <w:ind w:left="373" w:leftChars="233" w:firstLine="0" w:firstLineChars="0"/>
        <w:rPr>
          <w:rFonts w:hint="default"/>
        </w:rPr>
      </w:pPr>
      <w:r>
        <w:rPr>
          <w:rFonts w:hint="eastAsia"/>
        </w:rPr>
        <w:t>特定保健指導対象者数：合計値は、特定健診受診者数に令和</w:t>
      </w:r>
      <w:r>
        <w:rPr>
          <w:rFonts w:hint="eastAsia"/>
        </w:rPr>
        <w:t>4</w:t>
      </w:r>
      <w:r>
        <w:rPr>
          <w:rFonts w:hint="eastAsia"/>
        </w:rPr>
        <w:t>年度の特定保健指導該当者割合を乗じて算出</w:t>
      </w:r>
    </w:p>
    <w:p>
      <w:pPr>
        <w:pStyle w:val="42"/>
        <w:ind w:left="373" w:leftChars="233" w:firstLine="0" w:firstLineChars="0"/>
        <w:rPr>
          <w:rFonts w:hint="default"/>
        </w:rPr>
      </w:pPr>
      <w:r>
        <w:rPr>
          <w:rFonts w:hint="eastAsia"/>
        </w:rPr>
        <w:t>支援区分別対象者数は、合計値に令和</w:t>
      </w:r>
      <w:r>
        <w:rPr>
          <w:rFonts w:hint="eastAsia"/>
        </w:rPr>
        <w:t>4</w:t>
      </w:r>
      <w:r>
        <w:rPr>
          <w:rFonts w:hint="eastAsia"/>
        </w:rPr>
        <w:t>年度の対象者割合を乗じて算出</w:t>
      </w:r>
    </w:p>
    <w:p>
      <w:pPr>
        <w:pStyle w:val="42"/>
        <w:ind w:left="373" w:leftChars="233" w:firstLine="0" w:firstLineChars="0"/>
        <w:rPr>
          <w:rFonts w:hint="default"/>
        </w:rPr>
      </w:pPr>
      <w:r>
        <w:rPr>
          <w:rFonts w:hint="eastAsia"/>
        </w:rPr>
        <w:t>特定保健指導実施者数：特定保健指導対象者数に特定保健指導実施率の目標値を乗じて算出</w:t>
      </w:r>
    </w:p>
    <w:p>
      <w:pPr>
        <w:pStyle w:val="0"/>
        <w:rPr>
          <w:rFonts w:hint="default"/>
        </w:rPr>
      </w:pPr>
      <w:r>
        <w:rPr>
          <w:rFonts w:hint="default"/>
        </w:rPr>
        <w:br w:type="page"/>
      </w:r>
    </w:p>
    <w:p>
      <w:pPr>
        <w:pStyle w:val="2"/>
        <w:rPr>
          <w:rFonts w:hint="default"/>
        </w:rPr>
      </w:pPr>
      <w:bookmarkStart w:id="275" w:name="_Toc162548751"/>
      <w:r>
        <w:rPr>
          <w:rFonts w:hint="default"/>
        </w:rPr>
        <w:t>特定</w:t>
      </w:r>
      <w:r>
        <w:rPr>
          <w:rFonts w:hint="eastAsia"/>
        </w:rPr>
        <w:t>健診</w:t>
      </w:r>
      <w:r>
        <w:rPr>
          <w:rFonts w:hint="default"/>
        </w:rPr>
        <w:t>・特定保健指導の実施方法</w:t>
      </w:r>
      <w:bookmarkEnd w:id="275"/>
    </w:p>
    <w:p>
      <w:pPr>
        <w:pStyle w:val="3"/>
        <w:rPr>
          <w:rFonts w:hint="default"/>
        </w:rPr>
      </w:pPr>
      <w:bookmarkStart w:id="276" w:name="_Toc162548752"/>
      <w:r>
        <w:rPr>
          <w:rFonts w:hint="default"/>
        </w:rPr>
        <w:t>特定健診</w:t>
      </w:r>
      <w:bookmarkEnd w:id="276"/>
    </w:p>
    <w:p>
      <w:pPr>
        <w:pStyle w:val="4"/>
        <w:rPr>
          <w:rFonts w:hint="default"/>
        </w:rPr>
      </w:pPr>
      <w:r>
        <w:rPr>
          <w:rFonts w:hint="default"/>
        </w:rPr>
        <w:t>実施目的</w:t>
      </w:r>
    </w:p>
    <w:p>
      <w:pPr>
        <w:pStyle w:val="39"/>
        <w:ind w:firstLine="200"/>
        <w:rPr>
          <w:rFonts w:hint="default"/>
        </w:rPr>
      </w:pPr>
      <w:r>
        <w:rPr>
          <w:rFonts w:hint="default"/>
        </w:rPr>
        <w:t>「特定</w:t>
      </w:r>
      <w:r>
        <w:rPr>
          <w:rFonts w:hint="eastAsia"/>
        </w:rPr>
        <w:t>健康診査</w:t>
      </w:r>
      <w:r>
        <w:rPr>
          <w:rFonts w:hint="default"/>
        </w:rPr>
        <w:t>及び特定保健指導の適切かつ有効な実施を図るための基本的な指針」（以下、基本指針）にあるとおり、特定健診は、糖尿病等の生活習慣病の発症や重症化を予防することを目的として、メタボリックシンドロームに着目し、生活習慣を改善するための特定保健指導を必要とする者を的確に抽出するために行う。</w:t>
      </w:r>
    </w:p>
    <w:p>
      <w:pPr>
        <w:pStyle w:val="39"/>
        <w:ind w:firstLine="200"/>
        <w:rPr>
          <w:rFonts w:hint="default"/>
        </w:rPr>
      </w:pPr>
      <w:r>
        <w:rPr>
          <w:rFonts w:hint="default"/>
        </w:rPr>
        <w:t>対象者は、八街市国民健康保険加入者で、当該年度に</w:t>
      </w:r>
      <w:r>
        <w:rPr>
          <w:rFonts w:hint="default"/>
        </w:rPr>
        <w:t>40</w:t>
      </w:r>
      <w:r>
        <w:rPr>
          <w:rFonts w:hint="default"/>
        </w:rPr>
        <w:t>歳から</w:t>
      </w:r>
      <w:r>
        <w:rPr>
          <w:rFonts w:hint="default"/>
        </w:rPr>
        <w:t>74</w:t>
      </w:r>
      <w:r>
        <w:rPr>
          <w:rFonts w:hint="default"/>
        </w:rPr>
        <w:t>歳となる</w:t>
      </w:r>
      <w:r>
        <w:rPr>
          <w:rFonts w:hint="eastAsia"/>
        </w:rPr>
        <w:t>もの</w:t>
      </w:r>
      <w:r>
        <w:rPr>
          <w:rFonts w:hint="default"/>
        </w:rPr>
        <w:t>に実施する。</w:t>
      </w:r>
    </w:p>
    <w:p>
      <w:pPr>
        <w:pStyle w:val="39"/>
        <w:ind w:left="0" w:firstLine="200"/>
        <w:rPr>
          <w:rFonts w:hint="default"/>
        </w:rPr>
      </w:pPr>
      <w:r>
        <w:rPr>
          <w:rFonts w:hint="eastAsia"/>
          <w:b w:val="1"/>
        </w:rPr>
        <w:t>②　</w:t>
      </w:r>
      <w:r>
        <w:rPr>
          <w:rFonts w:hint="default"/>
          <w:b w:val="1"/>
        </w:rPr>
        <w:t>対象</w:t>
      </w:r>
      <w:r>
        <w:rPr>
          <w:rFonts w:hint="eastAsia"/>
          <w:b w:val="1"/>
        </w:rPr>
        <w:t>者</w:t>
      </w:r>
    </w:p>
    <w:p>
      <w:pPr>
        <w:pStyle w:val="39"/>
        <w:ind w:left="320" w:leftChars="200" w:firstLine="200"/>
        <w:rPr>
          <w:rFonts w:hint="default"/>
        </w:rPr>
      </w:pPr>
      <w:r>
        <w:rPr>
          <w:rFonts w:hint="default"/>
        </w:rPr>
        <w:t>八街市国民健康保険</w:t>
      </w:r>
      <w:r>
        <w:rPr>
          <w:rFonts w:hint="eastAsia"/>
        </w:rPr>
        <w:t>被保険者</w:t>
      </w:r>
      <w:r>
        <w:rPr>
          <w:rFonts w:hint="default"/>
        </w:rPr>
        <w:t>で、当該年度に</w:t>
      </w:r>
      <w:r>
        <w:rPr>
          <w:rFonts w:hint="default"/>
        </w:rPr>
        <w:t>40</w:t>
      </w:r>
      <w:r>
        <w:rPr>
          <w:rFonts w:hint="default"/>
        </w:rPr>
        <w:t>歳から</w:t>
      </w:r>
      <w:r>
        <w:rPr>
          <w:rFonts w:hint="default"/>
        </w:rPr>
        <w:t>74</w:t>
      </w:r>
      <w:r>
        <w:rPr>
          <w:rFonts w:hint="default"/>
        </w:rPr>
        <w:t>歳となる</w:t>
      </w:r>
      <w:r>
        <w:rPr>
          <w:rFonts w:hint="eastAsia"/>
        </w:rPr>
        <w:t>人及び</w:t>
      </w:r>
      <w:r>
        <w:rPr>
          <w:rFonts w:hint="eastAsia"/>
        </w:rPr>
        <w:t>75</w:t>
      </w:r>
      <w:r>
        <w:rPr>
          <w:rFonts w:hint="eastAsia"/>
        </w:rPr>
        <w:t>歳になる人のうち健診日当日</w:t>
      </w:r>
      <w:r>
        <w:rPr>
          <w:rFonts w:hint="eastAsia"/>
        </w:rPr>
        <w:t>74</w:t>
      </w:r>
      <w:r>
        <w:rPr>
          <w:rFonts w:hint="eastAsia"/>
        </w:rPr>
        <w:t>歳の人</w:t>
      </w:r>
      <w:r>
        <w:rPr>
          <w:rFonts w:hint="default"/>
        </w:rPr>
        <w:t>に実施する。</w:t>
      </w:r>
    </w:p>
    <w:p>
      <w:pPr>
        <w:pStyle w:val="4"/>
        <w:numPr>
          <w:ilvl w:val="3"/>
          <w:numId w:val="0"/>
        </w:numPr>
        <w:ind w:left="227"/>
        <w:rPr>
          <w:rFonts w:hint="default"/>
        </w:rPr>
      </w:pPr>
      <w:r>
        <w:rPr>
          <w:rFonts w:hint="eastAsia"/>
        </w:rPr>
        <w:t>③　</w:t>
      </w:r>
      <w:r>
        <w:rPr>
          <w:rFonts w:hint="default"/>
        </w:rPr>
        <w:t>実施</w:t>
      </w:r>
      <w:r>
        <w:rPr>
          <w:rFonts w:hint="eastAsia"/>
        </w:rPr>
        <w:t>方法</w:t>
      </w:r>
    </w:p>
    <w:p>
      <w:pPr>
        <w:pStyle w:val="39"/>
        <w:ind w:firstLine="200"/>
        <w:rPr>
          <w:rFonts w:hint="default"/>
        </w:rPr>
      </w:pPr>
      <w:r>
        <w:rPr>
          <w:rFonts w:hint="default"/>
        </w:rPr>
        <w:t>集団健診</w:t>
      </w:r>
      <w:r>
        <w:rPr>
          <w:rFonts w:hint="eastAsia"/>
        </w:rPr>
        <w:t>及び個別健診にて実施する。</w:t>
      </w:r>
    </w:p>
    <w:p>
      <w:pPr>
        <w:pStyle w:val="39"/>
        <w:ind w:firstLine="200"/>
        <w:rPr>
          <w:rFonts w:hint="default"/>
        </w:rPr>
      </w:pPr>
      <w:r>
        <w:rPr>
          <w:rFonts w:hint="default"/>
        </w:rPr>
        <w:t>実施</w:t>
      </w:r>
      <w:r>
        <w:rPr>
          <w:rFonts w:hint="eastAsia"/>
        </w:rPr>
        <w:t>時期や</w:t>
      </w:r>
      <w:r>
        <w:rPr>
          <w:rFonts w:hint="default"/>
        </w:rPr>
        <w:t>場所は、特定健診を受ける</w:t>
      </w:r>
      <w:r>
        <w:rPr>
          <w:rFonts w:hint="eastAsia"/>
        </w:rPr>
        <w:t>人</w:t>
      </w:r>
      <w:r>
        <w:rPr>
          <w:rFonts w:hint="default"/>
        </w:rPr>
        <w:t>の利便性</w:t>
      </w:r>
      <w:r>
        <w:rPr>
          <w:rFonts w:hint="eastAsia"/>
        </w:rPr>
        <w:t>を</w:t>
      </w:r>
      <w:r>
        <w:rPr>
          <w:rFonts w:hint="default"/>
        </w:rPr>
        <w:t>考慮し選定</w:t>
      </w:r>
      <w:r>
        <w:rPr>
          <w:rFonts w:hint="eastAsia"/>
        </w:rPr>
        <w:t>し、委託先の医療機関と協議</w:t>
      </w:r>
      <w:r>
        <w:rPr>
          <w:rFonts w:hint="default"/>
        </w:rPr>
        <w:t>する。</w:t>
      </w:r>
    </w:p>
    <w:p>
      <w:pPr>
        <w:pStyle w:val="39"/>
        <w:ind w:firstLine="200"/>
        <w:rPr>
          <w:rFonts w:hint="default"/>
        </w:rPr>
      </w:pPr>
      <w:r>
        <w:rPr>
          <w:rFonts w:hint="eastAsia"/>
        </w:rPr>
        <w:t>対象者へ受診票を送付し、</w:t>
      </w:r>
      <w:r>
        <w:rPr>
          <w:rFonts w:hint="default"/>
        </w:rPr>
        <w:t>実施</w:t>
      </w:r>
      <w:r>
        <w:rPr>
          <w:rFonts w:hint="eastAsia"/>
        </w:rPr>
        <w:t>を</w:t>
      </w:r>
      <w:r>
        <w:rPr>
          <w:rFonts w:hint="default"/>
        </w:rPr>
        <w:t>周知する。</w:t>
      </w:r>
    </w:p>
    <w:p>
      <w:pPr>
        <w:pStyle w:val="4"/>
        <w:numPr>
          <w:ilvl w:val="3"/>
          <w:numId w:val="0"/>
        </w:numPr>
        <w:ind w:left="227"/>
        <w:rPr>
          <w:rFonts w:hint="default"/>
        </w:rPr>
      </w:pPr>
      <w:r>
        <w:rPr>
          <w:rFonts w:hint="eastAsia"/>
        </w:rPr>
        <w:t>④　実施項目</w:t>
      </w:r>
    </w:p>
    <w:p>
      <w:pPr>
        <w:pStyle w:val="39"/>
        <w:ind w:firstLine="200"/>
        <w:rPr>
          <w:rFonts w:hint="default"/>
        </w:rPr>
      </w:pPr>
      <w:r>
        <w:rPr>
          <w:rFonts w:hint="default"/>
        </w:rPr>
        <w:t>「高齢者の医療の確保に関する法律」に基づく「特定健康診査及び特定保健指導の実施に関する基準」で定められた項目に従い、</w:t>
      </w:r>
      <w:r>
        <w:rPr>
          <w:rFonts w:hint="eastAsia"/>
        </w:rPr>
        <w:t>特定</w:t>
      </w:r>
      <w:r>
        <w:rPr>
          <w:rFonts w:hint="default"/>
        </w:rPr>
        <w:t>健診受診者全員に</w:t>
      </w:r>
      <w:r>
        <w:rPr>
          <w:rFonts w:hint="eastAsia"/>
        </w:rPr>
        <w:fldChar w:fldCharType="begin"/>
      </w:r>
      <w:r>
        <w:rPr>
          <w:rFonts w:hint="eastAsia"/>
        </w:rPr>
        <w:instrText xml:space="preserve">REF _Ref123737225 \h </w:instrText>
      </w:r>
      <w:r>
        <w:rPr>
          <w:rFonts w:hint="eastAsia"/>
        </w:rPr>
        <w:fldChar w:fldCharType="separate"/>
      </w:r>
      <w:r>
        <w:rPr>
          <w:rFonts w:hint="default"/>
        </w:rPr>
        <w:t>図表</w:t>
      </w:r>
      <w:r>
        <w:rPr>
          <w:rFonts w:hint="default"/>
        </w:rPr>
        <w:t>10-3-1-1</w:t>
      </w:r>
      <w:r>
        <w:rPr>
          <w:rFonts w:hint="eastAsia"/>
        </w:rPr>
        <w:fldChar w:fldCharType="end"/>
      </w:r>
      <w:r>
        <w:rPr>
          <w:rFonts w:hint="default"/>
        </w:rPr>
        <w:t>の「基本的な健診項目」</w:t>
      </w:r>
      <w:r>
        <w:rPr>
          <w:rFonts w:hint="eastAsia"/>
        </w:rPr>
        <w:t>及び「詳細な健診項目」のうち貧血検査、クレアチニン検査を</w:t>
      </w:r>
      <w:r>
        <w:rPr>
          <w:rFonts w:hint="default"/>
        </w:rPr>
        <w:t>実施する。また、一定の基準のもと医師が必要と判断した場合には、「詳細な健診項目」</w:t>
      </w:r>
      <w:r>
        <w:rPr>
          <w:rFonts w:hint="eastAsia"/>
        </w:rPr>
        <w:t>のうち心電図検査、眼底検査</w:t>
      </w:r>
      <w:r>
        <w:rPr>
          <w:rFonts w:hint="default"/>
        </w:rPr>
        <w:t>を実施する。</w:t>
      </w:r>
    </w:p>
    <w:p>
      <w:pPr>
        <w:pStyle w:val="0"/>
        <w:rPr>
          <w:rFonts w:hint="default"/>
        </w:rPr>
      </w:pPr>
    </w:p>
    <w:p>
      <w:pPr>
        <w:pStyle w:val="38"/>
        <w:rPr>
          <w:rFonts w:hint="default"/>
        </w:rPr>
      </w:pPr>
      <w:bookmarkStart w:id="277" w:name="_Ref123737225"/>
      <w:bookmarkStart w:id="278" w:name="_Toc124936877"/>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default"/>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default"/>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1</w:t>
      </w:r>
      <w:r>
        <w:rPr>
          <w:rFonts w:hint="eastAsia"/>
        </w:rPr>
        <w:fldChar w:fldCharType="end"/>
      </w:r>
      <w:r>
        <w:rPr>
          <w:rFonts w:hint="default"/>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bookmarkEnd w:id="277"/>
      <w:r>
        <w:rPr>
          <w:rFonts w:hint="default"/>
        </w:rPr>
        <w:t>：特定健診の健診項目</w:t>
      </w:r>
      <w:bookmarkEnd w:id="278"/>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989"/>
        <w:gridCol w:w="7386"/>
      </w:tblGrid>
      <w:tr>
        <w:trPr>
          <w:trHeight w:val="20" w:hRule="atLeast"/>
        </w:trPr>
        <w:tc>
          <w:tcPr>
            <w:tcW w:w="1061" w:type="pct"/>
            <w:shd w:val="clear" w:color="auto" w:fill="CCD6FF"/>
            <w:tcMar>
              <w:top w:w="28" w:type="dxa"/>
              <w:left w:w="28" w:type="dxa"/>
              <w:bottom w:w="28" w:type="dxa"/>
              <w:right w:w="28" w:type="dxa"/>
            </w:tcMar>
            <w:vAlign w:val="center"/>
          </w:tcPr>
          <w:p>
            <w:pPr>
              <w:pStyle w:val="0"/>
              <w:jc w:val="center"/>
              <w:rPr>
                <w:rFonts w:hint="default"/>
                <w:b w:val="1"/>
              </w:rPr>
            </w:pPr>
          </w:p>
        </w:tc>
        <w:tc>
          <w:tcPr>
            <w:tcW w:w="3939"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項目</w:t>
            </w:r>
          </w:p>
        </w:tc>
      </w:tr>
      <w:tr>
        <w:trPr>
          <w:trHeight w:val="20" w:hRule="atLeast"/>
        </w:trPr>
        <w:tc>
          <w:tcPr>
            <w:tcW w:w="1061" w:type="pct"/>
            <w:shd w:val="clear" w:color="auto" w:fill="auto"/>
            <w:tcMar>
              <w:top w:w="28" w:type="dxa"/>
              <w:left w:w="28" w:type="dxa"/>
              <w:bottom w:w="28" w:type="dxa"/>
              <w:right w:w="28" w:type="dxa"/>
            </w:tcMar>
            <w:vAlign w:val="center"/>
          </w:tcPr>
          <w:p>
            <w:pPr>
              <w:pStyle w:val="0"/>
              <w:rPr>
                <w:rFonts w:hint="default"/>
              </w:rPr>
            </w:pPr>
            <w:r>
              <w:rPr>
                <w:rFonts w:hint="default"/>
              </w:rPr>
              <w:t>基本的な健診項目</w:t>
            </w:r>
          </w:p>
        </w:tc>
        <w:tc>
          <w:tcPr>
            <w:tcW w:w="3939" w:type="pct"/>
            <w:shd w:val="clear" w:color="auto" w:fill="auto"/>
            <w:tcMar>
              <w:top w:w="28" w:type="dxa"/>
              <w:left w:w="28" w:type="dxa"/>
              <w:bottom w:w="28" w:type="dxa"/>
              <w:right w:w="28" w:type="dxa"/>
            </w:tcMar>
            <w:vAlign w:val="center"/>
          </w:tcPr>
          <w:p>
            <w:pPr>
              <w:pStyle w:val="0"/>
              <w:rPr>
                <w:rFonts w:hint="default"/>
              </w:rPr>
            </w:pPr>
            <w:r>
              <w:rPr>
                <w:rFonts w:hint="eastAsia"/>
              </w:rPr>
              <w:t>・</w:t>
            </w:r>
            <w:r>
              <w:rPr>
                <w:rFonts w:hint="default"/>
              </w:rPr>
              <w:t>診察（既往</w:t>
            </w:r>
            <w:r>
              <w:rPr>
                <w:rFonts w:hint="eastAsia"/>
              </w:rPr>
              <w:t>歴（</w:t>
            </w:r>
            <w:r>
              <w:rPr>
                <w:rFonts w:hint="default"/>
              </w:rPr>
              <w:t>服薬歴、喫煙歴</w:t>
            </w:r>
            <w:r>
              <w:rPr>
                <w:rFonts w:hint="eastAsia"/>
              </w:rPr>
              <w:t>を含む）</w:t>
            </w:r>
            <w:r>
              <w:rPr>
                <w:rFonts w:hint="default"/>
              </w:rPr>
              <w:t>、自他覚症状）</w:t>
            </w:r>
          </w:p>
          <w:p>
            <w:pPr>
              <w:pStyle w:val="0"/>
              <w:rPr>
                <w:rFonts w:hint="default"/>
              </w:rPr>
            </w:pPr>
            <w:r>
              <w:rPr>
                <w:rFonts w:hint="eastAsia"/>
              </w:rPr>
              <w:t>・</w:t>
            </w:r>
            <w:r>
              <w:rPr>
                <w:rFonts w:hint="default"/>
              </w:rPr>
              <w:t>身体計測（身長</w:t>
            </w:r>
            <w:r>
              <w:rPr>
                <w:rFonts w:hint="eastAsia"/>
              </w:rPr>
              <w:t>、</w:t>
            </w:r>
            <w:r>
              <w:rPr>
                <w:rFonts w:hint="default"/>
              </w:rPr>
              <w:t>体重</w:t>
            </w:r>
            <w:r>
              <w:rPr>
                <w:rFonts w:hint="eastAsia"/>
              </w:rPr>
              <w:t>、</w:t>
            </w:r>
            <w:r>
              <w:rPr>
                <w:rFonts w:hint="default"/>
              </w:rPr>
              <w:t>腹囲</w:t>
            </w:r>
            <w:r>
              <w:rPr>
                <w:rFonts w:hint="eastAsia"/>
              </w:rPr>
              <w:t>、</w:t>
            </w:r>
            <w:r>
              <w:rPr>
                <w:rFonts w:hint="default"/>
              </w:rPr>
              <w:t>BMI</w:t>
            </w:r>
            <w:r>
              <w:rPr>
                <w:rFonts w:hint="default"/>
              </w:rPr>
              <w:t>）</w:t>
            </w:r>
          </w:p>
          <w:p>
            <w:pPr>
              <w:pStyle w:val="0"/>
              <w:rPr>
                <w:rFonts w:hint="default"/>
              </w:rPr>
            </w:pPr>
            <w:r>
              <w:rPr>
                <w:rFonts w:hint="eastAsia"/>
              </w:rPr>
              <w:t>・</w:t>
            </w:r>
            <w:r>
              <w:rPr>
                <w:rFonts w:hint="default"/>
              </w:rPr>
              <w:t>血圧</w:t>
            </w:r>
          </w:p>
          <w:p>
            <w:pPr>
              <w:pStyle w:val="0"/>
              <w:rPr>
                <w:rFonts w:hint="default"/>
              </w:rPr>
            </w:pPr>
            <w:r>
              <w:rPr>
                <w:rFonts w:hint="eastAsia"/>
              </w:rPr>
              <w:t>・</w:t>
            </w:r>
            <w:r>
              <w:rPr>
                <w:rFonts w:hint="default"/>
              </w:rPr>
              <w:t>血中脂質検査（</w:t>
            </w:r>
            <w:r>
              <w:rPr>
                <w:rFonts w:hint="eastAsia"/>
              </w:rPr>
              <w:t>空腹時</w:t>
            </w:r>
            <w:r>
              <w:rPr>
                <w:rFonts w:hint="default"/>
              </w:rPr>
              <w:t>中性脂肪</w:t>
            </w:r>
            <w:r>
              <w:rPr>
                <w:rFonts w:hint="eastAsia"/>
              </w:rPr>
              <w:t>（やむを得ない場合には随時中性脂肪）、</w:t>
            </w:r>
            <w:r>
              <w:rPr>
                <w:rFonts w:hint="default"/>
              </w:rPr>
              <w:t>HDL</w:t>
            </w:r>
            <w:r>
              <w:rPr>
                <w:rFonts w:hint="default"/>
              </w:rPr>
              <w:t>コレステロール、</w:t>
            </w:r>
          </w:p>
          <w:p>
            <w:pPr>
              <w:pStyle w:val="0"/>
              <w:ind w:firstLine="160" w:firstLineChars="100"/>
              <w:rPr>
                <w:rFonts w:hint="default"/>
              </w:rPr>
            </w:pPr>
            <w:r>
              <w:rPr>
                <w:rFonts w:hint="default"/>
              </w:rPr>
              <w:t>LDL</w:t>
            </w:r>
            <w:r>
              <w:rPr>
                <w:rFonts w:hint="default"/>
              </w:rPr>
              <w:t>コレステロール</w:t>
            </w:r>
            <w:r>
              <w:rPr>
                <w:rFonts w:hint="eastAsia"/>
              </w:rPr>
              <w:t>（</w:t>
            </w:r>
            <w:r>
              <w:rPr>
                <w:rFonts w:hint="default"/>
              </w:rPr>
              <w:t>Non-HDL</w:t>
            </w:r>
            <w:r>
              <w:rPr>
                <w:rFonts w:hint="default"/>
              </w:rPr>
              <w:t>コレステロール））</w:t>
            </w:r>
          </w:p>
          <w:p>
            <w:pPr>
              <w:pStyle w:val="0"/>
              <w:rPr>
                <w:rFonts w:hint="default"/>
              </w:rPr>
            </w:pPr>
            <w:r>
              <w:rPr>
                <w:rFonts w:hint="eastAsia"/>
              </w:rPr>
              <w:t>・</w:t>
            </w:r>
            <w:r>
              <w:rPr>
                <w:rFonts w:hint="default"/>
              </w:rPr>
              <w:t>肝機能検査（</w:t>
            </w:r>
            <w:r>
              <w:rPr>
                <w:rFonts w:hint="default"/>
              </w:rPr>
              <w:t>AST</w:t>
            </w:r>
            <w:r>
              <w:rPr>
                <w:rFonts w:hint="default"/>
              </w:rPr>
              <w:t>（</w:t>
            </w:r>
            <w:r>
              <w:rPr>
                <w:rFonts w:hint="default"/>
              </w:rPr>
              <w:t>GOT</w:t>
            </w:r>
            <w:r>
              <w:rPr>
                <w:rFonts w:hint="default"/>
              </w:rPr>
              <w:t>）、</w:t>
            </w:r>
            <w:r>
              <w:rPr>
                <w:rFonts w:hint="default"/>
              </w:rPr>
              <w:t>ALT</w:t>
            </w:r>
            <w:r>
              <w:rPr>
                <w:rFonts w:hint="default"/>
              </w:rPr>
              <w:t>（</w:t>
            </w:r>
            <w:r>
              <w:rPr>
                <w:rFonts w:hint="default"/>
              </w:rPr>
              <w:t>GPT</w:t>
            </w:r>
            <w:r>
              <w:rPr>
                <w:rFonts w:hint="default"/>
              </w:rPr>
              <w:t>）、</w:t>
            </w:r>
            <w:r>
              <w:rPr>
                <w:rFonts w:hint="default"/>
              </w:rPr>
              <w:t>γ-GT</w:t>
            </w:r>
            <w:r>
              <w:rPr>
                <w:rFonts w:hint="default"/>
              </w:rPr>
              <w:t>（</w:t>
            </w:r>
            <w:r>
              <w:rPr>
                <w:rFonts w:hint="default"/>
              </w:rPr>
              <w:t>γ-GTP</w:t>
            </w:r>
            <w:r>
              <w:rPr>
                <w:rFonts w:hint="default"/>
              </w:rPr>
              <w:t>））</w:t>
            </w:r>
          </w:p>
          <w:p>
            <w:pPr>
              <w:pStyle w:val="0"/>
              <w:rPr>
                <w:rFonts w:hint="default"/>
              </w:rPr>
            </w:pPr>
            <w:r>
              <w:rPr>
                <w:rFonts w:hint="eastAsia"/>
              </w:rPr>
              <w:t>・</w:t>
            </w:r>
            <w:r>
              <w:rPr>
                <w:rFonts w:hint="default"/>
              </w:rPr>
              <w:t>血糖検査（</w:t>
            </w:r>
            <w:r>
              <w:rPr>
                <w:rFonts w:hint="default"/>
              </w:rPr>
              <w:t>HbA1c</w:t>
            </w:r>
            <w:r>
              <w:rPr>
                <w:rFonts w:hint="eastAsia"/>
              </w:rPr>
              <w:t>、</w:t>
            </w:r>
            <w:r>
              <w:rPr>
                <w:rFonts w:hint="default"/>
              </w:rPr>
              <w:t>空腹時血糖</w:t>
            </w:r>
            <w:r>
              <w:rPr>
                <w:rFonts w:hint="eastAsia"/>
              </w:rPr>
              <w:t>、やむを得ない場合には随時</w:t>
            </w:r>
            <w:r>
              <w:rPr>
                <w:rFonts w:hint="default"/>
              </w:rPr>
              <w:t>血糖）</w:t>
            </w:r>
          </w:p>
          <w:p>
            <w:pPr>
              <w:pStyle w:val="0"/>
              <w:rPr>
                <w:rFonts w:hint="default"/>
              </w:rPr>
            </w:pPr>
            <w:r>
              <w:rPr>
                <w:rFonts w:hint="eastAsia"/>
              </w:rPr>
              <w:t>・</w:t>
            </w:r>
            <w:r>
              <w:rPr>
                <w:rFonts w:hint="default"/>
              </w:rPr>
              <w:t>尿検査（尿糖</w:t>
            </w:r>
            <w:r>
              <w:rPr>
                <w:rFonts w:hint="eastAsia"/>
              </w:rPr>
              <w:t>、</w:t>
            </w:r>
            <w:r>
              <w:rPr>
                <w:rFonts w:hint="default"/>
              </w:rPr>
              <w:t>尿蛋白）</w:t>
            </w:r>
          </w:p>
        </w:tc>
      </w:tr>
      <w:tr>
        <w:trPr>
          <w:trHeight w:val="20" w:hRule="atLeast"/>
        </w:trPr>
        <w:tc>
          <w:tcPr>
            <w:tcW w:w="1061" w:type="pct"/>
            <w:shd w:val="clear" w:color="auto" w:fill="auto"/>
            <w:tcMar>
              <w:top w:w="28" w:type="dxa"/>
              <w:left w:w="28" w:type="dxa"/>
              <w:bottom w:w="28" w:type="dxa"/>
              <w:right w:w="28" w:type="dxa"/>
            </w:tcMar>
            <w:vAlign w:val="center"/>
          </w:tcPr>
          <w:p>
            <w:pPr>
              <w:pStyle w:val="0"/>
              <w:rPr>
                <w:rFonts w:hint="default"/>
              </w:rPr>
            </w:pPr>
            <w:r>
              <w:rPr>
                <w:rFonts w:hint="default"/>
              </w:rPr>
              <w:t>詳細な健診項目</w:t>
            </w:r>
          </w:p>
        </w:tc>
        <w:tc>
          <w:tcPr>
            <w:tcW w:w="3939" w:type="pct"/>
            <w:shd w:val="clear" w:color="auto" w:fill="auto"/>
            <w:tcMar>
              <w:top w:w="28" w:type="dxa"/>
              <w:left w:w="28" w:type="dxa"/>
              <w:bottom w:w="28" w:type="dxa"/>
              <w:right w:w="28" w:type="dxa"/>
            </w:tcMar>
            <w:vAlign w:val="center"/>
          </w:tcPr>
          <w:p>
            <w:pPr>
              <w:pStyle w:val="0"/>
              <w:rPr>
                <w:rFonts w:hint="default"/>
              </w:rPr>
            </w:pPr>
            <w:r>
              <w:rPr>
                <w:rFonts w:hint="eastAsia"/>
              </w:rPr>
              <w:t>・</w:t>
            </w:r>
            <w:r>
              <w:rPr>
                <w:rFonts w:hint="default"/>
              </w:rPr>
              <w:t>心電図</w:t>
            </w:r>
            <w:r>
              <w:rPr>
                <w:rFonts w:hint="eastAsia"/>
              </w:rPr>
              <w:t>検査</w:t>
            </w:r>
          </w:p>
          <w:p>
            <w:pPr>
              <w:pStyle w:val="0"/>
              <w:rPr>
                <w:rFonts w:hint="default"/>
              </w:rPr>
            </w:pPr>
            <w:r>
              <w:rPr>
                <w:rFonts w:hint="eastAsia"/>
              </w:rPr>
              <w:t>・</w:t>
            </w:r>
            <w:r>
              <w:rPr>
                <w:rFonts w:hint="default"/>
              </w:rPr>
              <w:t>眼底検査</w:t>
            </w:r>
          </w:p>
          <w:p>
            <w:pPr>
              <w:pStyle w:val="0"/>
              <w:rPr>
                <w:rFonts w:hint="default"/>
              </w:rPr>
            </w:pPr>
            <w:r>
              <w:rPr>
                <w:rFonts w:hint="eastAsia"/>
              </w:rPr>
              <w:t>・</w:t>
            </w:r>
            <w:r>
              <w:rPr>
                <w:rFonts w:hint="default"/>
              </w:rPr>
              <w:t>貧血検査</w:t>
            </w:r>
          </w:p>
          <w:p>
            <w:pPr>
              <w:pStyle w:val="0"/>
              <w:rPr>
                <w:rFonts w:hint="default"/>
              </w:rPr>
            </w:pPr>
            <w:r>
              <w:rPr>
                <w:rFonts w:hint="eastAsia"/>
              </w:rPr>
              <w:t>・</w:t>
            </w:r>
            <w:r>
              <w:rPr>
                <w:rFonts w:hint="default"/>
              </w:rPr>
              <w:t>血清クレアチニン検査</w:t>
            </w:r>
          </w:p>
        </w:tc>
      </w:tr>
    </w:tbl>
    <w:p>
      <w:pPr>
        <w:pStyle w:val="44"/>
        <w:rPr>
          <w:rFonts w:hint="default"/>
        </w:rPr>
      </w:pPr>
      <w:r>
        <w:rPr>
          <w:rFonts w:hint="default"/>
        </w:rPr>
        <w:t>【出典】厚生労働省</w:t>
      </w:r>
      <w:r>
        <w:rPr>
          <w:rFonts w:hint="eastAsia"/>
        </w:rPr>
        <w:t xml:space="preserve"> </w:t>
      </w:r>
      <w:r>
        <w:rPr>
          <w:rFonts w:hint="default"/>
        </w:rPr>
        <w:t>標準的な健診・保健指導プログラム（</w:t>
      </w:r>
      <w:r>
        <w:rPr>
          <w:rFonts w:hint="eastAsia"/>
        </w:rPr>
        <w:t>令和</w:t>
      </w:r>
      <w:r>
        <w:rPr>
          <w:rFonts w:hint="eastAsia"/>
        </w:rPr>
        <w:t>6</w:t>
      </w:r>
      <w:r>
        <w:rPr>
          <w:rFonts w:hint="default"/>
        </w:rPr>
        <w:t>年度版）</w:t>
      </w:r>
    </w:p>
    <w:p>
      <w:pPr>
        <w:pStyle w:val="4"/>
        <w:numPr>
          <w:ilvl w:val="3"/>
          <w:numId w:val="0"/>
        </w:numPr>
        <w:ind w:left="227"/>
        <w:rPr>
          <w:rFonts w:hint="default"/>
        </w:rPr>
      </w:pPr>
      <w:r>
        <w:rPr>
          <w:rFonts w:hint="eastAsia"/>
        </w:rPr>
        <w:t>⑤　</w:t>
      </w:r>
      <w:r>
        <w:rPr>
          <w:rFonts w:hint="default"/>
        </w:rPr>
        <w:t>実施体制</w:t>
      </w:r>
    </w:p>
    <w:p>
      <w:pPr>
        <w:pStyle w:val="39"/>
        <w:ind w:firstLine="200"/>
        <w:rPr>
          <w:rFonts w:hint="default"/>
        </w:rPr>
      </w:pPr>
      <w:r>
        <w:rPr>
          <w:rFonts w:hint="default"/>
        </w:rPr>
        <w:t>健診の委託に際しては、利用者の利便性を考慮するとともに、健診の質の担保のために適切な精度管理維持が求められるため、国の委託基準（「特定健康診査及び特定保健指導の実施に関する基準第</w:t>
      </w:r>
      <w:r>
        <w:rPr>
          <w:rFonts w:hint="default"/>
        </w:rPr>
        <w:t>16</w:t>
      </w:r>
      <w:r>
        <w:rPr>
          <w:rFonts w:hint="eastAsia"/>
        </w:rPr>
        <w:t>条</w:t>
      </w:r>
      <w:r>
        <w:rPr>
          <w:rFonts w:hint="default"/>
        </w:rPr>
        <w:t>第</w:t>
      </w:r>
      <w:r>
        <w:rPr>
          <w:rFonts w:hint="default"/>
        </w:rPr>
        <w:t>1</w:t>
      </w:r>
      <w:r>
        <w:rPr>
          <w:rFonts w:hint="default"/>
        </w:rPr>
        <w:t>項の</w:t>
      </w:r>
      <w:r>
        <w:rPr>
          <w:rFonts w:hint="eastAsia"/>
        </w:rPr>
        <w:t>規</w:t>
      </w:r>
      <w:r>
        <w:rPr>
          <w:rFonts w:hint="default"/>
        </w:rPr>
        <w:t>定に基づき厚生労働大臣が定める者」）を満たす健診機関を選定する。詳細は契約書</w:t>
      </w:r>
      <w:r>
        <w:rPr>
          <w:rFonts w:hint="eastAsia"/>
        </w:rPr>
        <w:t>及び</w:t>
      </w:r>
      <w:r>
        <w:rPr>
          <w:rFonts w:hint="default"/>
        </w:rPr>
        <w:t>仕様書で定める。</w:t>
      </w:r>
    </w:p>
    <w:p>
      <w:pPr>
        <w:pStyle w:val="0"/>
        <w:rPr>
          <w:rFonts w:hint="default"/>
          <w:sz w:val="20"/>
        </w:rPr>
      </w:pPr>
      <w:r>
        <w:rPr>
          <w:rFonts w:hint="default"/>
        </w:rPr>
        <w:br w:type="page"/>
      </w:r>
    </w:p>
    <w:p>
      <w:pPr>
        <w:pStyle w:val="4"/>
        <w:numPr>
          <w:ilvl w:val="3"/>
          <w:numId w:val="0"/>
        </w:numPr>
        <w:ind w:left="227"/>
        <w:rPr>
          <w:rFonts w:hint="default"/>
        </w:rPr>
      </w:pPr>
      <w:r>
        <w:rPr>
          <w:rFonts w:hint="eastAsia"/>
        </w:rPr>
        <w:t>⑥　</w:t>
      </w:r>
      <w:r>
        <w:rPr>
          <w:rFonts w:hint="default"/>
        </w:rPr>
        <w:t>健診結果の通知方法</w:t>
      </w:r>
    </w:p>
    <w:p>
      <w:pPr>
        <w:pStyle w:val="39"/>
        <w:ind w:firstLine="200"/>
        <w:rPr>
          <w:rFonts w:hint="default"/>
        </w:rPr>
      </w:pPr>
      <w:r>
        <w:rPr>
          <w:rFonts w:hint="eastAsia"/>
        </w:rPr>
        <w:t>集団集団による特定</w:t>
      </w:r>
      <w:r>
        <w:rPr>
          <w:rFonts w:hint="default"/>
        </w:rPr>
        <w:t>健診受診者については、結果通知表を</w:t>
      </w:r>
      <w:r>
        <w:rPr>
          <w:rFonts w:hint="eastAsia"/>
        </w:rPr>
        <w:t>郵送にて郵送する</w:t>
      </w:r>
      <w:r>
        <w:rPr>
          <w:rFonts w:hint="default"/>
        </w:rPr>
        <w:t>。</w:t>
      </w:r>
      <w:r>
        <w:rPr>
          <w:rFonts w:hint="eastAsia"/>
        </w:rPr>
        <w:t>至急精検については判明次第ただちに電話及び郵送にて連絡をする。</w:t>
      </w:r>
    </w:p>
    <w:p>
      <w:pPr>
        <w:pStyle w:val="39"/>
        <w:ind w:firstLine="200"/>
        <w:rPr>
          <w:rFonts w:hint="default"/>
        </w:rPr>
      </w:pPr>
      <w:r>
        <w:rPr>
          <w:rFonts w:hint="eastAsia"/>
        </w:rPr>
        <w:t>個別健診による特定健診受診者については、受診した医療機関から結果通知表を通知する。至急精検については、受診した医療機関で対応する。</w:t>
      </w:r>
    </w:p>
    <w:p>
      <w:pPr>
        <w:pStyle w:val="39"/>
        <w:ind w:firstLine="200"/>
        <w:rPr>
          <w:rFonts w:hint="default"/>
        </w:rPr>
      </w:pPr>
      <w:r>
        <w:rPr>
          <w:rFonts w:hint="default"/>
        </w:rPr>
        <w:t>健診結果説明会</w:t>
      </w:r>
      <w:r>
        <w:rPr>
          <w:rFonts w:hint="eastAsia"/>
        </w:rPr>
        <w:t>については、ホームページ、広報などで周知する。</w:t>
      </w:r>
    </w:p>
    <w:p>
      <w:pPr>
        <w:pStyle w:val="4"/>
        <w:numPr>
          <w:ilvl w:val="3"/>
          <w:numId w:val="0"/>
        </w:numPr>
        <w:ind w:left="227"/>
        <w:rPr>
          <w:rFonts w:hint="default"/>
        </w:rPr>
      </w:pPr>
      <w:r>
        <w:rPr>
          <w:rFonts w:hint="eastAsia"/>
        </w:rPr>
        <w:t>⑦　</w:t>
      </w:r>
      <w:r>
        <w:rPr>
          <w:rFonts w:hint="default"/>
        </w:rPr>
        <w:t>事業者健診等の健診データ収集方法</w:t>
      </w:r>
    </w:p>
    <w:p>
      <w:pPr>
        <w:pStyle w:val="39"/>
        <w:ind w:firstLine="200"/>
        <w:rPr>
          <w:rFonts w:hint="default"/>
        </w:rPr>
      </w:pPr>
      <w:r>
        <w:rPr>
          <w:rFonts w:hint="default"/>
        </w:rPr>
        <w:t>八街市国民健康保険被保険者が「労働安全衛生法」に基づく健康診断や人間ドックを受診した場合は、本人</w:t>
      </w:r>
      <w:r>
        <w:rPr>
          <w:rFonts w:hint="eastAsia"/>
        </w:rPr>
        <w:t>及び本人からの同意により契約医療機関</w:t>
      </w:r>
      <w:r>
        <w:rPr>
          <w:rFonts w:hint="default"/>
        </w:rPr>
        <w:t>から健診結果データを提供してもらい、特定健診受診率に反映する。</w:t>
      </w:r>
    </w:p>
    <w:p>
      <w:pPr>
        <w:pStyle w:val="39"/>
        <w:ind w:firstLine="200"/>
        <w:rPr>
          <w:rFonts w:hint="default"/>
        </w:rPr>
      </w:pPr>
      <w:r>
        <w:rPr>
          <w:rFonts w:hint="default"/>
        </w:rPr>
        <w:t>また、定期的に医療機関で検査をしている者などが、特定健診と同等の検査項目を検査済の場合</w:t>
      </w:r>
      <w:r>
        <w:rPr>
          <w:rFonts w:hint="eastAsia"/>
        </w:rPr>
        <w:t>においては以下のとおり情報提供をうける。</w:t>
      </w:r>
    </w:p>
    <w:p>
      <w:pPr>
        <w:pStyle w:val="39"/>
        <w:ind w:firstLine="200"/>
        <w:rPr>
          <w:rFonts w:hint="default"/>
        </w:rPr>
      </w:pPr>
      <w:r>
        <w:rPr>
          <w:rFonts w:hint="eastAsia"/>
        </w:rPr>
        <w:t>①情報提供の委託契約を行った医療機関に検査項目がある場合は、</w:t>
      </w:r>
      <w:r>
        <w:rPr>
          <w:rFonts w:hint="default"/>
        </w:rPr>
        <w:t>本人同意のもと医療機関からデータ提供を受け、特定健診受診率に反映する。</w:t>
      </w:r>
      <w:r>
        <w:rPr>
          <w:rFonts w:hint="eastAsia"/>
        </w:rPr>
        <w:t>（みなし健診）</w:t>
      </w:r>
    </w:p>
    <w:p>
      <w:pPr>
        <w:pStyle w:val="39"/>
        <w:ind w:firstLine="200"/>
        <w:rPr>
          <w:rFonts w:hint="default"/>
        </w:rPr>
      </w:pPr>
      <w:r>
        <w:rPr>
          <w:rFonts w:hint="eastAsia"/>
        </w:rPr>
        <w:t>②情報提供の委託契約を行った医療機関以外に検査項目がある場合は、</w:t>
      </w:r>
      <w:r>
        <w:rPr>
          <w:rFonts w:hint="default"/>
        </w:rPr>
        <w:t>本人</w:t>
      </w:r>
      <w:r>
        <w:rPr>
          <w:rFonts w:hint="eastAsia"/>
        </w:rPr>
        <w:t>から情報</w:t>
      </w:r>
      <w:r>
        <w:rPr>
          <w:rFonts w:hint="default"/>
        </w:rPr>
        <w:t>提供を受け、特定健診受診率に反映する。</w:t>
      </w:r>
    </w:p>
    <w:p>
      <w:pPr>
        <w:pStyle w:val="39"/>
        <w:ind w:firstLine="200"/>
        <w:rPr>
          <w:rFonts w:hint="default"/>
        </w:rPr>
      </w:pPr>
      <w:r>
        <w:rPr>
          <w:rFonts w:hint="eastAsia"/>
        </w:rPr>
        <w:t>③</w:t>
      </w:r>
      <w:r>
        <w:rPr>
          <w:rFonts w:hint="eastAsia"/>
        </w:rPr>
        <w:t>JA</w:t>
      </w:r>
      <w:r>
        <w:rPr>
          <w:rFonts w:hint="eastAsia"/>
        </w:rPr>
        <w:t>など企業で実施する特定健診をうけている国保被保険者の場合は、</w:t>
      </w:r>
      <w:r>
        <w:rPr>
          <w:rFonts w:hint="eastAsia"/>
        </w:rPr>
        <w:t>JA</w:t>
      </w:r>
      <w:r>
        <w:rPr>
          <w:rFonts w:hint="eastAsia"/>
        </w:rPr>
        <w:t>など企業から契約により提供を受ける。もしくは、本人からの提供を受け、特定健診受診率に反映する。</w:t>
      </w: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39"/>
        <w:ind w:firstLine="200"/>
        <w:rPr>
          <w:rFonts w:hint="default"/>
        </w:rPr>
      </w:pPr>
    </w:p>
    <w:p>
      <w:pPr>
        <w:pStyle w:val="0"/>
        <w:rPr>
          <w:rFonts w:hint="default"/>
          <w:sz w:val="20"/>
        </w:rPr>
      </w:pPr>
      <w:r>
        <w:rPr>
          <w:rFonts w:hint="default"/>
        </w:rPr>
        <w:br w:type="page"/>
      </w:r>
    </w:p>
    <w:p>
      <w:pPr>
        <w:pStyle w:val="3"/>
        <w:rPr>
          <w:rFonts w:hint="default"/>
        </w:rPr>
      </w:pPr>
      <w:bookmarkStart w:id="279" w:name="_Toc162548753"/>
      <w:r>
        <w:rPr>
          <w:rFonts w:hint="default"/>
        </w:rPr>
        <w:t>特定保健指導</w:t>
      </w:r>
      <w:bookmarkEnd w:id="279"/>
    </w:p>
    <w:p>
      <w:pPr>
        <w:pStyle w:val="4"/>
        <w:rPr>
          <w:rFonts w:hint="default"/>
        </w:rPr>
      </w:pPr>
      <w:r>
        <w:rPr>
          <w:rFonts w:hint="default"/>
        </w:rPr>
        <w:t>実施目的・対象者階層化の基準</w:t>
      </w:r>
    </w:p>
    <w:p>
      <w:pPr>
        <w:pStyle w:val="39"/>
        <w:ind w:firstLine="200"/>
        <w:rPr>
          <w:rFonts w:hint="default"/>
        </w:rPr>
      </w:pPr>
      <w:r>
        <w:rPr>
          <w:rFonts w:hint="default"/>
        </w:rPr>
        <w:t>基本指針にある</w:t>
      </w:r>
      <w:r>
        <w:rPr>
          <w:rFonts w:hint="eastAsia"/>
        </w:rPr>
        <w:t>とお</w:t>
      </w:r>
      <w:r>
        <w:rPr>
          <w:rFonts w:hint="default"/>
        </w:rPr>
        <w:t>り、特定保健指導は、内臓脂肪型肥満に着目し、生活習慣を改善するための保健指導を行うことにより、対象者が自らの生活習慣における課題を認識して行動変容と自己管理を行うとともに健康的な生活</w:t>
      </w:r>
      <w:r>
        <w:rPr>
          <w:rFonts w:hint="eastAsia"/>
        </w:rPr>
        <w:t>の</w:t>
      </w:r>
      <w:r>
        <w:rPr>
          <w:rFonts w:hint="default"/>
        </w:rPr>
        <w:t>維持ができるようになることを通じて、糖尿病等の生活習慣病を予防することを目的とするものである。</w:t>
      </w:r>
    </w:p>
    <w:p>
      <w:pPr>
        <w:pStyle w:val="39"/>
        <w:ind w:firstLine="200"/>
        <w:rPr>
          <w:rFonts w:hint="default"/>
        </w:rPr>
      </w:pPr>
      <w:r>
        <w:rPr>
          <w:rFonts w:hint="default"/>
        </w:rPr>
        <w:t>特定保健指導は、特定健診結果を腹囲、リスクの高さ、喫煙歴、年齢により階層化し、積極的支援対象者及び動機付け支援対象者に実施する。なお、特定健診の質問票において服薬中であることが判別できた者については、既に主治医の指導を受けていることから特定保健指導対象外とする。</w:t>
      </w:r>
      <w:r>
        <w:rPr>
          <w:rFonts w:hint="eastAsia"/>
        </w:rPr>
        <w:t>また、</w:t>
      </w:r>
      <w:r>
        <w:rPr>
          <w:rFonts w:hint="default"/>
        </w:rPr>
        <w:t>2</w:t>
      </w:r>
      <w:r>
        <w:rPr>
          <w:rFonts w:hint="default"/>
        </w:rPr>
        <w:t>年連続して積極的支援対象者に該当した対象者のうち、</w:t>
      </w:r>
      <w:r>
        <w:rPr>
          <w:rFonts w:hint="default"/>
        </w:rPr>
        <w:t>1</w:t>
      </w:r>
      <w:r>
        <w:rPr>
          <w:rFonts w:hint="default"/>
        </w:rPr>
        <w:t>年目に比べ</w:t>
      </w:r>
      <w:r>
        <w:rPr>
          <w:rFonts w:hint="default"/>
        </w:rPr>
        <w:t>2</w:t>
      </w:r>
      <w:r>
        <w:rPr>
          <w:rFonts w:hint="default"/>
        </w:rPr>
        <w:t>年目の状態が改善している場合、</w:t>
      </w:r>
      <w:r>
        <w:rPr>
          <w:rFonts w:hint="default"/>
        </w:rPr>
        <w:t>2</w:t>
      </w:r>
      <w:r>
        <w:rPr>
          <w:rFonts w:hint="default"/>
        </w:rPr>
        <w:t>年目は、動機付け支援相当の支援を実施した場合であっても、特定保健指導を実施したこととなる。</w:t>
      </w:r>
    </w:p>
    <w:p>
      <w:pPr>
        <w:pStyle w:val="0"/>
        <w:rPr>
          <w:rFonts w:hint="default"/>
        </w:rPr>
      </w:pPr>
    </w:p>
    <w:p>
      <w:pPr>
        <w:pStyle w:val="38"/>
        <w:rPr>
          <w:rFonts w:hint="default"/>
        </w:rPr>
      </w:pPr>
      <w:bookmarkStart w:id="280" w:name="_Toc124936878"/>
      <w:r>
        <w:rPr>
          <w:rFonts w:hint="default"/>
        </w:rPr>
        <w:t>図表</w:t>
      </w:r>
      <w:r>
        <w:rPr>
          <w:rFonts w:hint="eastAsia"/>
        </w:rPr>
        <w:fldChar w:fldCharType="begin"/>
      </w:r>
      <w:r>
        <w:rPr>
          <w:rFonts w:hint="eastAsia"/>
        </w:rPr>
        <w:instrText>StyleRef "</w:instrText>
      </w:r>
      <w:r>
        <w:rPr>
          <w:rFonts w:hint="eastAsia"/>
        </w:rPr>
        <w:instrText>見出し</w:instrText>
      </w:r>
      <w:r>
        <w:rPr>
          <w:rFonts w:hint="eastAsia"/>
        </w:rPr>
        <w:instrText xml:space="preserve"> 1" \s </w:instrText>
      </w:r>
      <w:r>
        <w:rPr>
          <w:rFonts w:hint="eastAsia"/>
        </w:rPr>
        <w:fldChar w:fldCharType="separate"/>
      </w:r>
      <w:r>
        <w:rPr>
          <w:rFonts w:hint="default"/>
        </w:rPr>
        <w:t>10</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2" \s </w:instrText>
      </w:r>
      <w:r>
        <w:rPr>
          <w:rFonts w:hint="eastAsia"/>
        </w:rPr>
        <w:fldChar w:fldCharType="separate"/>
      </w:r>
      <w:r>
        <w:rPr>
          <w:rFonts w:hint="default"/>
        </w:rPr>
        <w:t>3</w:t>
      </w:r>
      <w:r>
        <w:rPr>
          <w:rFonts w:hint="eastAsia"/>
        </w:rPr>
        <w:fldChar w:fldCharType="end"/>
      </w:r>
      <w:r>
        <w:rPr>
          <w:rFonts w:hint="eastAsia"/>
        </w:rPr>
        <w:t>-</w:t>
      </w:r>
      <w:r>
        <w:rPr>
          <w:rFonts w:hint="eastAsia"/>
        </w:rPr>
        <w:fldChar w:fldCharType="begin"/>
      </w:r>
      <w:r>
        <w:rPr>
          <w:rFonts w:hint="eastAsia"/>
        </w:rPr>
        <w:instrText>StyleRef "</w:instrText>
      </w:r>
      <w:r>
        <w:rPr>
          <w:rFonts w:hint="eastAsia"/>
        </w:rPr>
        <w:instrText>見出し</w:instrText>
      </w:r>
      <w:r>
        <w:rPr>
          <w:rFonts w:hint="eastAsia"/>
        </w:rPr>
        <w:instrText xml:space="preserve"> 3" \s </w:instrText>
      </w:r>
      <w:r>
        <w:rPr>
          <w:rFonts w:hint="eastAsia"/>
        </w:rPr>
        <w:fldChar w:fldCharType="separate"/>
      </w:r>
      <w:r>
        <w:rPr>
          <w:rFonts w:hint="default"/>
        </w:rPr>
        <w:t>2</w:t>
      </w:r>
      <w:r>
        <w:rPr>
          <w:rFonts w:hint="eastAsia"/>
        </w:rPr>
        <w:fldChar w:fldCharType="end"/>
      </w:r>
      <w:r>
        <w:rPr>
          <w:rFonts w:hint="eastAsia"/>
        </w:rPr>
        <w:t>-</w:t>
      </w:r>
      <w:r>
        <w:rPr>
          <w:rFonts w:hint="eastAsia"/>
        </w:rPr>
        <w:fldChar w:fldCharType="begin"/>
      </w:r>
      <w:r>
        <w:rPr>
          <w:rFonts w:hint="default"/>
        </w:rPr>
        <w:instrText xml:space="preserve">SEQ </w:instrText>
      </w:r>
      <w:r>
        <w:rPr>
          <w:rFonts w:hint="default"/>
        </w:rPr>
        <w:instrText>図表</w:instrText>
      </w:r>
      <w:r>
        <w:rPr>
          <w:rFonts w:hint="default"/>
        </w:rPr>
        <w:instrText xml:space="preserve"> \* ARABIC \s 3</w:instrText>
      </w:r>
      <w:r>
        <w:rPr>
          <w:rFonts w:hint="eastAsia"/>
        </w:rPr>
        <w:fldChar w:fldCharType="separate"/>
      </w:r>
      <w:r>
        <w:rPr>
          <w:rFonts w:hint="default"/>
        </w:rPr>
        <w:t>1</w:t>
      </w:r>
      <w:r>
        <w:rPr>
          <w:rFonts w:hint="eastAsia"/>
        </w:rPr>
        <w:fldChar w:fldCharType="end"/>
      </w:r>
      <w:r>
        <w:rPr>
          <w:rFonts w:hint="default"/>
        </w:rPr>
        <w:t>：特定保健指導階層化の基準</w:t>
      </w:r>
      <w:bookmarkEnd w:id="280"/>
    </w:p>
    <w:tbl>
      <w:tblPr>
        <w:tblStyle w:val="11"/>
        <w:tblW w:w="5000" w:type="pct"/>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875"/>
        <w:gridCol w:w="1877"/>
        <w:gridCol w:w="1877"/>
        <w:gridCol w:w="1875"/>
        <w:gridCol w:w="1871"/>
      </w:tblGrid>
      <w:tr>
        <w:trPr>
          <w:trHeight w:val="20" w:hRule="atLeast"/>
        </w:trPr>
        <w:tc>
          <w:tcPr>
            <w:tcW w:w="1000"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腹囲</w:t>
            </w:r>
          </w:p>
        </w:tc>
        <w:tc>
          <w:tcPr>
            <w:tcW w:w="100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追加リスク</w:t>
            </w:r>
          </w:p>
        </w:tc>
        <w:tc>
          <w:tcPr>
            <w:tcW w:w="1001" w:type="pct"/>
            <w:vMerge w:val="restar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喫煙歴</w:t>
            </w:r>
          </w:p>
        </w:tc>
        <w:tc>
          <w:tcPr>
            <w:tcW w:w="1998" w:type="pct"/>
            <w:gridSpan w:val="2"/>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対象年齢</w:t>
            </w:r>
          </w:p>
        </w:tc>
      </w:tr>
      <w:tr>
        <w:trPr>
          <w:trHeight w:val="20" w:hRule="atLeast"/>
        </w:trPr>
        <w:tc>
          <w:tcPr>
            <w:tcW w:w="1000" w:type="pct"/>
            <w:vMerge w:val="continue"/>
            <w:shd w:val="clear" w:color="auto" w:fill="CCD6FF"/>
            <w:tcMar>
              <w:top w:w="28" w:type="dxa"/>
              <w:left w:w="28" w:type="dxa"/>
              <w:bottom w:w="28" w:type="dxa"/>
              <w:right w:w="28" w:type="dxa"/>
            </w:tcMar>
            <w:vAlign w:val="center"/>
          </w:tcPr>
          <w:p>
            <w:pPr>
              <w:pStyle w:val="0"/>
              <w:rPr>
                <w:rFonts w:hint="default"/>
              </w:rPr>
            </w:pPr>
          </w:p>
        </w:tc>
        <w:tc>
          <w:tcPr>
            <w:tcW w:w="1001"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（血糖</w:t>
            </w:r>
            <w:r>
              <w:rPr>
                <w:rFonts w:hint="eastAsia"/>
                <w:b w:val="1"/>
              </w:rPr>
              <w:t>・血圧・</w:t>
            </w:r>
            <w:r>
              <w:rPr>
                <w:rFonts w:hint="default"/>
                <w:b w:val="1"/>
              </w:rPr>
              <w:t>脂質）</w:t>
            </w:r>
          </w:p>
        </w:tc>
        <w:tc>
          <w:tcPr>
            <w:tcW w:w="1001" w:type="pct"/>
            <w:vMerge w:val="continue"/>
            <w:shd w:val="clear" w:color="auto" w:fill="CCD6FF"/>
            <w:tcMar>
              <w:top w:w="28" w:type="dxa"/>
              <w:left w:w="28" w:type="dxa"/>
              <w:bottom w:w="28" w:type="dxa"/>
              <w:right w:w="28" w:type="dxa"/>
            </w:tcMar>
            <w:vAlign w:val="center"/>
          </w:tcPr>
          <w:p>
            <w:pPr>
              <w:pStyle w:val="0"/>
              <w:rPr>
                <w:rFonts w:hint="default"/>
              </w:rPr>
            </w:pPr>
          </w:p>
        </w:tc>
        <w:tc>
          <w:tcPr>
            <w:tcW w:w="999"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40-64</w:t>
            </w:r>
            <w:r>
              <w:rPr>
                <w:rFonts w:hint="default"/>
                <w:b w:val="1"/>
              </w:rPr>
              <w:t>歳</w:t>
            </w:r>
          </w:p>
        </w:tc>
        <w:tc>
          <w:tcPr>
            <w:tcW w:w="999"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65</w:t>
            </w:r>
            <w:r>
              <w:rPr>
                <w:rFonts w:hint="default"/>
                <w:b w:val="1"/>
              </w:rPr>
              <w:t>歳</w:t>
            </w:r>
            <w:r>
              <w:rPr>
                <w:rFonts w:hint="default"/>
                <w:b w:val="1"/>
              </w:rPr>
              <w:t>-</w:t>
            </w:r>
          </w:p>
        </w:tc>
      </w:tr>
      <w:tr>
        <w:trPr>
          <w:trHeight w:val="20" w:hRule="atLeast"/>
        </w:trPr>
        <w:tc>
          <w:tcPr>
            <w:tcW w:w="1000"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男性</w:t>
            </w:r>
            <w:r>
              <w:rPr>
                <w:rFonts w:hint="default"/>
              </w:rPr>
              <w:t>≧85cm</w:t>
            </w:r>
          </w:p>
          <w:p>
            <w:pPr>
              <w:pStyle w:val="0"/>
              <w:rPr>
                <w:rFonts w:hint="default"/>
              </w:rPr>
            </w:pPr>
            <w:r>
              <w:rPr>
                <w:rFonts w:hint="default"/>
              </w:rPr>
              <w:t>女性</w:t>
            </w:r>
            <w:r>
              <w:rPr>
                <w:rFonts w:hint="default"/>
              </w:rPr>
              <w:t>≧90cm</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2</w:t>
            </w:r>
            <w:r>
              <w:rPr>
                <w:rFonts w:hint="default"/>
              </w:rPr>
              <w:t>つ以上該当</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なし</w:t>
            </w:r>
            <w:r>
              <w:rPr>
                <w:rFonts w:hint="eastAsia"/>
              </w:rPr>
              <w:t>/</w:t>
            </w:r>
            <w:r>
              <w:rPr>
                <w:rFonts w:hint="default"/>
              </w:rPr>
              <w:t>あり</w:t>
            </w:r>
          </w:p>
        </w:tc>
        <w:tc>
          <w:tcPr>
            <w:tcW w:w="1000" w:type="pct"/>
            <w:vMerge w:val="restart"/>
            <w:shd w:val="clear" w:color="auto" w:fill="EFEFEF"/>
            <w:tcMar>
              <w:top w:w="28" w:type="dxa"/>
              <w:left w:w="28" w:type="dxa"/>
              <w:bottom w:w="28" w:type="dxa"/>
              <w:right w:w="28" w:type="dxa"/>
            </w:tcMar>
            <w:vAlign w:val="center"/>
          </w:tcPr>
          <w:p>
            <w:pPr>
              <w:pStyle w:val="0"/>
              <w:rPr>
                <w:rFonts w:hint="default"/>
              </w:rPr>
            </w:pPr>
            <w:r>
              <w:rPr>
                <w:rFonts w:hint="default"/>
              </w:rPr>
              <w:t>積極的支援</w:t>
            </w:r>
          </w:p>
        </w:tc>
        <w:tc>
          <w:tcPr>
            <w:tcW w:w="998" w:type="pct"/>
            <w:vMerge w:val="restart"/>
            <w:shd w:val="clear" w:color="auto" w:fill="EFEFEF"/>
            <w:tcMar>
              <w:top w:w="28" w:type="dxa"/>
              <w:left w:w="28" w:type="dxa"/>
              <w:bottom w:w="28" w:type="dxa"/>
              <w:right w:w="28" w:type="dxa"/>
            </w:tcMar>
            <w:vAlign w:val="center"/>
          </w:tcPr>
          <w:p>
            <w:pPr>
              <w:pStyle w:val="0"/>
              <w:rPr>
                <w:rFonts w:hint="default"/>
              </w:rPr>
            </w:pPr>
            <w:r>
              <w:rPr>
                <w:rFonts w:hint="default"/>
              </w:rPr>
              <w:t>動機付け支援</w:t>
            </w:r>
          </w:p>
        </w:tc>
      </w:tr>
      <w:tr>
        <w:trPr>
          <w:trHeight w:val="20" w:hRule="atLeast"/>
        </w:trPr>
        <w:tc>
          <w:tcPr>
            <w:tcW w:w="1000"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1</w:t>
            </w:r>
            <w:r>
              <w:rPr>
                <w:rFonts w:hint="default"/>
              </w:rPr>
              <w:t>つ該当</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あり</w:t>
            </w:r>
          </w:p>
        </w:tc>
        <w:tc>
          <w:tcPr>
            <w:tcW w:w="1000" w:type="pct"/>
            <w:vMerge w:val="continue"/>
            <w:shd w:val="clear" w:color="auto" w:fill="EFEFEF"/>
            <w:tcMar>
              <w:top w:w="28" w:type="dxa"/>
              <w:left w:w="28" w:type="dxa"/>
              <w:bottom w:w="28" w:type="dxa"/>
              <w:right w:w="28" w:type="dxa"/>
            </w:tcMar>
            <w:vAlign w:val="center"/>
          </w:tcPr>
          <w:p>
            <w:pPr>
              <w:pStyle w:val="0"/>
              <w:rPr>
                <w:rFonts w:hint="default"/>
              </w:rPr>
            </w:pPr>
          </w:p>
        </w:tc>
        <w:tc>
          <w:tcPr>
            <w:tcW w:w="998" w:type="pct"/>
            <w:vMerge w:val="continue"/>
            <w:shd w:val="clear" w:color="auto" w:fill="EFEFEF"/>
            <w:tcMar>
              <w:top w:w="28" w:type="dxa"/>
              <w:left w:w="28" w:type="dxa"/>
              <w:bottom w:w="28" w:type="dxa"/>
              <w:right w:w="28" w:type="dxa"/>
            </w:tcMar>
            <w:vAlign w:val="center"/>
          </w:tcPr>
          <w:p>
            <w:pPr>
              <w:pStyle w:val="0"/>
              <w:rPr>
                <w:rFonts w:hint="default"/>
              </w:rPr>
            </w:pPr>
          </w:p>
        </w:tc>
      </w:tr>
      <w:tr>
        <w:trPr>
          <w:trHeight w:val="20" w:hRule="atLeast"/>
        </w:trPr>
        <w:tc>
          <w:tcPr>
            <w:tcW w:w="1000"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なし</w:t>
            </w:r>
          </w:p>
        </w:tc>
        <w:tc>
          <w:tcPr>
            <w:tcW w:w="1000" w:type="pct"/>
            <w:shd w:val="clear" w:color="auto" w:fill="EFEFEF"/>
            <w:tcMar>
              <w:top w:w="28" w:type="dxa"/>
              <w:left w:w="28" w:type="dxa"/>
              <w:bottom w:w="28" w:type="dxa"/>
              <w:right w:w="28" w:type="dxa"/>
            </w:tcMar>
            <w:vAlign w:val="center"/>
          </w:tcPr>
          <w:p>
            <w:pPr>
              <w:pStyle w:val="0"/>
              <w:rPr>
                <w:rFonts w:hint="default"/>
              </w:rPr>
            </w:pPr>
            <w:r>
              <w:rPr>
                <w:rFonts w:hint="default"/>
              </w:rPr>
              <w:t>動機付け支援</w:t>
            </w:r>
          </w:p>
        </w:tc>
        <w:tc>
          <w:tcPr>
            <w:tcW w:w="998" w:type="pct"/>
            <w:vMerge w:val="continue"/>
            <w:shd w:val="clear" w:color="auto" w:fill="EFEFEF"/>
            <w:tcMar>
              <w:top w:w="28" w:type="dxa"/>
              <w:left w:w="28" w:type="dxa"/>
              <w:bottom w:w="28" w:type="dxa"/>
              <w:right w:w="28" w:type="dxa"/>
            </w:tcMar>
            <w:vAlign w:val="center"/>
          </w:tcPr>
          <w:p>
            <w:pPr>
              <w:pStyle w:val="0"/>
              <w:rPr>
                <w:rFonts w:hint="default"/>
              </w:rPr>
            </w:pPr>
          </w:p>
        </w:tc>
      </w:tr>
      <w:tr>
        <w:trPr>
          <w:trHeight w:val="20" w:hRule="atLeast"/>
        </w:trPr>
        <w:tc>
          <w:tcPr>
            <w:tcW w:w="1000"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上記以外で</w:t>
            </w:r>
          </w:p>
          <w:p>
            <w:pPr>
              <w:pStyle w:val="0"/>
              <w:rPr>
                <w:rFonts w:hint="default"/>
              </w:rPr>
            </w:pPr>
            <w:r>
              <w:rPr>
                <w:rFonts w:hint="default"/>
              </w:rPr>
              <w:t>BMI≧25kg/</w:t>
            </w:r>
            <w:r>
              <w:rPr>
                <w:rFonts w:hint="default"/>
              </w:rPr>
              <w:t>㎡</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3</w:t>
            </w:r>
            <w:r>
              <w:rPr>
                <w:rFonts w:hint="default"/>
              </w:rPr>
              <w:t>つ該当</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なし</w:t>
            </w:r>
            <w:r>
              <w:rPr>
                <w:rFonts w:hint="eastAsia"/>
              </w:rPr>
              <w:t>/</w:t>
            </w:r>
            <w:r>
              <w:rPr>
                <w:rFonts w:hint="default"/>
              </w:rPr>
              <w:t>あり</w:t>
            </w:r>
          </w:p>
        </w:tc>
        <w:tc>
          <w:tcPr>
            <w:tcW w:w="1000" w:type="pct"/>
            <w:vMerge w:val="restart"/>
            <w:shd w:val="clear" w:color="auto" w:fill="EFEFEF"/>
            <w:tcMar>
              <w:top w:w="28" w:type="dxa"/>
              <w:left w:w="28" w:type="dxa"/>
              <w:bottom w:w="28" w:type="dxa"/>
              <w:right w:w="28" w:type="dxa"/>
            </w:tcMar>
            <w:vAlign w:val="center"/>
          </w:tcPr>
          <w:p>
            <w:pPr>
              <w:pStyle w:val="0"/>
              <w:rPr>
                <w:rFonts w:hint="default"/>
              </w:rPr>
            </w:pPr>
            <w:r>
              <w:rPr>
                <w:rFonts w:hint="default"/>
              </w:rPr>
              <w:t>積極的支援</w:t>
            </w:r>
          </w:p>
        </w:tc>
        <w:tc>
          <w:tcPr>
            <w:tcW w:w="998" w:type="pct"/>
            <w:vMerge w:val="continue"/>
            <w:shd w:val="clear" w:color="auto" w:fill="EFEFEF"/>
            <w:tcMar>
              <w:top w:w="28" w:type="dxa"/>
              <w:left w:w="28" w:type="dxa"/>
              <w:bottom w:w="28" w:type="dxa"/>
              <w:right w:w="28" w:type="dxa"/>
            </w:tcMar>
            <w:vAlign w:val="center"/>
          </w:tcPr>
          <w:p>
            <w:pPr>
              <w:pStyle w:val="0"/>
              <w:rPr>
                <w:rFonts w:hint="default"/>
              </w:rPr>
            </w:pPr>
          </w:p>
        </w:tc>
      </w:tr>
      <w:tr>
        <w:trPr>
          <w:trHeight w:val="20" w:hRule="atLeast"/>
        </w:trPr>
        <w:tc>
          <w:tcPr>
            <w:tcW w:w="1000"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vMerge w:val="restart"/>
            <w:shd w:val="clear" w:color="auto" w:fill="auto"/>
            <w:tcMar>
              <w:top w:w="28" w:type="dxa"/>
              <w:left w:w="28" w:type="dxa"/>
              <w:bottom w:w="28" w:type="dxa"/>
              <w:right w:w="28" w:type="dxa"/>
            </w:tcMar>
            <w:vAlign w:val="center"/>
          </w:tcPr>
          <w:p>
            <w:pPr>
              <w:pStyle w:val="0"/>
              <w:rPr>
                <w:rFonts w:hint="default"/>
              </w:rPr>
            </w:pPr>
            <w:r>
              <w:rPr>
                <w:rFonts w:hint="default"/>
              </w:rPr>
              <w:t>2</w:t>
            </w:r>
            <w:r>
              <w:rPr>
                <w:rFonts w:hint="default"/>
              </w:rPr>
              <w:t>つ該当</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あり</w:t>
            </w:r>
          </w:p>
        </w:tc>
        <w:tc>
          <w:tcPr>
            <w:tcW w:w="1000" w:type="pct"/>
            <w:vMerge w:val="continue"/>
            <w:shd w:val="clear" w:color="auto" w:fill="EFEFEF"/>
            <w:tcMar>
              <w:top w:w="28" w:type="dxa"/>
              <w:left w:w="28" w:type="dxa"/>
              <w:bottom w:w="28" w:type="dxa"/>
              <w:right w:w="28" w:type="dxa"/>
            </w:tcMar>
            <w:vAlign w:val="center"/>
          </w:tcPr>
          <w:p>
            <w:pPr>
              <w:pStyle w:val="0"/>
              <w:rPr>
                <w:rFonts w:hint="default"/>
              </w:rPr>
            </w:pPr>
          </w:p>
        </w:tc>
        <w:tc>
          <w:tcPr>
            <w:tcW w:w="998" w:type="pct"/>
            <w:vMerge w:val="continue"/>
            <w:shd w:val="clear" w:color="auto" w:fill="EFEFEF"/>
            <w:tcMar>
              <w:top w:w="28" w:type="dxa"/>
              <w:left w:w="28" w:type="dxa"/>
              <w:bottom w:w="28" w:type="dxa"/>
              <w:right w:w="28" w:type="dxa"/>
            </w:tcMar>
            <w:vAlign w:val="center"/>
          </w:tcPr>
          <w:p>
            <w:pPr>
              <w:pStyle w:val="0"/>
              <w:rPr>
                <w:rFonts w:hint="default"/>
              </w:rPr>
            </w:pPr>
          </w:p>
        </w:tc>
      </w:tr>
      <w:tr>
        <w:trPr>
          <w:trHeight w:val="20" w:hRule="atLeast"/>
        </w:trPr>
        <w:tc>
          <w:tcPr>
            <w:tcW w:w="1000"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なし</w:t>
            </w:r>
          </w:p>
        </w:tc>
        <w:tc>
          <w:tcPr>
            <w:tcW w:w="1000" w:type="pct"/>
            <w:vMerge w:val="restart"/>
            <w:shd w:val="clear" w:color="auto" w:fill="EFEFEF"/>
            <w:tcMar>
              <w:top w:w="28" w:type="dxa"/>
              <w:left w:w="28" w:type="dxa"/>
              <w:bottom w:w="28" w:type="dxa"/>
              <w:right w:w="28" w:type="dxa"/>
            </w:tcMar>
            <w:vAlign w:val="center"/>
          </w:tcPr>
          <w:p>
            <w:pPr>
              <w:pStyle w:val="0"/>
              <w:rPr>
                <w:rFonts w:hint="default"/>
              </w:rPr>
            </w:pPr>
            <w:r>
              <w:rPr>
                <w:rFonts w:hint="default"/>
              </w:rPr>
              <w:t>動機付け支援</w:t>
            </w:r>
          </w:p>
        </w:tc>
        <w:tc>
          <w:tcPr>
            <w:tcW w:w="998" w:type="pct"/>
            <w:vMerge w:val="continue"/>
            <w:shd w:val="clear" w:color="auto" w:fill="EFEFEF"/>
            <w:tcMar>
              <w:top w:w="28" w:type="dxa"/>
              <w:left w:w="28" w:type="dxa"/>
              <w:bottom w:w="28" w:type="dxa"/>
              <w:right w:w="28" w:type="dxa"/>
            </w:tcMar>
            <w:vAlign w:val="center"/>
          </w:tcPr>
          <w:p>
            <w:pPr>
              <w:pStyle w:val="0"/>
              <w:rPr>
                <w:rFonts w:hint="default"/>
              </w:rPr>
            </w:pPr>
          </w:p>
        </w:tc>
      </w:tr>
      <w:tr>
        <w:trPr>
          <w:trHeight w:val="20" w:hRule="atLeast"/>
        </w:trPr>
        <w:tc>
          <w:tcPr>
            <w:tcW w:w="1000" w:type="pct"/>
            <w:vMerge w:val="continue"/>
            <w:shd w:val="clear" w:color="auto" w:fill="auto"/>
            <w:tcMar>
              <w:top w:w="28" w:type="dxa"/>
              <w:left w:w="28" w:type="dxa"/>
              <w:bottom w:w="28" w:type="dxa"/>
              <w:right w:w="28" w:type="dxa"/>
            </w:tcMar>
            <w:vAlign w:val="center"/>
          </w:tcPr>
          <w:p>
            <w:pPr>
              <w:pStyle w:val="0"/>
              <w:rPr>
                <w:rFonts w:hint="default"/>
              </w:rPr>
            </w:pP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1</w:t>
            </w:r>
            <w:r>
              <w:rPr>
                <w:rFonts w:hint="default"/>
              </w:rPr>
              <w:t>つ該当</w:t>
            </w:r>
          </w:p>
        </w:tc>
        <w:tc>
          <w:tcPr>
            <w:tcW w:w="1001" w:type="pct"/>
            <w:shd w:val="clear" w:color="auto" w:fill="auto"/>
            <w:tcMar>
              <w:top w:w="28" w:type="dxa"/>
              <w:left w:w="28" w:type="dxa"/>
              <w:bottom w:w="28" w:type="dxa"/>
              <w:right w:w="28" w:type="dxa"/>
            </w:tcMar>
            <w:vAlign w:val="center"/>
          </w:tcPr>
          <w:p>
            <w:pPr>
              <w:pStyle w:val="0"/>
              <w:rPr>
                <w:rFonts w:hint="default"/>
              </w:rPr>
            </w:pPr>
            <w:r>
              <w:rPr>
                <w:rFonts w:hint="default"/>
              </w:rPr>
              <w:t>なし</w:t>
            </w:r>
            <w:r>
              <w:rPr>
                <w:rFonts w:hint="eastAsia"/>
              </w:rPr>
              <w:t>/</w:t>
            </w:r>
            <w:r>
              <w:rPr>
                <w:rFonts w:hint="default"/>
              </w:rPr>
              <w:t>あり</w:t>
            </w:r>
          </w:p>
        </w:tc>
        <w:tc>
          <w:tcPr>
            <w:tcW w:w="1000" w:type="pct"/>
            <w:vMerge w:val="continue"/>
            <w:shd w:val="clear" w:color="auto" w:fill="EFEFEF"/>
            <w:tcMar>
              <w:top w:w="28" w:type="dxa"/>
              <w:left w:w="28" w:type="dxa"/>
              <w:bottom w:w="28" w:type="dxa"/>
              <w:right w:w="28" w:type="dxa"/>
            </w:tcMar>
            <w:vAlign w:val="center"/>
          </w:tcPr>
          <w:p>
            <w:pPr>
              <w:pStyle w:val="0"/>
              <w:rPr>
                <w:rFonts w:hint="default"/>
              </w:rPr>
            </w:pPr>
          </w:p>
        </w:tc>
        <w:tc>
          <w:tcPr>
            <w:tcW w:w="998" w:type="pct"/>
            <w:vMerge w:val="continue"/>
            <w:shd w:val="clear" w:color="auto" w:fill="EFEFEF"/>
            <w:tcMar>
              <w:top w:w="28" w:type="dxa"/>
              <w:left w:w="28" w:type="dxa"/>
              <w:bottom w:w="28" w:type="dxa"/>
              <w:right w:w="28" w:type="dxa"/>
            </w:tcMar>
            <w:vAlign w:val="center"/>
          </w:tcPr>
          <w:p>
            <w:pPr>
              <w:pStyle w:val="0"/>
              <w:rPr>
                <w:rFonts w:hint="default"/>
              </w:rPr>
            </w:pPr>
          </w:p>
        </w:tc>
      </w:tr>
    </w:tbl>
    <w:p>
      <w:pPr>
        <w:pStyle w:val="0"/>
        <w:ind w:right="400"/>
        <w:rPr>
          <w:rFonts w:hint="default"/>
          <w:sz w:val="18"/>
        </w:rPr>
      </w:pPr>
    </w:p>
    <w:p>
      <w:pPr>
        <w:pStyle w:val="38"/>
        <w:rPr>
          <w:rFonts w:hint="default"/>
        </w:rPr>
      </w:pPr>
      <w:r>
        <w:rPr>
          <w:rFonts w:hint="default"/>
        </w:rPr>
        <w:t>参考：追加リスクの判定基準</w:t>
      </w:r>
    </w:p>
    <w:tbl>
      <w:tblPr>
        <w:tblStyle w:val="1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1142"/>
        <w:gridCol w:w="1114"/>
        <w:gridCol w:w="7119"/>
      </w:tblGrid>
      <w:tr>
        <w:trPr>
          <w:trHeight w:val="20" w:hRule="atLeast"/>
        </w:trPr>
        <w:tc>
          <w:tcPr>
            <w:tcW w:w="609" w:type="pct"/>
            <w:vMerge w:val="restart"/>
            <w:shd w:val="clear" w:color="auto" w:fill="EFEFEF"/>
            <w:tcMar>
              <w:top w:w="28" w:type="dxa"/>
              <w:left w:w="28" w:type="dxa"/>
              <w:bottom w:w="28" w:type="dxa"/>
              <w:right w:w="28" w:type="dxa"/>
            </w:tcMar>
            <w:vAlign w:val="center"/>
          </w:tcPr>
          <w:p>
            <w:pPr>
              <w:pStyle w:val="0"/>
              <w:widowControl w:val="0"/>
              <w:rPr>
                <w:rFonts w:hint="default"/>
                <w:b w:val="1"/>
                <w:sz w:val="14"/>
              </w:rPr>
            </w:pPr>
            <w:r>
              <w:rPr>
                <w:rFonts w:hint="default"/>
                <w:b w:val="1"/>
                <w:sz w:val="14"/>
              </w:rPr>
              <w:t>追加リスク</w:t>
            </w:r>
          </w:p>
        </w:tc>
        <w:tc>
          <w:tcPr>
            <w:tcW w:w="594" w:type="pct"/>
            <w:tcMar>
              <w:top w:w="28" w:type="dxa"/>
              <w:left w:w="28" w:type="dxa"/>
              <w:bottom w:w="28" w:type="dxa"/>
              <w:right w:w="28" w:type="dxa"/>
            </w:tcMar>
            <w:vAlign w:val="center"/>
          </w:tcPr>
          <w:p>
            <w:pPr>
              <w:pStyle w:val="0"/>
              <w:widowControl w:val="0"/>
              <w:rPr>
                <w:rFonts w:hint="default"/>
                <w:sz w:val="14"/>
              </w:rPr>
            </w:pPr>
            <w:r>
              <w:rPr>
                <w:rFonts w:hint="default"/>
                <w:sz w:val="14"/>
              </w:rPr>
              <w:t>血糖</w:t>
            </w:r>
          </w:p>
        </w:tc>
        <w:tc>
          <w:tcPr>
            <w:tcW w:w="3797" w:type="pct"/>
            <w:tcMar>
              <w:top w:w="28" w:type="dxa"/>
              <w:left w:w="28" w:type="dxa"/>
              <w:bottom w:w="28" w:type="dxa"/>
              <w:right w:w="28" w:type="dxa"/>
            </w:tcMar>
            <w:vAlign w:val="center"/>
          </w:tcPr>
          <w:p>
            <w:pPr>
              <w:pStyle w:val="0"/>
              <w:rPr>
                <w:rFonts w:hint="default"/>
                <w:sz w:val="14"/>
              </w:rPr>
            </w:pPr>
            <w:r>
              <w:rPr>
                <w:rFonts w:hint="default"/>
                <w:sz w:val="14"/>
              </w:rPr>
              <w:t>空腹時血糖</w:t>
            </w:r>
            <w:r>
              <w:rPr>
                <w:rFonts w:hint="default"/>
                <w:sz w:val="14"/>
              </w:rPr>
              <w:t>100</w:t>
            </w:r>
            <w:r>
              <w:rPr>
                <w:rFonts w:hint="eastAsia"/>
                <w:sz w:val="14"/>
              </w:rPr>
              <w:t>mg/dL</w:t>
            </w:r>
            <w:r>
              <w:rPr>
                <w:rFonts w:hint="default"/>
                <w:sz w:val="14"/>
              </w:rPr>
              <w:t>以上</w:t>
            </w:r>
            <w:r>
              <w:rPr>
                <w:rFonts w:hint="eastAsia"/>
                <w:sz w:val="14"/>
              </w:rPr>
              <w:t>、</w:t>
            </w:r>
            <w:r>
              <w:rPr>
                <w:rFonts w:hint="default"/>
                <w:sz w:val="14"/>
              </w:rPr>
              <w:t>または</w:t>
            </w:r>
            <w:r>
              <w:rPr>
                <w:rFonts w:hint="default"/>
                <w:sz w:val="14"/>
              </w:rPr>
              <w:t>HbA1c5.6</w:t>
            </w:r>
            <w:r>
              <w:rPr>
                <w:rFonts w:hint="eastAsia"/>
                <w:sz w:val="14"/>
              </w:rPr>
              <w:t>%</w:t>
            </w:r>
            <w:r>
              <w:rPr>
                <w:rFonts w:hint="default"/>
                <w:sz w:val="14"/>
              </w:rPr>
              <w:t>以上</w:t>
            </w:r>
          </w:p>
        </w:tc>
      </w:tr>
      <w:tr>
        <w:trPr>
          <w:trHeight w:val="20" w:hRule="atLeast"/>
        </w:trPr>
        <w:tc>
          <w:tcPr>
            <w:tcW w:w="609" w:type="pct"/>
            <w:vMerge w:val="continue"/>
            <w:shd w:val="clear" w:color="auto" w:fill="EFEFEF"/>
            <w:tcMar>
              <w:top w:w="28" w:type="dxa"/>
              <w:left w:w="28" w:type="dxa"/>
              <w:bottom w:w="28" w:type="dxa"/>
              <w:right w:w="28" w:type="dxa"/>
            </w:tcMar>
            <w:vAlign w:val="center"/>
          </w:tcPr>
          <w:p>
            <w:pPr>
              <w:pStyle w:val="0"/>
              <w:rPr>
                <w:rFonts w:hint="default"/>
              </w:rPr>
            </w:pPr>
          </w:p>
        </w:tc>
        <w:tc>
          <w:tcPr>
            <w:tcW w:w="594" w:type="pct"/>
            <w:tcMar>
              <w:top w:w="28" w:type="dxa"/>
              <w:left w:w="28" w:type="dxa"/>
              <w:bottom w:w="28" w:type="dxa"/>
              <w:right w:w="28" w:type="dxa"/>
            </w:tcMar>
            <w:vAlign w:val="center"/>
          </w:tcPr>
          <w:p>
            <w:pPr>
              <w:pStyle w:val="0"/>
              <w:widowControl w:val="0"/>
              <w:rPr>
                <w:rFonts w:hint="default"/>
                <w:sz w:val="14"/>
              </w:rPr>
            </w:pPr>
            <w:r>
              <w:rPr>
                <w:rFonts w:hint="default"/>
                <w:sz w:val="14"/>
              </w:rPr>
              <w:t>血圧</w:t>
            </w:r>
          </w:p>
        </w:tc>
        <w:tc>
          <w:tcPr>
            <w:tcW w:w="3797" w:type="pct"/>
            <w:tcMar>
              <w:top w:w="28" w:type="dxa"/>
              <w:left w:w="28" w:type="dxa"/>
              <w:bottom w:w="28" w:type="dxa"/>
              <w:right w:w="28" w:type="dxa"/>
            </w:tcMar>
            <w:vAlign w:val="center"/>
          </w:tcPr>
          <w:p>
            <w:pPr>
              <w:pStyle w:val="0"/>
              <w:widowControl w:val="0"/>
              <w:rPr>
                <w:rFonts w:hint="default"/>
                <w:sz w:val="14"/>
              </w:rPr>
            </w:pPr>
            <w:r>
              <w:rPr>
                <w:rFonts w:hint="default"/>
                <w:sz w:val="14"/>
              </w:rPr>
              <w:t>収縮期血圧</w:t>
            </w:r>
            <w:r>
              <w:rPr>
                <w:rFonts w:hint="default"/>
                <w:sz w:val="14"/>
              </w:rPr>
              <w:t>130</w:t>
            </w:r>
            <w:r>
              <w:rPr>
                <w:rFonts w:hint="eastAsia"/>
                <w:sz w:val="14"/>
              </w:rPr>
              <w:t>mmHg</w:t>
            </w:r>
            <w:r>
              <w:rPr>
                <w:rFonts w:hint="default"/>
                <w:sz w:val="14"/>
              </w:rPr>
              <w:t>以上、または拡張期血圧</w:t>
            </w:r>
            <w:r>
              <w:rPr>
                <w:rFonts w:hint="default"/>
                <w:sz w:val="14"/>
              </w:rPr>
              <w:t>85</w:t>
            </w:r>
            <w:r>
              <w:rPr>
                <w:rFonts w:hint="eastAsia"/>
                <w:sz w:val="14"/>
              </w:rPr>
              <w:t>mmHg</w:t>
            </w:r>
            <w:r>
              <w:rPr>
                <w:rFonts w:hint="default"/>
                <w:sz w:val="14"/>
              </w:rPr>
              <w:t>以上</w:t>
            </w:r>
          </w:p>
        </w:tc>
      </w:tr>
      <w:tr>
        <w:trPr>
          <w:trHeight w:val="20" w:hRule="atLeast"/>
        </w:trPr>
        <w:tc>
          <w:tcPr>
            <w:tcW w:w="609" w:type="pct"/>
            <w:vMerge w:val="continue"/>
            <w:shd w:val="clear" w:color="auto" w:fill="EFEFEF"/>
            <w:tcMar>
              <w:top w:w="28" w:type="dxa"/>
              <w:left w:w="28" w:type="dxa"/>
              <w:bottom w:w="28" w:type="dxa"/>
              <w:right w:w="28" w:type="dxa"/>
            </w:tcMar>
            <w:vAlign w:val="center"/>
          </w:tcPr>
          <w:p>
            <w:pPr>
              <w:pStyle w:val="0"/>
              <w:rPr>
                <w:rFonts w:hint="default"/>
              </w:rPr>
            </w:pPr>
          </w:p>
        </w:tc>
        <w:tc>
          <w:tcPr>
            <w:tcW w:w="594" w:type="pct"/>
            <w:tcMar>
              <w:top w:w="28" w:type="dxa"/>
              <w:left w:w="28" w:type="dxa"/>
              <w:bottom w:w="28" w:type="dxa"/>
              <w:right w:w="28" w:type="dxa"/>
            </w:tcMar>
            <w:vAlign w:val="center"/>
          </w:tcPr>
          <w:p>
            <w:pPr>
              <w:pStyle w:val="0"/>
              <w:widowControl w:val="0"/>
              <w:rPr>
                <w:rFonts w:hint="default"/>
                <w:sz w:val="14"/>
              </w:rPr>
            </w:pPr>
            <w:r>
              <w:rPr>
                <w:rFonts w:hint="default"/>
                <w:sz w:val="14"/>
              </w:rPr>
              <w:t>脂質</w:t>
            </w:r>
          </w:p>
        </w:tc>
        <w:tc>
          <w:tcPr>
            <w:tcW w:w="3797" w:type="pct"/>
            <w:tcMar>
              <w:top w:w="28" w:type="dxa"/>
              <w:left w:w="28" w:type="dxa"/>
              <w:bottom w:w="28" w:type="dxa"/>
              <w:right w:w="28" w:type="dxa"/>
            </w:tcMar>
            <w:vAlign w:val="center"/>
          </w:tcPr>
          <w:p>
            <w:pPr>
              <w:pStyle w:val="0"/>
              <w:widowControl w:val="0"/>
              <w:rPr>
                <w:rFonts w:hint="default"/>
                <w:sz w:val="14"/>
              </w:rPr>
            </w:pPr>
            <w:r>
              <w:rPr>
                <w:rFonts w:hint="eastAsia"/>
                <w:sz w:val="14"/>
              </w:rPr>
              <w:t>空腹時</w:t>
            </w:r>
            <w:r>
              <w:rPr>
                <w:rFonts w:hint="default"/>
                <w:sz w:val="14"/>
              </w:rPr>
              <w:t>中性脂肪</w:t>
            </w:r>
            <w:r>
              <w:rPr>
                <w:rFonts w:hint="default"/>
                <w:sz w:val="14"/>
              </w:rPr>
              <w:t>150</w:t>
            </w:r>
            <w:r>
              <w:rPr>
                <w:rFonts w:hint="eastAsia"/>
                <w:sz w:val="14"/>
              </w:rPr>
              <w:t>mg/dL</w:t>
            </w:r>
            <w:r>
              <w:rPr>
                <w:rFonts w:hint="default"/>
                <w:sz w:val="14"/>
              </w:rPr>
              <w:t>以上</w:t>
            </w:r>
            <w:r>
              <w:rPr>
                <w:rFonts w:hint="eastAsia"/>
                <w:sz w:val="14"/>
              </w:rPr>
              <w:t>（やむを得ない場合には随時中性脂肪</w:t>
            </w:r>
            <w:r>
              <w:rPr>
                <w:rFonts w:hint="eastAsia"/>
                <w:sz w:val="14"/>
              </w:rPr>
              <w:t>1</w:t>
            </w:r>
            <w:r>
              <w:rPr>
                <w:rFonts w:hint="default"/>
                <w:sz w:val="14"/>
              </w:rPr>
              <w:t>75m</w:t>
            </w:r>
            <w:r>
              <w:rPr>
                <w:rFonts w:hint="eastAsia"/>
                <w:sz w:val="14"/>
              </w:rPr>
              <w:t>g</w:t>
            </w:r>
            <w:r>
              <w:rPr>
                <w:rFonts w:hint="default"/>
                <w:sz w:val="14"/>
              </w:rPr>
              <w:t>/dL</w:t>
            </w:r>
            <w:r>
              <w:rPr>
                <w:rFonts w:hint="eastAsia"/>
                <w:sz w:val="14"/>
              </w:rPr>
              <w:t>以上）、</w:t>
            </w:r>
          </w:p>
          <w:p>
            <w:pPr>
              <w:pStyle w:val="0"/>
              <w:widowControl w:val="0"/>
              <w:rPr>
                <w:rFonts w:hint="default"/>
                <w:sz w:val="14"/>
              </w:rPr>
            </w:pPr>
            <w:r>
              <w:rPr>
                <w:rFonts w:hint="default"/>
                <w:sz w:val="14"/>
              </w:rPr>
              <w:t>または</w:t>
            </w:r>
            <w:r>
              <w:rPr>
                <w:rFonts w:hint="default"/>
                <w:sz w:val="14"/>
              </w:rPr>
              <w:t>HDL</w:t>
            </w:r>
            <w:r>
              <w:rPr>
                <w:rFonts w:hint="default"/>
                <w:sz w:val="14"/>
              </w:rPr>
              <w:t>コレステロール</w:t>
            </w:r>
            <w:r>
              <w:rPr>
                <w:rFonts w:hint="default"/>
                <w:sz w:val="14"/>
              </w:rPr>
              <w:t>40</w:t>
            </w:r>
            <w:r>
              <w:rPr>
                <w:rFonts w:hint="eastAsia"/>
                <w:sz w:val="14"/>
              </w:rPr>
              <w:t>mg/dL</w:t>
            </w:r>
            <w:r>
              <w:rPr>
                <w:rFonts w:hint="default"/>
                <w:sz w:val="14"/>
              </w:rPr>
              <w:t>未満</w:t>
            </w:r>
          </w:p>
        </w:tc>
      </w:tr>
    </w:tbl>
    <w:p>
      <w:pPr>
        <w:pStyle w:val="44"/>
        <w:rPr>
          <w:rFonts w:hint="default"/>
        </w:rPr>
      </w:pPr>
      <w:r>
        <w:rPr>
          <w:rFonts w:hint="default"/>
        </w:rPr>
        <w:t>【出典】厚生労働省</w:t>
      </w:r>
      <w:r>
        <w:rPr>
          <w:rFonts w:hint="eastAsia"/>
        </w:rPr>
        <w:t xml:space="preserve"> </w:t>
      </w:r>
      <w:r>
        <w:rPr>
          <w:rFonts w:hint="default"/>
        </w:rPr>
        <w:t>標準的な健診・保健指導プログラム（</w:t>
      </w:r>
      <w:r>
        <w:rPr>
          <w:rFonts w:hint="eastAsia"/>
        </w:rPr>
        <w:t>令和</w:t>
      </w:r>
      <w:r>
        <w:rPr>
          <w:rFonts w:hint="eastAsia"/>
        </w:rPr>
        <w:t>6</w:t>
      </w:r>
      <w:r>
        <w:rPr>
          <w:rFonts w:hint="default"/>
        </w:rPr>
        <w:t>年度版）</w:t>
      </w:r>
    </w:p>
    <w:p>
      <w:pPr>
        <w:pStyle w:val="4"/>
        <w:rPr>
          <w:rFonts w:hint="default"/>
        </w:rPr>
      </w:pPr>
      <w:r>
        <w:rPr>
          <w:rFonts w:hint="default"/>
        </w:rPr>
        <w:t>重点対象</w:t>
      </w:r>
    </w:p>
    <w:p>
      <w:pPr>
        <w:pStyle w:val="39"/>
        <w:ind w:firstLine="200"/>
        <w:rPr>
          <w:rFonts w:hint="default"/>
        </w:rPr>
      </w:pPr>
      <w:r>
        <w:rPr>
          <w:rFonts w:hint="default"/>
        </w:rPr>
        <w:t>対象者全員に特定保健指導を実施するが、効率的、効果的な特定保健指導を実施するため、特に支援が必要な層及び効果が期待できる層に重点的に特定保健指導の利用勧奨を行う。具体的には、</w:t>
      </w:r>
      <w:r>
        <w:rPr>
          <w:rFonts w:hint="eastAsia"/>
        </w:rPr>
        <w:t>メタボ該当者、予備群該当者の悪化を防ぎ、減少させること</w:t>
      </w:r>
      <w:r>
        <w:rPr>
          <w:rFonts w:hint="default"/>
        </w:rPr>
        <w:t>重点対象とする。</w:t>
      </w:r>
    </w:p>
    <w:p>
      <w:pPr>
        <w:pStyle w:val="4"/>
        <w:rPr>
          <w:rFonts w:hint="default"/>
        </w:rPr>
      </w:pPr>
      <w:r>
        <w:rPr>
          <w:rFonts w:hint="default"/>
        </w:rPr>
        <w:t>実施期間・内容</w:t>
      </w:r>
    </w:p>
    <w:p>
      <w:pPr>
        <w:pStyle w:val="39"/>
        <w:ind w:firstLine="200"/>
        <w:rPr>
          <w:rFonts w:hint="default"/>
        </w:rPr>
      </w:pPr>
      <w:r>
        <w:rPr>
          <w:rFonts w:hint="default"/>
        </w:rPr>
        <w:t>特定保健指導は通年実施する。</w:t>
      </w:r>
    </w:p>
    <w:p>
      <w:pPr>
        <w:pStyle w:val="39"/>
        <w:ind w:firstLine="200"/>
        <w:rPr>
          <w:rFonts w:hint="default"/>
        </w:rPr>
      </w:pPr>
      <w:r>
        <w:rPr>
          <w:rFonts w:hint="default"/>
        </w:rPr>
        <w:t>積極的支援及び動機付け支援ともに初回面接では、医師、保健師または管理栄養士の指導のもと、生活習慣改善のための行動計画を設定する。</w:t>
      </w:r>
    </w:p>
    <w:p>
      <w:pPr>
        <w:pStyle w:val="39"/>
        <w:ind w:firstLine="200"/>
        <w:rPr>
          <w:rFonts w:hint="default"/>
        </w:rPr>
      </w:pPr>
      <w:r>
        <w:rPr>
          <w:rFonts w:hint="default"/>
        </w:rPr>
        <w:t>積極的支援は、原則年</w:t>
      </w:r>
      <w:r>
        <w:rPr>
          <w:rFonts w:hint="default"/>
        </w:rPr>
        <w:t>1</w:t>
      </w:r>
      <w:r>
        <w:rPr>
          <w:rFonts w:hint="default"/>
        </w:rPr>
        <w:t>回の初回面接後、</w:t>
      </w:r>
      <w:r>
        <w:rPr>
          <w:rFonts w:hint="eastAsia"/>
        </w:rPr>
        <w:t>6</w:t>
      </w:r>
      <w:r>
        <w:rPr>
          <w:rFonts w:hint="eastAsia"/>
        </w:rPr>
        <w:t>か月間</w:t>
      </w:r>
      <w:r>
        <w:rPr>
          <w:rFonts w:hint="default"/>
        </w:rPr>
        <w:t>、定期的に電話や訪問で継続支援を実施する。初回面接から</w:t>
      </w:r>
      <w:r>
        <w:rPr>
          <w:rFonts w:hint="eastAsia"/>
        </w:rPr>
        <w:t>3</w:t>
      </w:r>
      <w:r>
        <w:rPr>
          <w:rFonts w:hint="eastAsia"/>
        </w:rPr>
        <w:t>か月後</w:t>
      </w:r>
      <w:r>
        <w:rPr>
          <w:rFonts w:hint="default"/>
        </w:rPr>
        <w:t>に中間評価を実施し、</w:t>
      </w:r>
      <w:r>
        <w:rPr>
          <w:rFonts w:hint="eastAsia"/>
        </w:rPr>
        <w:t>6</w:t>
      </w:r>
      <w:r>
        <w:rPr>
          <w:rFonts w:hint="eastAsia"/>
        </w:rPr>
        <w:t>か月後</w:t>
      </w:r>
      <w:r>
        <w:rPr>
          <w:rFonts w:hint="default"/>
        </w:rPr>
        <w:t>に体重</w:t>
      </w:r>
      <w:r>
        <w:rPr>
          <w:rFonts w:hint="eastAsia"/>
        </w:rPr>
        <w:t>、</w:t>
      </w:r>
      <w:r>
        <w:rPr>
          <w:rFonts w:hint="default"/>
        </w:rPr>
        <w:t>腹囲の変化や生活習慣の改善状況について最終評価を行う。中間評価時に、体重</w:t>
      </w:r>
      <w:r>
        <w:rPr>
          <w:rFonts w:hint="default"/>
        </w:rPr>
        <w:t>2</w:t>
      </w:r>
      <w:r>
        <w:rPr>
          <w:rFonts w:hint="eastAsia"/>
        </w:rPr>
        <w:t>kg</w:t>
      </w:r>
      <w:r>
        <w:rPr>
          <w:rFonts w:hint="default"/>
        </w:rPr>
        <w:t>及び腹囲</w:t>
      </w:r>
      <w:r>
        <w:rPr>
          <w:rFonts w:hint="default"/>
        </w:rPr>
        <w:t>2</w:t>
      </w:r>
      <w:r>
        <w:rPr>
          <w:rFonts w:hint="eastAsia"/>
        </w:rPr>
        <w:t>cm</w:t>
      </w:r>
      <w:r>
        <w:rPr>
          <w:rFonts w:hint="default"/>
        </w:rPr>
        <w:t>減少を達成した対象者については、その時点で支援を終了する。</w:t>
      </w:r>
    </w:p>
    <w:p>
      <w:pPr>
        <w:pStyle w:val="39"/>
        <w:ind w:firstLine="200"/>
        <w:rPr>
          <w:rFonts w:hint="default"/>
        </w:rPr>
      </w:pPr>
      <w:r>
        <w:rPr>
          <w:rFonts w:hint="default"/>
        </w:rPr>
        <w:t>動機付け支援は、原則年</w:t>
      </w:r>
      <w:r>
        <w:rPr>
          <w:rFonts w:hint="eastAsia"/>
        </w:rPr>
        <w:t>1</w:t>
      </w:r>
      <w:r>
        <w:rPr>
          <w:rFonts w:hint="default"/>
        </w:rPr>
        <w:t>回の初回面接後、</w:t>
      </w:r>
      <w:r>
        <w:rPr>
          <w:rFonts w:hint="eastAsia"/>
        </w:rPr>
        <w:t>3</w:t>
      </w:r>
      <w:r>
        <w:rPr>
          <w:rFonts w:hint="eastAsia"/>
        </w:rPr>
        <w:t>か月後</w:t>
      </w:r>
      <w:r>
        <w:rPr>
          <w:rFonts w:hint="default"/>
        </w:rPr>
        <w:t>に体重</w:t>
      </w:r>
      <w:r>
        <w:rPr>
          <w:rFonts w:hint="eastAsia"/>
        </w:rPr>
        <w:t>、</w:t>
      </w:r>
      <w:r>
        <w:rPr>
          <w:rFonts w:hint="default"/>
        </w:rPr>
        <w:t>腹囲の変化や生活習慣の改善状況について実績評価を行う。</w:t>
      </w:r>
    </w:p>
    <w:p>
      <w:pPr>
        <w:pStyle w:val="4"/>
        <w:rPr>
          <w:rFonts w:hint="default"/>
        </w:rPr>
      </w:pPr>
      <w:r>
        <w:rPr>
          <w:rFonts w:hint="default"/>
        </w:rPr>
        <w:t>実施体制</w:t>
      </w:r>
    </w:p>
    <w:p>
      <w:pPr>
        <w:pStyle w:val="39"/>
        <w:ind w:firstLine="200"/>
        <w:rPr>
          <w:rFonts w:hint="default"/>
        </w:rPr>
      </w:pPr>
      <w:r>
        <w:rPr>
          <w:rFonts w:hint="default"/>
        </w:rPr>
        <w:t>特定保健指導の委託に際しては、特定健診と同様に国の委託基準を満たす機関を選定する。詳細は契約書</w:t>
      </w:r>
      <w:r>
        <w:rPr>
          <w:rFonts w:hint="eastAsia"/>
        </w:rPr>
        <w:t>及び</w:t>
      </w:r>
      <w:r>
        <w:rPr>
          <w:rFonts w:hint="default"/>
        </w:rPr>
        <w:t>仕様書で定める。利用者の利便性を考慮するとともに、保健指導の質を確保するなど適正な事業実施に努める。</w:t>
      </w:r>
    </w:p>
    <w:p>
      <w:pPr>
        <w:pStyle w:val="0"/>
        <w:rPr>
          <w:rFonts w:hint="default"/>
        </w:rPr>
      </w:pPr>
    </w:p>
    <w:p>
      <w:pPr>
        <w:pStyle w:val="2"/>
        <w:rPr>
          <w:rFonts w:hint="default"/>
        </w:rPr>
      </w:pPr>
      <w:bookmarkStart w:id="281" w:name="_Toc162548754"/>
      <w:r>
        <w:rPr>
          <w:rFonts w:hint="eastAsia"/>
        </w:rPr>
        <w:t>特定健診</w:t>
      </w:r>
      <w:r>
        <w:rPr>
          <w:rFonts w:hint="default"/>
        </w:rPr>
        <w:t>受診率・</w:t>
      </w:r>
      <w:r>
        <w:rPr>
          <w:rFonts w:hint="eastAsia"/>
        </w:rPr>
        <w:t>特定保健指導</w:t>
      </w:r>
      <w:r>
        <w:rPr>
          <w:rFonts w:hint="default"/>
        </w:rPr>
        <w:t>実施率向上に向けた主な取組</w:t>
      </w:r>
      <w:bookmarkEnd w:id="281"/>
      <w:r>
        <w:rPr>
          <w:rFonts w:hint="default"/>
        </w:rPr>
        <w:t>　</w:t>
      </w:r>
    </w:p>
    <w:p>
      <w:pPr>
        <w:pStyle w:val="3"/>
        <w:rPr>
          <w:rFonts w:hint="default"/>
        </w:rPr>
      </w:pPr>
      <w:bookmarkStart w:id="282" w:name="_Toc162548755"/>
      <w:r>
        <w:rPr>
          <w:rFonts w:hint="default"/>
        </w:rPr>
        <w:t>特定健診</w:t>
      </w:r>
      <w:bookmarkEnd w:id="282"/>
    </w:p>
    <w:p>
      <w:pPr>
        <w:pStyle w:val="0"/>
        <w:widowControl w:val="0"/>
        <w:spacing w:line="240" w:lineRule="auto"/>
        <w:rPr>
          <w:rFonts w:hint="default"/>
          <w:b w:val="1"/>
          <w:sz w:val="18"/>
        </w:rPr>
      </w:pPr>
    </w:p>
    <w:tbl>
      <w:tblPr>
        <w:tblStyle w:val="11"/>
        <w:tblW w:w="5000" w:type="pct"/>
        <w:jc w:val="righ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125"/>
        <w:gridCol w:w="3126"/>
        <w:gridCol w:w="3124"/>
      </w:tblGrid>
      <w:tr>
        <w:trPr/>
        <w:tc>
          <w:tcPr>
            <w:tcW w:w="1667"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取組項目</w:t>
            </w:r>
          </w:p>
        </w:tc>
        <w:tc>
          <w:tcPr>
            <w:tcW w:w="1667"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取組</w:t>
            </w:r>
            <w:r>
              <w:rPr>
                <w:rFonts w:hint="eastAsia"/>
                <w:b w:val="1"/>
              </w:rPr>
              <w:t>内容</w:t>
            </w:r>
          </w:p>
        </w:tc>
        <w:tc>
          <w:tcPr>
            <w:tcW w:w="1666"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内容補足</w:t>
            </w:r>
          </w:p>
        </w:tc>
      </w:tr>
      <w:tr>
        <w:trPr>
          <w:trHeight w:val="645" w:hRule="atLeast"/>
        </w:trPr>
        <w:tc>
          <w:tcPr>
            <w:tcW w:w="166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①</w:t>
            </w:r>
            <w:r>
              <w:rPr>
                <w:rFonts w:hint="default"/>
              </w:rPr>
              <w:t>受診勧奨</w:t>
            </w:r>
            <w:r>
              <w:rPr>
                <w:rFonts w:hint="eastAsia"/>
              </w:rPr>
              <w:t>（連続受診・未受診者勧奨）</w:t>
            </w:r>
          </w:p>
        </w:tc>
        <w:tc>
          <w:tcPr>
            <w:tcW w:w="166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健診受診勧奨通知送付（＊</w:t>
            </w:r>
            <w:r>
              <w:rPr>
                <w:rFonts w:hint="eastAsia"/>
              </w:rPr>
              <w:t>1</w:t>
            </w:r>
            <w:r>
              <w:rPr>
                <w:rFonts w:hint="eastAsia"/>
              </w:rPr>
              <w:t>）</w:t>
            </w:r>
          </w:p>
          <w:p>
            <w:pPr>
              <w:pStyle w:val="0"/>
              <w:rPr>
                <w:rFonts w:hint="default"/>
              </w:rPr>
            </w:pPr>
            <w:r>
              <w:rPr>
                <w:rFonts w:hint="eastAsia"/>
              </w:rPr>
              <w:t>健診受診票対象者全員送付</w:t>
            </w:r>
          </w:p>
          <w:p>
            <w:pPr>
              <w:pStyle w:val="0"/>
              <w:rPr>
                <w:rFonts w:hint="default"/>
              </w:rPr>
            </w:pPr>
            <w:r>
              <w:rPr>
                <w:rFonts w:hint="eastAsia"/>
              </w:rPr>
              <w:t>他保健からの切替に随時受診票送付</w:t>
            </w:r>
          </w:p>
        </w:tc>
        <w:tc>
          <w:tcPr>
            <w:tcW w:w="16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w:t>
            </w:r>
            <w:r>
              <w:rPr>
                <w:rFonts w:hint="eastAsia"/>
              </w:rPr>
              <w:t>1</w:t>
            </w:r>
            <w:r>
              <w:rPr>
                <w:rFonts w:hint="eastAsia"/>
              </w:rPr>
              <w:t>：健診受診歴、問診票の回答血管アドのデータ分析を行い、対象者をカテゴリーに分け、受診につながる効果的なメッセージを通知する。</w:t>
            </w:r>
          </w:p>
        </w:tc>
      </w:tr>
      <w:tr>
        <w:trPr/>
        <w:tc>
          <w:tcPr>
            <w:tcW w:w="1667"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②</w:t>
            </w:r>
            <w:r>
              <w:rPr>
                <w:rFonts w:hint="default"/>
              </w:rPr>
              <w:t>利便性の向上</w:t>
            </w:r>
          </w:p>
        </w:tc>
        <w:tc>
          <w:tcPr>
            <w:tcW w:w="1667"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default"/>
              </w:rPr>
              <w:t>休日健診の実施</w:t>
            </w:r>
            <w:r>
              <w:rPr>
                <w:rFonts w:hint="eastAsia"/>
              </w:rPr>
              <w:t>/</w:t>
            </w:r>
            <w:r>
              <w:rPr>
                <w:rFonts w:hint="eastAsia"/>
              </w:rPr>
              <w:t>夜間健診の実施</w:t>
            </w:r>
          </w:p>
          <w:p>
            <w:pPr>
              <w:pStyle w:val="0"/>
              <w:rPr>
                <w:rFonts w:hint="default"/>
              </w:rPr>
            </w:pPr>
            <w:r>
              <w:rPr>
                <w:rFonts w:hint="eastAsia"/>
              </w:rPr>
              <w:t>集団健診と個別健診を併用実施</w:t>
            </w:r>
          </w:p>
          <w:p>
            <w:pPr>
              <w:pStyle w:val="0"/>
              <w:rPr>
                <w:rFonts w:hint="default"/>
              </w:rPr>
            </w:pPr>
            <w:r>
              <w:rPr>
                <w:rFonts w:hint="eastAsia"/>
              </w:rPr>
              <w:t>集団健診における</w:t>
            </w:r>
            <w:r>
              <w:rPr>
                <w:rFonts w:hint="eastAsia"/>
              </w:rPr>
              <w:t>LINE</w:t>
            </w:r>
            <w:r>
              <w:rPr>
                <w:rFonts w:hint="default"/>
              </w:rPr>
              <w:t>予約</w:t>
            </w:r>
            <w:r>
              <w:rPr>
                <w:rFonts w:hint="eastAsia"/>
              </w:rPr>
              <w:t>開始</w:t>
            </w:r>
          </w:p>
        </w:tc>
        <w:tc>
          <w:tcPr>
            <w:tcW w:w="1666" w:type="pct"/>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r>
      <w:tr>
        <w:trPr/>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③</w:t>
            </w:r>
            <w:r>
              <w:rPr>
                <w:rFonts w:hint="default"/>
              </w:rPr>
              <w:t>健診データ収集</w:t>
            </w:r>
          </w:p>
        </w:tc>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みなし健診／情報提供（</w:t>
            </w:r>
            <w:r>
              <w:rPr>
                <w:rFonts w:hint="eastAsia"/>
              </w:rPr>
              <w:t>JA</w:t>
            </w:r>
            <w:r>
              <w:rPr>
                <w:rFonts w:hint="eastAsia"/>
              </w:rPr>
              <w:t>・本人）</w:t>
            </w:r>
            <w:r>
              <w:rPr>
                <w:rFonts w:hint="eastAsia"/>
              </w:rPr>
              <w:t>(</w:t>
            </w:r>
            <w:r>
              <w:rPr>
                <w:rFonts w:hint="eastAsia"/>
              </w:rPr>
              <w:t>＊</w:t>
            </w:r>
            <w:r>
              <w:rPr>
                <w:rFonts w:hint="eastAsia"/>
              </w:rPr>
              <w:t>2)</w:t>
            </w:r>
          </w:p>
          <w:p>
            <w:pPr>
              <w:pStyle w:val="0"/>
              <w:rPr>
                <w:rFonts w:hint="default"/>
              </w:rPr>
            </w:pPr>
            <w:r>
              <w:rPr>
                <w:rFonts w:hint="eastAsia"/>
              </w:rPr>
              <w:t>人間ドック費用助成事業</w:t>
            </w:r>
          </w:p>
        </w:tc>
        <w:tc>
          <w:tcPr>
            <w:tcW w:w="1666" w:type="pct"/>
            <w:shd w:val="clear" w:color="auto" w:fill="auto"/>
            <w:tcMar>
              <w:top w:w="28" w:type="dxa"/>
              <w:left w:w="28" w:type="dxa"/>
              <w:bottom w:w="28" w:type="dxa"/>
              <w:right w:w="28" w:type="dxa"/>
            </w:tcMar>
            <w:vAlign w:val="center"/>
          </w:tcPr>
          <w:p>
            <w:pPr>
              <w:pStyle w:val="0"/>
              <w:rPr>
                <w:rFonts w:hint="default"/>
              </w:rPr>
            </w:pPr>
            <w:r>
              <w:rPr>
                <w:rFonts w:hint="eastAsia"/>
              </w:rPr>
              <w:t>＊</w:t>
            </w:r>
            <w:r>
              <w:rPr>
                <w:rFonts w:hint="eastAsia"/>
              </w:rPr>
              <w:t>2</w:t>
            </w:r>
            <w:r>
              <w:rPr>
                <w:rFonts w:hint="eastAsia"/>
              </w:rPr>
              <w:t>：医療機関、</w:t>
            </w:r>
            <w:r>
              <w:rPr>
                <w:rFonts w:hint="eastAsia"/>
              </w:rPr>
              <w:t>JA</w:t>
            </w:r>
            <w:r>
              <w:rPr>
                <w:rFonts w:hint="eastAsia"/>
              </w:rPr>
              <w:t>等関係機関との連携により実施　受診勧奨にもあたる</w:t>
            </w:r>
          </w:p>
        </w:tc>
      </w:tr>
      <w:tr>
        <w:trPr/>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④</w:t>
            </w:r>
            <w:r>
              <w:rPr>
                <w:rFonts w:hint="default"/>
              </w:rPr>
              <w:t>早期啓発</w:t>
            </w:r>
          </w:p>
        </w:tc>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30</w:t>
            </w:r>
            <w:r>
              <w:rPr>
                <w:rFonts w:hint="eastAsia"/>
              </w:rPr>
              <w:t>代健診</w:t>
            </w:r>
          </w:p>
        </w:tc>
        <w:tc>
          <w:tcPr>
            <w:tcW w:w="1666" w:type="pct"/>
            <w:shd w:val="clear" w:color="auto" w:fill="auto"/>
            <w:tcMar>
              <w:top w:w="28" w:type="dxa"/>
              <w:left w:w="28" w:type="dxa"/>
              <w:bottom w:w="28" w:type="dxa"/>
              <w:right w:w="28" w:type="dxa"/>
            </w:tcMar>
            <w:vAlign w:val="center"/>
          </w:tcPr>
          <w:p>
            <w:pPr>
              <w:pStyle w:val="0"/>
              <w:rPr>
                <w:rFonts w:hint="default"/>
              </w:rPr>
            </w:pPr>
          </w:p>
          <w:p>
            <w:pPr>
              <w:pStyle w:val="0"/>
              <w:rPr>
                <w:rFonts w:hint="default"/>
              </w:rPr>
            </w:pPr>
          </w:p>
        </w:tc>
      </w:tr>
    </w:tbl>
    <w:p>
      <w:pPr>
        <w:pStyle w:val="39"/>
        <w:ind w:firstLine="220"/>
        <w:rPr>
          <w:rFonts w:hint="default"/>
          <w:b w:val="1"/>
          <w:sz w:val="22"/>
        </w:rPr>
      </w:pPr>
    </w:p>
    <w:p>
      <w:pPr>
        <w:pStyle w:val="3"/>
        <w:rPr>
          <w:rFonts w:hint="default"/>
        </w:rPr>
      </w:pPr>
      <w:bookmarkStart w:id="283" w:name="_Toc162548756"/>
      <w:r>
        <w:rPr>
          <w:rFonts w:hint="default"/>
        </w:rPr>
        <w:t>特定保健指導</w:t>
      </w:r>
      <w:bookmarkEnd w:id="283"/>
      <w:r>
        <w:rPr>
          <w:rFonts w:hint="eastAsia"/>
        </w:rPr>
        <w:t>　</w:t>
      </w:r>
    </w:p>
    <w:p>
      <w:pPr>
        <w:pStyle w:val="39"/>
        <w:ind w:firstLine="200"/>
        <w:rPr>
          <w:rFonts w:hint="default"/>
        </w:rPr>
      </w:pPr>
      <w:r>
        <w:rPr>
          <w:rFonts w:hint="default"/>
        </w:rPr>
        <w:t>（アウトカム評価導入への対応</w:t>
      </w:r>
      <w:r>
        <w:rPr>
          <w:rFonts w:hint="eastAsia"/>
        </w:rPr>
        <w:t>/</w:t>
      </w:r>
      <w:r>
        <w:rPr>
          <w:rFonts w:hint="default"/>
        </w:rPr>
        <w:t>成果の「見える化」への対応</w:t>
      </w:r>
      <w:r>
        <w:rPr>
          <w:rFonts w:hint="eastAsia"/>
        </w:rPr>
        <w:t>/</w:t>
      </w:r>
      <w:r>
        <w:rPr>
          <w:rFonts w:hint="default"/>
        </w:rPr>
        <w:t>ICT</w:t>
      </w:r>
      <w:r>
        <w:rPr>
          <w:rFonts w:hint="default"/>
        </w:rPr>
        <w:t>活用推進への対応）</w:t>
      </w:r>
    </w:p>
    <w:p>
      <w:pPr>
        <w:pStyle w:val="0"/>
        <w:rPr>
          <w:rFonts w:hint="default"/>
        </w:rPr>
      </w:pPr>
    </w:p>
    <w:tbl>
      <w:tblPr>
        <w:tblStyle w:val="11"/>
        <w:tblW w:w="5000" w:type="pct"/>
        <w:jc w:val="righ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0" w:type="dxa"/>
          <w:left w:w="100" w:type="dxa"/>
          <w:bottom w:w="100" w:type="dxa"/>
          <w:right w:w="100" w:type="dxa"/>
        </w:tblCellMar>
        <w:tblLook w:firstRow="0" w:lastRow="0" w:firstColumn="0" w:lastColumn="0" w:noHBand="1" w:noVBand="1" w:val="0600"/>
      </w:tblPr>
      <w:tblGrid>
        <w:gridCol w:w="3125"/>
        <w:gridCol w:w="3126"/>
        <w:gridCol w:w="3124"/>
      </w:tblGrid>
      <w:tr>
        <w:trPr/>
        <w:tc>
          <w:tcPr>
            <w:tcW w:w="166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取組項目</w:t>
            </w:r>
          </w:p>
        </w:tc>
        <w:tc>
          <w:tcPr>
            <w:tcW w:w="1667" w:type="pct"/>
            <w:shd w:val="clear" w:color="auto" w:fill="CCD6FF"/>
            <w:tcMar>
              <w:top w:w="28" w:type="dxa"/>
              <w:left w:w="28" w:type="dxa"/>
              <w:bottom w:w="28" w:type="dxa"/>
              <w:right w:w="28" w:type="dxa"/>
            </w:tcMar>
            <w:vAlign w:val="center"/>
          </w:tcPr>
          <w:p>
            <w:pPr>
              <w:pStyle w:val="0"/>
              <w:jc w:val="center"/>
              <w:rPr>
                <w:rFonts w:hint="default"/>
                <w:b w:val="1"/>
              </w:rPr>
            </w:pPr>
            <w:r>
              <w:rPr>
                <w:rFonts w:hint="default"/>
                <w:b w:val="1"/>
              </w:rPr>
              <w:t>取組内容</w:t>
            </w:r>
          </w:p>
        </w:tc>
        <w:tc>
          <w:tcPr>
            <w:tcW w:w="1666" w:type="pct"/>
            <w:shd w:val="clear" w:color="auto" w:fill="CCD6FF"/>
            <w:tcMar>
              <w:top w:w="28" w:type="dxa"/>
              <w:left w:w="28" w:type="dxa"/>
              <w:bottom w:w="28" w:type="dxa"/>
              <w:right w:w="28" w:type="dxa"/>
            </w:tcMar>
            <w:vAlign w:val="center"/>
          </w:tcPr>
          <w:p>
            <w:pPr>
              <w:pStyle w:val="0"/>
              <w:jc w:val="center"/>
              <w:rPr>
                <w:rFonts w:hint="default"/>
                <w:b w:val="1"/>
              </w:rPr>
            </w:pPr>
            <w:r>
              <w:rPr>
                <w:rFonts w:hint="eastAsia"/>
                <w:b w:val="1"/>
              </w:rPr>
              <w:t>内容補足</w:t>
            </w:r>
          </w:p>
        </w:tc>
      </w:tr>
      <w:tr>
        <w:trPr/>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①</w:t>
            </w:r>
            <w:r>
              <w:rPr>
                <w:rFonts w:hint="default"/>
              </w:rPr>
              <w:t>利用勧奨</w:t>
            </w:r>
          </w:p>
        </w:tc>
        <w:tc>
          <w:tcPr>
            <w:tcW w:w="1667" w:type="pct"/>
            <w:shd w:val="clear" w:color="auto" w:fill="auto"/>
            <w:tcMar>
              <w:top w:w="28" w:type="dxa"/>
              <w:left w:w="28" w:type="dxa"/>
              <w:bottom w:w="28" w:type="dxa"/>
              <w:right w:w="28" w:type="dxa"/>
            </w:tcMar>
            <w:vAlign w:val="center"/>
          </w:tcPr>
          <w:p>
            <w:pPr>
              <w:pStyle w:val="0"/>
              <w:rPr>
                <w:rFonts w:hint="default"/>
              </w:rPr>
            </w:pPr>
            <w:r>
              <w:rPr>
                <w:rFonts w:hint="default"/>
              </w:rPr>
              <w:t>架電による利用勧奨</w:t>
            </w:r>
          </w:p>
          <w:p>
            <w:pPr>
              <w:pStyle w:val="0"/>
              <w:rPr>
                <w:rFonts w:hint="default"/>
              </w:rPr>
            </w:pPr>
            <w:r>
              <w:rPr>
                <w:rFonts w:hint="eastAsia"/>
              </w:rPr>
              <w:t>個別医療機関からの利用勧奨（＊</w:t>
            </w:r>
            <w:r>
              <w:rPr>
                <w:rFonts w:hint="eastAsia"/>
              </w:rPr>
              <w:t>1</w:t>
            </w:r>
            <w:r>
              <w:rPr>
                <w:rFonts w:hint="eastAsia"/>
              </w:rPr>
              <w:t>）</w:t>
            </w:r>
          </w:p>
        </w:tc>
        <w:tc>
          <w:tcPr>
            <w:tcW w:w="1666" w:type="pct"/>
            <w:shd w:val="clear" w:color="auto" w:fill="auto"/>
            <w:tcMar>
              <w:top w:w="28" w:type="dxa"/>
              <w:left w:w="28" w:type="dxa"/>
              <w:bottom w:w="28" w:type="dxa"/>
              <w:right w:w="28" w:type="dxa"/>
            </w:tcMar>
            <w:vAlign w:val="center"/>
          </w:tcPr>
          <w:p>
            <w:pPr>
              <w:pStyle w:val="0"/>
              <w:rPr>
                <w:rFonts w:hint="default"/>
              </w:rPr>
            </w:pPr>
            <w:r>
              <w:rPr>
                <w:rFonts w:hint="eastAsia"/>
              </w:rPr>
              <w:t>＊</w:t>
            </w:r>
            <w:r>
              <w:rPr>
                <w:rFonts w:hint="eastAsia"/>
              </w:rPr>
              <w:t>1</w:t>
            </w:r>
            <w:r>
              <w:rPr>
                <w:rFonts w:hint="eastAsia"/>
              </w:rPr>
              <w:t>：個別健診医療機関との連携により実施</w:t>
            </w:r>
          </w:p>
        </w:tc>
      </w:tr>
      <w:tr>
        <w:trPr/>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②</w:t>
            </w:r>
            <w:r>
              <w:rPr>
                <w:rFonts w:hint="default"/>
              </w:rPr>
              <w:t>利便性の向上</w:t>
            </w:r>
          </w:p>
        </w:tc>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健診日に初回面談同時実施</w:t>
            </w:r>
          </w:p>
          <w:p>
            <w:pPr>
              <w:pStyle w:val="0"/>
              <w:rPr>
                <w:rFonts w:hint="default"/>
              </w:rPr>
            </w:pPr>
            <w:r>
              <w:rPr>
                <w:rFonts w:hint="eastAsia"/>
              </w:rPr>
              <w:t>対面と</w:t>
            </w:r>
            <w:r>
              <w:rPr>
                <w:rFonts w:hint="eastAsia"/>
              </w:rPr>
              <w:t>ICT</w:t>
            </w:r>
            <w:r>
              <w:rPr>
                <w:rFonts w:hint="default"/>
              </w:rPr>
              <w:t>面接の</w:t>
            </w:r>
            <w:r>
              <w:rPr>
                <w:rFonts w:hint="eastAsia"/>
              </w:rPr>
              <w:t>併用</w:t>
            </w:r>
            <w:r>
              <w:rPr>
                <w:rFonts w:hint="default"/>
              </w:rPr>
              <w:t>実施</w:t>
            </w:r>
          </w:p>
          <w:p>
            <w:pPr>
              <w:pStyle w:val="0"/>
              <w:rPr>
                <w:rFonts w:hint="default"/>
              </w:rPr>
            </w:pPr>
            <w:r>
              <w:rPr>
                <w:rFonts w:hint="eastAsia"/>
              </w:rPr>
              <w:t>個別健診での保健指導実施</w:t>
            </w:r>
          </w:p>
        </w:tc>
        <w:tc>
          <w:tcPr>
            <w:tcW w:w="1666" w:type="pct"/>
            <w:shd w:val="clear" w:color="auto" w:fill="auto"/>
            <w:tcMar>
              <w:top w:w="28" w:type="dxa"/>
              <w:left w:w="28" w:type="dxa"/>
              <w:bottom w:w="28" w:type="dxa"/>
              <w:right w:w="28" w:type="dxa"/>
            </w:tcMar>
            <w:vAlign w:val="center"/>
          </w:tcPr>
          <w:p>
            <w:pPr>
              <w:pStyle w:val="0"/>
              <w:rPr>
                <w:rFonts w:hint="default"/>
              </w:rPr>
            </w:pPr>
          </w:p>
        </w:tc>
      </w:tr>
      <w:tr>
        <w:trPr/>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③</w:t>
            </w:r>
            <w:r>
              <w:rPr>
                <w:rFonts w:hint="default"/>
              </w:rPr>
              <w:t>内容・質の向上</w:t>
            </w:r>
          </w:p>
        </w:tc>
        <w:tc>
          <w:tcPr>
            <w:tcW w:w="1667" w:type="pct"/>
            <w:shd w:val="clear" w:color="auto" w:fill="auto"/>
            <w:tcMar>
              <w:top w:w="28" w:type="dxa"/>
              <w:left w:w="28" w:type="dxa"/>
              <w:bottom w:w="28" w:type="dxa"/>
              <w:right w:w="28" w:type="dxa"/>
            </w:tcMar>
            <w:vAlign w:val="center"/>
          </w:tcPr>
          <w:p>
            <w:pPr>
              <w:pStyle w:val="0"/>
              <w:rPr>
                <w:rFonts w:hint="default"/>
              </w:rPr>
            </w:pPr>
            <w:r>
              <w:rPr>
                <w:rFonts w:hint="eastAsia"/>
              </w:rPr>
              <w:t>保健指導内容・実施方法の検討会を行う</w:t>
            </w:r>
          </w:p>
        </w:tc>
        <w:tc>
          <w:tcPr>
            <w:tcW w:w="1666" w:type="pct"/>
            <w:shd w:val="clear" w:color="auto" w:fill="auto"/>
            <w:tcMar>
              <w:top w:w="28" w:type="dxa"/>
              <w:left w:w="28" w:type="dxa"/>
              <w:bottom w:w="28" w:type="dxa"/>
              <w:right w:w="28" w:type="dxa"/>
            </w:tcMar>
            <w:vAlign w:val="center"/>
          </w:tcPr>
          <w:p>
            <w:pPr>
              <w:pStyle w:val="0"/>
              <w:rPr>
                <w:rFonts w:hint="default"/>
              </w:rPr>
            </w:pPr>
          </w:p>
        </w:tc>
      </w:tr>
      <w:tr>
        <w:trPr/>
        <w:tc>
          <w:tcPr>
            <w:tcW w:w="1667"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④</w:t>
            </w:r>
            <w:r>
              <w:rPr>
                <w:rFonts w:hint="default"/>
              </w:rPr>
              <w:t>業務の効率化</w:t>
            </w:r>
          </w:p>
        </w:tc>
        <w:tc>
          <w:tcPr>
            <w:tcW w:w="1667"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事業運営のための職員配置（人員増）</w:t>
            </w:r>
          </w:p>
        </w:tc>
        <w:tc>
          <w:tcPr>
            <w:tcW w:w="1666" w:type="pct"/>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r>
      <w:tr>
        <w:trPr/>
        <w:tc>
          <w:tcPr>
            <w:tcW w:w="166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⑤</w:t>
            </w:r>
            <w:r>
              <w:rPr>
                <w:rFonts w:hint="default"/>
              </w:rPr>
              <w:t>インセンティブの付与</w:t>
            </w:r>
          </w:p>
        </w:tc>
        <w:tc>
          <w:tcPr>
            <w:tcW w:w="1667"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r>
              <w:rPr>
                <w:rFonts w:hint="eastAsia"/>
              </w:rPr>
              <w:t>初回面談インセンティブ付与</w:t>
            </w:r>
          </w:p>
        </w:tc>
        <w:tc>
          <w:tcPr>
            <w:tcW w:w="1666"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tcMar>
              <w:top w:w="28" w:type="dxa"/>
              <w:left w:w="28" w:type="dxa"/>
              <w:bottom w:w="28" w:type="dxa"/>
              <w:right w:w="28" w:type="dxa"/>
            </w:tcMar>
            <w:vAlign w:val="center"/>
          </w:tcPr>
          <w:p>
            <w:pPr>
              <w:pStyle w:val="0"/>
              <w:rPr>
                <w:rFonts w:hint="default"/>
              </w:rPr>
            </w:pPr>
          </w:p>
        </w:tc>
      </w:tr>
    </w:tbl>
    <w:p>
      <w:pPr>
        <w:pStyle w:val="0"/>
        <w:rPr>
          <w:rFonts w:hint="default"/>
        </w:rPr>
      </w:pPr>
      <w:bookmarkStart w:id="284" w:name="_i5b47sgbyrko"/>
      <w:bookmarkEnd w:id="284"/>
      <w:r>
        <w:rPr>
          <w:rFonts w:hint="default"/>
        </w:rPr>
        <w:br w:type="page"/>
      </w:r>
    </w:p>
    <w:p>
      <w:pPr>
        <w:pStyle w:val="2"/>
        <w:rPr>
          <w:rFonts w:hint="default"/>
        </w:rPr>
      </w:pPr>
      <w:bookmarkStart w:id="285" w:name="_Toc162548757"/>
      <w:r>
        <w:rPr>
          <w:rFonts w:hint="default"/>
        </w:rPr>
        <w:t>その他</w:t>
      </w:r>
      <w:bookmarkEnd w:id="285"/>
    </w:p>
    <w:p>
      <w:pPr>
        <w:pStyle w:val="3"/>
        <w:rPr>
          <w:rFonts w:hint="default"/>
        </w:rPr>
      </w:pPr>
      <w:bookmarkStart w:id="286" w:name="_Toc162548758"/>
      <w:r>
        <w:rPr>
          <w:rFonts w:hint="default"/>
        </w:rPr>
        <w:t>計画の公表</w:t>
      </w:r>
      <w:r>
        <w:rPr>
          <w:rFonts w:hint="eastAsia"/>
        </w:rPr>
        <w:t>・</w:t>
      </w:r>
      <w:r>
        <w:rPr>
          <w:rFonts w:hint="default"/>
        </w:rPr>
        <w:t>周知</w:t>
      </w:r>
      <w:bookmarkEnd w:id="286"/>
    </w:p>
    <w:p>
      <w:pPr>
        <w:pStyle w:val="39"/>
        <w:ind w:firstLine="200"/>
        <w:rPr>
          <w:rFonts w:hint="default"/>
        </w:rPr>
      </w:pPr>
      <w:r>
        <w:rPr>
          <w:rFonts w:hint="default"/>
        </w:rPr>
        <w:t>本計画については、高齢者の医療の確保に関する法律第</w:t>
      </w:r>
      <w:r>
        <w:rPr>
          <w:rFonts w:hint="default"/>
        </w:rPr>
        <w:t>19</w:t>
      </w:r>
      <w:r>
        <w:rPr>
          <w:rFonts w:hint="default"/>
        </w:rPr>
        <w:t>条第</w:t>
      </w:r>
      <w:r>
        <w:rPr>
          <w:rFonts w:hint="default"/>
        </w:rPr>
        <w:t>3</w:t>
      </w:r>
      <w:r>
        <w:rPr>
          <w:rFonts w:hint="default"/>
        </w:rPr>
        <w:t>項に基づき、作成</w:t>
      </w:r>
      <w:r>
        <w:rPr>
          <w:rFonts w:hint="eastAsia"/>
        </w:rPr>
        <w:t>及び</w:t>
      </w:r>
      <w:r>
        <w:rPr>
          <w:rFonts w:hint="default"/>
        </w:rPr>
        <w:t>変更時は、八街市のホームページ等により公表し、広く内容等の周知を行う。</w:t>
      </w:r>
    </w:p>
    <w:p>
      <w:pPr>
        <w:pStyle w:val="39"/>
        <w:ind w:firstLine="200"/>
        <w:rPr>
          <w:rFonts w:hint="default"/>
        </w:rPr>
      </w:pPr>
      <w:r>
        <w:rPr>
          <w:rFonts w:hint="default"/>
        </w:rPr>
        <w:t>また、特定健診</w:t>
      </w:r>
      <w:r>
        <w:rPr>
          <w:rFonts w:hint="eastAsia"/>
        </w:rPr>
        <w:t>及び</w:t>
      </w:r>
      <w:r>
        <w:rPr>
          <w:rFonts w:hint="default"/>
        </w:rPr>
        <w:t>特定保健指導については、八街市のホームページ等への掲載、啓発用ポスターの掲示などにより、普及啓発に努める。</w:t>
      </w:r>
    </w:p>
    <w:p>
      <w:pPr>
        <w:pStyle w:val="3"/>
        <w:rPr>
          <w:rFonts w:hint="default"/>
        </w:rPr>
      </w:pPr>
      <w:bookmarkStart w:id="287" w:name="_Toc162548759"/>
      <w:r>
        <w:rPr>
          <w:rFonts w:hint="default"/>
        </w:rPr>
        <w:t>個人情報の保護</w:t>
      </w:r>
      <w:bookmarkEnd w:id="287"/>
    </w:p>
    <w:p>
      <w:pPr>
        <w:pStyle w:val="39"/>
        <w:ind w:firstLine="200"/>
        <w:rPr>
          <w:rFonts w:hint="default"/>
        </w:rPr>
      </w:pPr>
      <w:r>
        <w:rPr>
          <w:rFonts w:hint="default"/>
        </w:rPr>
        <w:t>特定健診</w:t>
      </w:r>
      <w:r>
        <w:rPr>
          <w:rFonts w:hint="eastAsia"/>
        </w:rPr>
        <w:t>及び</w:t>
      </w:r>
      <w:r>
        <w:rPr>
          <w:rFonts w:hint="default"/>
        </w:rPr>
        <w:t>特定保健指導の記録の保存に</w:t>
      </w:r>
      <w:r>
        <w:rPr>
          <w:rFonts w:hint="eastAsia"/>
        </w:rPr>
        <w:t>当</w:t>
      </w:r>
      <w:r>
        <w:rPr>
          <w:rFonts w:hint="default"/>
        </w:rPr>
        <w:t>たっては、「特定健</w:t>
      </w:r>
      <w:r>
        <w:rPr>
          <w:rFonts w:hint="eastAsia"/>
        </w:rPr>
        <w:t>康</w:t>
      </w:r>
      <w:r>
        <w:rPr>
          <w:rFonts w:hint="default"/>
        </w:rPr>
        <w:t>診</w:t>
      </w:r>
      <w:r>
        <w:rPr>
          <w:rFonts w:hint="eastAsia"/>
        </w:rPr>
        <w:t>査</w:t>
      </w:r>
      <w:r>
        <w:rPr>
          <w:rFonts w:hint="default"/>
        </w:rPr>
        <w:t>・特定保健指導の円滑な実施に向けた手引き（第</w:t>
      </w:r>
      <w:r>
        <w:rPr>
          <w:rFonts w:hint="default"/>
        </w:rPr>
        <w:t>4</w:t>
      </w:r>
      <w:r>
        <w:rPr>
          <w:rFonts w:hint="default"/>
        </w:rPr>
        <w:t>版）」を参考に、個人の健康情報を漏えいしないよう、厳格に管理した上で適切に活用する。</w:t>
      </w:r>
    </w:p>
    <w:p>
      <w:pPr>
        <w:pStyle w:val="39"/>
        <w:ind w:firstLine="200"/>
        <w:rPr>
          <w:rFonts w:hint="default"/>
        </w:rPr>
      </w:pPr>
      <w:r>
        <w:rPr>
          <w:rFonts w:hint="default"/>
        </w:rPr>
        <w:t>個人情報の取扱いに関しては、個人情報保護法に基づくガイドライン等（「健康保険組合等における個人情報の適切な取扱いのためのガイダンス」「国民健康保険組合における個人情報の適切な取扱いのためのガイダンス」等）を遵守し、情報の保存</w:t>
      </w:r>
      <w:r>
        <w:rPr>
          <w:rFonts w:hint="eastAsia"/>
        </w:rPr>
        <w:t>及び</w:t>
      </w:r>
      <w:r>
        <w:rPr>
          <w:rFonts w:hint="default"/>
        </w:rPr>
        <w:t>管理体制を確保する。外部への委託に際しては、委託先との契約書に個人情報の厳重な管理や目的外使用の禁止等を定めるとともに、委託先の契約遵守状況を適切に管理する。</w:t>
      </w:r>
    </w:p>
    <w:p>
      <w:pPr>
        <w:pStyle w:val="3"/>
        <w:rPr>
          <w:rFonts w:hint="default"/>
        </w:rPr>
      </w:pPr>
      <w:bookmarkStart w:id="288" w:name="_Toc162548760"/>
      <w:r>
        <w:rPr>
          <w:rFonts w:hint="default"/>
        </w:rPr>
        <w:t>実施計画の評価</w:t>
      </w:r>
      <w:r>
        <w:rPr>
          <w:rFonts w:hint="eastAsia"/>
        </w:rPr>
        <w:t>・</w:t>
      </w:r>
      <w:r>
        <w:rPr>
          <w:rFonts w:hint="default"/>
        </w:rPr>
        <w:t>見直し</w:t>
      </w:r>
      <w:bookmarkEnd w:id="288"/>
    </w:p>
    <w:p>
      <w:pPr>
        <w:pStyle w:val="39"/>
        <w:ind w:firstLine="200"/>
        <w:rPr>
          <w:rFonts w:hint="default"/>
        </w:rPr>
      </w:pPr>
      <w:r>
        <w:rPr>
          <w:rFonts w:hint="default"/>
        </w:rPr>
        <w:t>特定健診</w:t>
      </w:r>
      <w:r>
        <w:rPr>
          <w:rFonts w:hint="eastAsia"/>
        </w:rPr>
        <w:t>の受診率及び</w:t>
      </w:r>
      <w:r>
        <w:rPr>
          <w:rFonts w:hint="default"/>
        </w:rPr>
        <w:t>特定保健指導の実施率、</w:t>
      </w:r>
      <w:r>
        <w:rPr>
          <w:rFonts w:hint="eastAsia"/>
        </w:rPr>
        <w:t>並びに</w:t>
      </w:r>
      <w:r>
        <w:rPr>
          <w:rFonts w:hint="default"/>
        </w:rPr>
        <w:t>メタボ該当者</w:t>
      </w:r>
      <w:r>
        <w:rPr>
          <w:rFonts w:hint="eastAsia"/>
        </w:rPr>
        <w:t>及びメタボ</w:t>
      </w:r>
      <w:r>
        <w:rPr>
          <w:rFonts w:hint="default"/>
        </w:rPr>
        <w:t>予備群の減少率について</w:t>
      </w:r>
      <w:r>
        <w:rPr>
          <w:rFonts w:hint="eastAsia"/>
        </w:rPr>
        <w:t>は</w:t>
      </w:r>
      <w:r>
        <w:rPr>
          <w:rFonts w:hint="default"/>
        </w:rPr>
        <w:t>、本計画の最終年度（令和</w:t>
      </w:r>
      <w:r>
        <w:rPr>
          <w:rFonts w:hint="default"/>
        </w:rPr>
        <w:t>11</w:t>
      </w:r>
      <w:r>
        <w:rPr>
          <w:rFonts w:hint="default"/>
        </w:rPr>
        <w:t>年度）に評価を行う。</w:t>
      </w:r>
    </w:p>
    <w:p>
      <w:pPr>
        <w:pStyle w:val="39"/>
        <w:ind w:firstLine="200"/>
        <w:rPr>
          <w:rFonts w:hint="default"/>
        </w:rPr>
      </w:pPr>
      <w:r>
        <w:rPr>
          <w:rFonts w:hint="eastAsia"/>
        </w:rPr>
        <w:t>実施中は、</w:t>
      </w:r>
      <w:r>
        <w:rPr>
          <w:rFonts w:hint="default"/>
        </w:rPr>
        <w:t>設定した目標値の達成状況を</w:t>
      </w:r>
      <w:r>
        <w:rPr>
          <w:rFonts w:hint="eastAsia"/>
        </w:rPr>
        <w:t>単年ごとに</w:t>
      </w:r>
      <w:r>
        <w:rPr>
          <w:rFonts w:hint="default"/>
        </w:rPr>
        <w:t>点検し、評価の結果を活用して、必要に応じて実施計画の記載内容の見直しを行う。</w:t>
      </w:r>
    </w:p>
    <w:p>
      <w:pPr>
        <w:pStyle w:val="0"/>
        <w:rPr>
          <w:rFonts w:hint="default"/>
        </w:rPr>
      </w:pPr>
      <w:r>
        <w:rPr>
          <w:rFonts w:hint="default"/>
        </w:rPr>
        <w:br w:type="page"/>
      </w:r>
    </w:p>
    <w:p>
      <w:pPr>
        <w:pStyle w:val="1"/>
        <w:numPr>
          <w:ilvl w:val="0"/>
          <w:numId w:val="0"/>
        </w:numPr>
        <w:ind w:left="567" w:hanging="567"/>
        <w:rPr>
          <w:rFonts w:hint="default"/>
        </w:rPr>
      </w:pPr>
      <w:bookmarkStart w:id="289" w:name="_Toc162548761"/>
      <w:r>
        <w:rPr>
          <w:rFonts w:hint="default"/>
        </w:rPr>
        <w:t>参考資料　用語集</w:t>
      </w:r>
      <w:bookmarkEnd w:id="289"/>
    </w:p>
    <w:tbl>
      <w:tblPr>
        <w:tblStyle w:val="172"/>
        <w:tblW w:w="9375" w:type="dxa"/>
        <w:tblInd w:w="0" w:type="dxa"/>
        <w:tblLayout w:type="fixed"/>
        <w:tblLook w:firstRow="1" w:lastRow="0" w:firstColumn="1" w:lastColumn="0" w:noHBand="0" w:noVBand="1" w:val="04A0"/>
      </w:tblPr>
      <w:tblGrid>
        <w:gridCol w:w="635"/>
        <w:gridCol w:w="636"/>
        <w:gridCol w:w="2126"/>
        <w:gridCol w:w="5978"/>
      </w:tblGrid>
      <w:tr>
        <w:trPr>
          <w:tblHeader/>
        </w:trPr>
        <w:tc>
          <w:tcPr>
            <w:tcW w:w="63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行</w:t>
            </w:r>
          </w:p>
        </w:tc>
        <w:tc>
          <w:tcPr>
            <w:tcW w:w="636"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No.</w:t>
            </w:r>
          </w:p>
        </w:tc>
        <w:tc>
          <w:tcPr>
            <w:tcW w:w="2126"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用語</w:t>
            </w:r>
          </w:p>
        </w:tc>
        <w:tc>
          <w:tcPr>
            <w:tcW w:w="5978"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解説</w:t>
            </w:r>
          </w:p>
        </w:tc>
      </w:tr>
      <w:tr>
        <w:trPr/>
        <w:tc>
          <w:tcPr>
            <w:tcW w:w="635" w:type="dxa"/>
            <w:vMerge w:val="restart"/>
            <w:tcMar>
              <w:top w:w="28" w:type="dxa"/>
              <w:left w:w="28" w:type="dxa"/>
              <w:bottom w:w="28" w:type="dxa"/>
              <w:right w:w="28" w:type="dxa"/>
            </w:tcMar>
            <w:vAlign w:val="top"/>
          </w:tcPr>
          <w:p>
            <w:pPr>
              <w:pStyle w:val="0"/>
              <w:spacing w:line="276" w:lineRule="auto"/>
              <w:rPr>
                <w:rFonts w:hint="default"/>
              </w:rPr>
            </w:pPr>
            <w:r>
              <w:rPr>
                <w:rFonts w:hint="eastAsia"/>
              </w:rPr>
              <w:t>あ行</w:t>
            </w: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1</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eGFR</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eastAsia"/>
                <w:color w:val="1F1F1F"/>
              </w:rPr>
              <w:t>血清クレアチニン値と年齢・性別から</w:t>
            </w:r>
            <w:r>
              <w:rPr>
                <w:rFonts w:hint="default"/>
                <w:color w:val="1F1F1F"/>
              </w:rPr>
              <w:t>GFR</w:t>
            </w:r>
            <w:r>
              <w:rPr>
                <w:rFonts w:hint="default"/>
                <w:color w:val="1F1F1F"/>
              </w:rPr>
              <w:t>を推算したもの。</w:t>
            </w:r>
            <w:r>
              <w:rPr>
                <w:rFonts w:hint="default"/>
                <w:color w:val="1F1F1F"/>
              </w:rPr>
              <w:t>GFR</w:t>
            </w:r>
            <w:r>
              <w:rPr>
                <w:rFonts w:hint="default"/>
                <w:color w:val="1F1F1F"/>
              </w:rPr>
              <w:t>は腎臓の中にある毛細血管の集合体である「糸球体」が</w:t>
            </w:r>
            <w:r>
              <w:rPr>
                <w:rFonts w:hint="default"/>
                <w:color w:val="1F1F1F"/>
              </w:rPr>
              <w:t>1</w:t>
            </w:r>
            <w:r>
              <w:rPr>
                <w:rFonts w:hint="default"/>
                <w:color w:val="1F1F1F"/>
              </w:rPr>
              <w:t>分間にどれくらいの血液を濾過して尿を作れるかを示す値であり、</w:t>
            </w:r>
            <w:r>
              <w:rPr>
                <w:rFonts w:hint="default"/>
                <w:color w:val="1F1F1F"/>
              </w:rPr>
              <w:t>GFR</w:t>
            </w:r>
            <w:r>
              <w:rPr>
                <w:rFonts w:hint="default"/>
                <w:color w:val="1F1F1F"/>
              </w:rPr>
              <w:t>が</w:t>
            </w:r>
            <w:r>
              <w:rPr>
                <w:rFonts w:hint="default"/>
                <w:color w:val="1F1F1F"/>
              </w:rPr>
              <w:t>1</w:t>
            </w:r>
            <w:r>
              <w:rPr>
                <w:rFonts w:hint="default"/>
                <w:color w:val="1F1F1F"/>
              </w:rPr>
              <w:t>分間に</w:t>
            </w:r>
            <w:r>
              <w:rPr>
                <w:rFonts w:hint="default"/>
                <w:color w:val="1F1F1F"/>
              </w:rPr>
              <w:t>60ml</w:t>
            </w:r>
            <w:r>
              <w:rPr>
                <w:rFonts w:hint="default"/>
                <w:color w:val="1F1F1F"/>
              </w:rPr>
              <w:t>未満の状態または尿たんぱくが</w:t>
            </w:r>
            <w:r>
              <w:rPr>
                <w:rFonts w:hint="eastAsia"/>
                <w:color w:val="1F1F1F"/>
              </w:rPr>
              <w:t>3</w:t>
            </w:r>
            <w:r>
              <w:rPr>
                <w:rFonts w:hint="eastAsia"/>
                <w:color w:val="1F1F1F"/>
              </w:rPr>
              <w:t>か</w:t>
            </w:r>
            <w:r>
              <w:rPr>
                <w:rFonts w:hint="default"/>
                <w:color w:val="1F1F1F"/>
              </w:rPr>
              <w:t>月以上続くと</w:t>
            </w:r>
            <w:r>
              <w:rPr>
                <w:rFonts w:hint="default"/>
                <w:color w:val="1F1F1F"/>
              </w:rPr>
              <w:t>CKD</w:t>
            </w:r>
            <w:r>
              <w:rPr>
                <w:rFonts w:hint="eastAsia"/>
                <w:color w:val="1F1F1F"/>
              </w:rPr>
              <w:t>（慢性腎臓病：腎機能が慢性的に低下し、尿たんぱくが継続して出る状態）</w:t>
            </w:r>
            <w:r>
              <w:rPr>
                <w:rFonts w:hint="default"/>
                <w:color w:val="1F1F1F"/>
              </w:rPr>
              <w:t>と診断される。</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2</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医療費の</w:t>
            </w:r>
            <w:r>
              <w:rPr>
                <w:rFonts w:hint="default"/>
                <w:color w:val="1F1F1F"/>
              </w:rPr>
              <w:t>3</w:t>
            </w:r>
            <w:r>
              <w:rPr>
                <w:rFonts w:hint="default"/>
                <w:color w:val="1F1F1F"/>
              </w:rPr>
              <w:t>要素</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default"/>
                <w:color w:val="1F1F1F"/>
              </w:rPr>
              <w:t>医療費の比較には、医療費総額を被保険者数で割った</w:t>
            </w:r>
            <w:r>
              <w:rPr>
                <w:rFonts w:hint="default"/>
                <w:color w:val="1F1F1F"/>
              </w:rPr>
              <w:t>1</w:t>
            </w:r>
            <w:r>
              <w:rPr>
                <w:rFonts w:hint="default"/>
                <w:color w:val="1F1F1F"/>
              </w:rPr>
              <w:t>人当たり医療費を用いる。</w:t>
            </w:r>
            <w:r>
              <w:rPr>
                <w:rFonts w:hint="default"/>
                <w:color w:val="1F1F1F"/>
              </w:rPr>
              <w:t xml:space="preserve"> </w:t>
            </w:r>
            <w:r>
              <w:rPr>
                <w:rFonts w:hint="eastAsia"/>
                <w:color w:val="1F1F1F"/>
              </w:rPr>
              <w:t>一</w:t>
            </w:r>
            <w:r>
              <w:rPr>
                <w:rFonts w:hint="default"/>
                <w:color w:val="1F1F1F"/>
              </w:rPr>
              <w:t>人当たり医療費は以下の</w:t>
            </w:r>
            <w:r>
              <w:rPr>
                <w:rFonts w:hint="default"/>
                <w:color w:val="1F1F1F"/>
              </w:rPr>
              <w:t>3</w:t>
            </w:r>
            <w:r>
              <w:rPr>
                <w:rFonts w:hint="default"/>
                <w:color w:val="1F1F1F"/>
              </w:rPr>
              <w:t>つの要素に分解でき、これを医療費の</w:t>
            </w:r>
            <w:r>
              <w:rPr>
                <w:rFonts w:hint="default"/>
                <w:color w:val="1F1F1F"/>
              </w:rPr>
              <w:t>3</w:t>
            </w:r>
            <w:r>
              <w:rPr>
                <w:rFonts w:hint="default"/>
                <w:color w:val="1F1F1F"/>
              </w:rPr>
              <w:t>要素という。</w:t>
            </w:r>
            <w:r>
              <w:rPr>
                <w:rFonts w:hint="default"/>
                <w:color w:val="1F1F1F"/>
              </w:rPr>
              <w:t xml:space="preserve"> </w:t>
            </w:r>
          </w:p>
          <w:p>
            <w:pPr>
              <w:pStyle w:val="0"/>
              <w:spacing w:line="276" w:lineRule="auto"/>
              <w:rPr>
                <w:rFonts w:hint="default"/>
                <w:color w:val="1F1F1F"/>
              </w:rPr>
            </w:pPr>
            <w:r>
              <w:rPr>
                <w:rFonts w:hint="default"/>
                <w:color w:val="1F1F1F"/>
              </w:rPr>
              <w:t>受診率：被保険者千人当たりのレセプト件数</w:t>
            </w:r>
          </w:p>
          <w:p>
            <w:pPr>
              <w:pStyle w:val="0"/>
              <w:spacing w:line="276" w:lineRule="auto"/>
              <w:rPr>
                <w:rFonts w:hint="default"/>
                <w:color w:val="1F1F1F"/>
              </w:rPr>
            </w:pPr>
            <w:r>
              <w:rPr>
                <w:rFonts w:hint="eastAsia"/>
                <w:color w:val="1F1F1F"/>
              </w:rPr>
              <w:t>1</w:t>
            </w:r>
            <w:r>
              <w:rPr>
                <w:rFonts w:hint="default"/>
                <w:color w:val="1F1F1F"/>
              </w:rPr>
              <w:t>件当たり日数：受診した日数</w:t>
            </w:r>
            <w:r>
              <w:rPr>
                <w:rFonts w:hint="default"/>
                <w:color w:val="1F1F1F"/>
              </w:rPr>
              <w:t>/</w:t>
            </w:r>
            <w:r>
              <w:rPr>
                <w:rFonts w:hint="default"/>
                <w:color w:val="1F1F1F"/>
              </w:rPr>
              <w:t>レセプト件数</w:t>
            </w:r>
          </w:p>
          <w:p>
            <w:pPr>
              <w:pStyle w:val="0"/>
              <w:spacing w:line="276" w:lineRule="auto"/>
              <w:rPr>
                <w:rFonts w:hint="default"/>
                <w:color w:val="1F1F1F"/>
              </w:rPr>
            </w:pPr>
            <w:r>
              <w:rPr>
                <w:rFonts w:hint="eastAsia"/>
                <w:color w:val="1F1F1F"/>
              </w:rPr>
              <w:t>一</w:t>
            </w:r>
            <w:r>
              <w:rPr>
                <w:rFonts w:hint="default"/>
                <w:color w:val="1F1F1F"/>
              </w:rPr>
              <w:t>日当たり医療費：総医療費</w:t>
            </w:r>
            <w:r>
              <w:rPr>
                <w:rFonts w:hint="default"/>
                <w:color w:val="1F1F1F"/>
              </w:rPr>
              <w:t>/</w:t>
            </w:r>
            <w:r>
              <w:rPr>
                <w:rFonts w:hint="default"/>
                <w:color w:val="1F1F1F"/>
              </w:rPr>
              <w:t>受診した日数</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3</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HDL-C</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default"/>
                <w:color w:val="1F1F1F"/>
              </w:rPr>
              <w:t>余分なコレステロールを回収して動脈硬化を抑える、善玉コレステロール。</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4</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ALT</w:t>
            </w:r>
          </w:p>
        </w:tc>
        <w:tc>
          <w:tcPr>
            <w:tcW w:w="5978" w:type="dxa"/>
            <w:tcMar>
              <w:top w:w="28" w:type="dxa"/>
              <w:left w:w="28" w:type="dxa"/>
              <w:bottom w:w="28" w:type="dxa"/>
              <w:right w:w="28" w:type="dxa"/>
            </w:tcMar>
            <w:vAlign w:val="center"/>
          </w:tcPr>
          <w:p>
            <w:pPr>
              <w:pStyle w:val="0"/>
              <w:rPr>
                <w:rFonts w:hint="default"/>
                <w:color w:val="1F1F1F"/>
              </w:rPr>
            </w:pPr>
            <w:r>
              <w:rPr>
                <w:rFonts w:hint="default"/>
                <w:color w:val="1F1F1F"/>
              </w:rPr>
              <w:t>アミノ酸をつくり出す酵素で</w:t>
            </w:r>
            <w:r>
              <w:rPr>
                <w:rFonts w:hint="eastAsia"/>
                <w:color w:val="1F1F1F"/>
              </w:rPr>
              <w:t>大部分が肝細胞に含まれている。</w:t>
            </w:r>
          </w:p>
          <w:p>
            <w:pPr>
              <w:pStyle w:val="0"/>
              <w:spacing w:line="276" w:lineRule="auto"/>
              <w:rPr>
                <w:rFonts w:hint="default"/>
                <w:color w:val="1F1F1F"/>
              </w:rPr>
            </w:pPr>
            <w:r>
              <w:rPr>
                <w:rFonts w:hint="default"/>
                <w:color w:val="1F1F1F"/>
              </w:rPr>
              <w:t>肝臓の細胞が障害を受けると</w:t>
            </w:r>
            <w:r>
              <w:rPr>
                <w:rFonts w:hint="default"/>
                <w:color w:val="1F1F1F"/>
              </w:rPr>
              <w:t>ALT</w:t>
            </w:r>
            <w:r>
              <w:rPr>
                <w:rFonts w:hint="default"/>
                <w:color w:val="1F1F1F"/>
              </w:rPr>
              <w:t>が血液中に流れ出し血中濃度が上がるため、</w:t>
            </w:r>
            <w:r>
              <w:rPr>
                <w:rFonts w:hint="default"/>
                <w:color w:val="1F1F1F"/>
              </w:rPr>
              <w:t>ALT</w:t>
            </w:r>
            <w:r>
              <w:rPr>
                <w:rFonts w:hint="default"/>
                <w:color w:val="1F1F1F"/>
              </w:rPr>
              <w:t>の数値が高い場合は、肝臓の病気が疑われる。</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5</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LDL-C</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default"/>
                <w:color w:val="1F1F1F"/>
              </w:rPr>
              <w:t>肝臓で作られたコレステロールを全身へ運ぶ役割を担っており、増えすぎると動脈硬化を起こして心筋梗塞や脳梗塞を発症させる、悪玉コレステロール。</w:t>
            </w:r>
          </w:p>
        </w:tc>
      </w:tr>
      <w:tr>
        <w:trPr/>
        <w:tc>
          <w:tcPr>
            <w:tcW w:w="635" w:type="dxa"/>
            <w:vMerge w:val="restart"/>
            <w:tcMar>
              <w:top w:w="28" w:type="dxa"/>
              <w:left w:w="28" w:type="dxa"/>
              <w:bottom w:w="28" w:type="dxa"/>
              <w:right w:w="28" w:type="dxa"/>
            </w:tcMar>
            <w:vAlign w:val="top"/>
          </w:tcPr>
          <w:p>
            <w:pPr>
              <w:pStyle w:val="0"/>
              <w:spacing w:line="276" w:lineRule="auto"/>
              <w:rPr>
                <w:rFonts w:hint="default"/>
              </w:rPr>
            </w:pPr>
            <w:r>
              <w:rPr>
                <w:rFonts w:hint="default"/>
              </w:rPr>
              <w:t>か</w:t>
            </w:r>
            <w:r>
              <w:rPr>
                <w:rFonts w:hint="eastAsia"/>
              </w:rPr>
              <w:t>行</w:t>
            </w: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6</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拡張期血圧</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default"/>
                <w:color w:val="1F1F1F"/>
              </w:rPr>
              <w:t>血圧は</w:t>
            </w:r>
            <w:r>
              <w:rPr>
                <w:rFonts w:hint="eastAsia"/>
                <w:color w:val="1F1F1F"/>
              </w:rPr>
              <w:t>一般的には動脈内部の圧力のことを指し、</w:t>
            </w:r>
            <w:r>
              <w:rPr>
                <w:rFonts w:hint="default"/>
                <w:color w:val="1F1F1F"/>
              </w:rPr>
              <w:t>心臓の収縮に伴って大きく変動する。</w:t>
            </w:r>
            <w:r>
              <w:rPr>
                <w:rFonts w:hint="eastAsia"/>
                <w:color w:val="1F1F1F"/>
              </w:rPr>
              <w:t>最小となる血圧は心臓が</w:t>
            </w:r>
            <w:r>
              <w:rPr>
                <w:rFonts w:hint="default"/>
                <w:color w:val="1F1F1F"/>
              </w:rPr>
              <w:t>拡張したときの血圧で拡張期血圧と呼ばれる。</w:t>
            </w:r>
          </w:p>
        </w:tc>
      </w:tr>
      <w:tr>
        <w:trPr/>
        <w:tc>
          <w:tcPr>
            <w:tcW w:w="635" w:type="dxa"/>
            <w:vMerge w:val="continue"/>
            <w:tcMar>
              <w:top w:w="28" w:type="dxa"/>
              <w:left w:w="28" w:type="dxa"/>
              <w:bottom w:w="28" w:type="dxa"/>
              <w:right w:w="28" w:type="dxa"/>
            </w:tcMar>
            <w:vAlign w:val="center"/>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7</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虚血性心疾患</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default"/>
                <w:color w:val="1F1F1F"/>
              </w:rPr>
              <w:t>虚血性心疾患には、狭心症や心筋梗塞がある。狭心症は動脈硬化などによって心臓の血管（冠動脈）が狭くなり、血液の流れが悪くなった状態。一方、心筋梗塞は、動脈硬化によって心臓の血管に血栓（血液の固まり）ができて血管が詰まり、血液が流れなくなって心筋の細胞が壊れてしまう病気。</w:t>
            </w:r>
          </w:p>
        </w:tc>
      </w:tr>
      <w:tr>
        <w:trPr/>
        <w:tc>
          <w:tcPr>
            <w:tcW w:w="635" w:type="dxa"/>
            <w:vMerge w:val="continue"/>
            <w:tcMar>
              <w:top w:w="28" w:type="dxa"/>
              <w:left w:w="28" w:type="dxa"/>
              <w:bottom w:w="28" w:type="dxa"/>
              <w:right w:w="28" w:type="dxa"/>
            </w:tcMar>
            <w:vAlign w:val="center"/>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8</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空腹時血糖</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eastAsia"/>
                <w:color w:val="1F1F1F"/>
              </w:rPr>
              <w:t>血糖値は、血液中に含まれるブドウ糖（グルコース）の濃度のことで、食前食後で変動する。空腹時血糖は食後</w:t>
            </w:r>
            <w:r>
              <w:rPr>
                <w:rFonts w:hint="default"/>
                <w:color w:val="1F1F1F"/>
              </w:rPr>
              <w:t>10</w:t>
            </w:r>
            <w:r>
              <w:rPr>
                <w:rFonts w:hint="default"/>
                <w:color w:val="1F1F1F"/>
              </w:rPr>
              <w:t>時間以上経過した時点での血糖値</w:t>
            </w:r>
            <w:r>
              <w:rPr>
                <w:rFonts w:hint="eastAsia"/>
                <w:color w:val="1F1F1F"/>
              </w:rPr>
              <w:t>。</w:t>
            </w:r>
          </w:p>
        </w:tc>
      </w:tr>
      <w:tr>
        <w:trPr/>
        <w:tc>
          <w:tcPr>
            <w:tcW w:w="635" w:type="dxa"/>
            <w:vMerge w:val="continue"/>
            <w:tcMar>
              <w:top w:w="28" w:type="dxa"/>
              <w:left w:w="28" w:type="dxa"/>
              <w:bottom w:w="28" w:type="dxa"/>
              <w:right w:w="28" w:type="dxa"/>
            </w:tcMar>
            <w:vAlign w:val="center"/>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9</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KDB</w:t>
            </w:r>
            <w:r>
              <w:rPr>
                <w:rFonts w:hint="default"/>
                <w:color w:val="1F1F1F"/>
              </w:rPr>
              <w:t>システム</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default"/>
                <w:color w:val="1F1F1F"/>
              </w:rPr>
              <w:t>国保連合会が保険者の委託を受けて行う各種業務を通じて管理する「特定健診・特定保健指導」「医療（後期高齢者医療含む）」「介護保険」等の情報を活用し、統計情報や「個人の健康に関する情報」を提供し、保険者の効率的かつ効果的な保健事業の実施をサポートすることを目的として構築されたシステム。</w:t>
            </w:r>
          </w:p>
        </w:tc>
      </w:tr>
      <w:tr>
        <w:trPr>
          <w:trHeight w:val="300" w:hRule="atLeast"/>
        </w:trPr>
        <w:tc>
          <w:tcPr>
            <w:tcW w:w="635" w:type="dxa"/>
            <w:vMerge w:val="continue"/>
            <w:tcMar>
              <w:top w:w="28" w:type="dxa"/>
              <w:left w:w="28" w:type="dxa"/>
              <w:bottom w:w="28" w:type="dxa"/>
              <w:right w:w="28" w:type="dxa"/>
            </w:tcMar>
            <w:vAlign w:val="center"/>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10</w:t>
            </w:r>
          </w:p>
        </w:tc>
        <w:tc>
          <w:tcPr>
            <w:tcW w:w="2126" w:type="dxa"/>
            <w:tcMar>
              <w:top w:w="28" w:type="dxa"/>
              <w:left w:w="28" w:type="dxa"/>
              <w:bottom w:w="28" w:type="dxa"/>
              <w:right w:w="28" w:type="dxa"/>
            </w:tcMar>
            <w:vAlign w:val="center"/>
          </w:tcPr>
          <w:p>
            <w:pPr>
              <w:pStyle w:val="0"/>
              <w:spacing w:line="276" w:lineRule="auto"/>
              <w:jc w:val="both"/>
              <w:rPr>
                <w:rFonts w:hint="default"/>
                <w:color w:val="1F1F1F"/>
              </w:rPr>
            </w:pPr>
            <w:r>
              <w:rPr>
                <w:rFonts w:hint="default"/>
                <w:color w:val="1F1F1F"/>
              </w:rPr>
              <w:t>血清クレアチニン</w:t>
            </w:r>
          </w:p>
        </w:tc>
        <w:tc>
          <w:tcPr>
            <w:tcW w:w="5978" w:type="dxa"/>
            <w:tcMar>
              <w:top w:w="28" w:type="dxa"/>
              <w:left w:w="28" w:type="dxa"/>
              <w:bottom w:w="28" w:type="dxa"/>
              <w:right w:w="28" w:type="dxa"/>
            </w:tcMar>
            <w:vAlign w:val="center"/>
          </w:tcPr>
          <w:p>
            <w:pPr>
              <w:pStyle w:val="0"/>
              <w:spacing w:line="276" w:lineRule="auto"/>
              <w:rPr>
                <w:rFonts w:hint="default"/>
                <w:color w:val="1F1F1F"/>
              </w:rPr>
            </w:pPr>
            <w:r>
              <w:rPr>
                <w:rFonts w:hint="eastAsia"/>
                <w:color w:val="1F1F1F"/>
              </w:rPr>
              <w:t>たんぱく質が分解・代謝されてできた老廃物。通常は尿とともに排泄されるが、腎機能が低下すると排泄できず血液中に増えていく。</w:t>
            </w:r>
          </w:p>
        </w:tc>
      </w:tr>
      <w:tr>
        <w:trPr>
          <w:trHeight w:val="300" w:hRule="atLeast"/>
        </w:trPr>
        <w:tc>
          <w:tcPr>
            <w:tcW w:w="635" w:type="dxa"/>
            <w:vMerge w:val="continue"/>
            <w:tcMar>
              <w:top w:w="28" w:type="dxa"/>
              <w:left w:w="28" w:type="dxa"/>
              <w:bottom w:w="28" w:type="dxa"/>
              <w:right w:w="28" w:type="dxa"/>
            </w:tcMar>
            <w:vAlign w:val="center"/>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11</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健康寿命</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世界保健機関（</w:t>
            </w:r>
            <w:r>
              <w:rPr>
                <w:rFonts w:hint="default"/>
              </w:rPr>
              <w:t>WHO</w:t>
            </w:r>
            <w:r>
              <w:rPr>
                <w:rFonts w:hint="eastAsia"/>
              </w:rPr>
              <w:t>）</w:t>
            </w:r>
            <w:r>
              <w:rPr>
                <w:rFonts w:hint="default"/>
              </w:rPr>
              <w:t>が提唱した新しい指標で、平均寿命から寝たきりや認知症など介護状態の期間を差し引いた期間。</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12</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後期高齢者医療制度</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公的医療保険制度の</w:t>
            </w:r>
            <w:r>
              <w:rPr>
                <w:rFonts w:hint="default"/>
              </w:rPr>
              <w:t>1</w:t>
            </w:r>
            <w:r>
              <w:rPr>
                <w:rFonts w:hint="default"/>
              </w:rPr>
              <w:t>つで、</w:t>
            </w:r>
            <w:r>
              <w:rPr>
                <w:rFonts w:hint="default"/>
              </w:rPr>
              <w:t>75</w:t>
            </w:r>
            <w:r>
              <w:rPr>
                <w:rFonts w:hint="default"/>
              </w:rPr>
              <w:t>歳以上の人、そして</w:t>
            </w:r>
            <w:r>
              <w:rPr>
                <w:rFonts w:hint="default"/>
              </w:rPr>
              <w:t>65</w:t>
            </w:r>
            <w:r>
              <w:rPr>
                <w:rFonts w:hint="default"/>
              </w:rPr>
              <w:t>歳から</w:t>
            </w:r>
            <w:r>
              <w:rPr>
                <w:rFonts w:hint="default"/>
              </w:rPr>
              <w:t>74</w:t>
            </w:r>
            <w:r>
              <w:rPr>
                <w:rFonts w:hint="default"/>
              </w:rPr>
              <w:t>歳までで一定の障害の状態にあると後期高齢者医療広域連合から認定を受けた人が加入する医療保険。</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13</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高血圧症</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高血圧は、血圧が高いという病態。高血圧症とは、</w:t>
            </w:r>
            <w:r>
              <w:rPr>
                <w:rFonts w:hint="eastAsia"/>
              </w:rPr>
              <w:t>繰り返し</w:t>
            </w:r>
            <w:r>
              <w:rPr>
                <w:rFonts w:hint="default"/>
              </w:rPr>
              <w:t>測っても血圧が正常より高い場合をいう。</w:t>
            </w:r>
          </w:p>
        </w:tc>
      </w:tr>
      <w:tr>
        <w:trPr>
          <w:trHeight w:val="49" w:hRule="atLeast"/>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14</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後発医薬品</w:t>
            </w:r>
          </w:p>
          <w:p>
            <w:pPr>
              <w:pStyle w:val="0"/>
              <w:spacing w:line="276" w:lineRule="auto"/>
              <w:jc w:val="both"/>
              <w:rPr>
                <w:rFonts w:hint="default"/>
              </w:rPr>
            </w:pPr>
            <w:r>
              <w:rPr>
                <w:rFonts w:hint="default"/>
              </w:rPr>
              <w:t>（ジェネリック医薬品</w:t>
            </w:r>
            <w:r>
              <w:rPr>
                <w:rFonts w:hint="default"/>
                <w:color w:val="1F1F1F"/>
              </w:rPr>
              <w:t>）</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先発医薬品の特許</w:t>
            </w:r>
            <w:r>
              <w:rPr>
                <w:rFonts w:hint="eastAsia"/>
              </w:rPr>
              <w:t>期間</w:t>
            </w:r>
            <w:r>
              <w:rPr>
                <w:rFonts w:hint="default"/>
              </w:rPr>
              <w:t>終了後に、先発医薬品と品質・有効性・安全性が同等であるものとして厚生労働大臣が承認を行っているもの。</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15</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高齢化率</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全人口に占める</w:t>
            </w:r>
            <w:r>
              <w:rPr>
                <w:rFonts w:hint="default"/>
              </w:rPr>
              <w:t>65</w:t>
            </w:r>
            <w:r>
              <w:rPr>
                <w:rFonts w:hint="default"/>
              </w:rPr>
              <w:t>歳以上人口</w:t>
            </w:r>
            <w:r>
              <w:rPr>
                <w:rFonts w:hint="eastAsia"/>
              </w:rPr>
              <w:t>の</w:t>
            </w:r>
            <w:r>
              <w:rPr>
                <w:rFonts w:hint="default"/>
              </w:rPr>
              <w:t>割合。</w:t>
            </w:r>
          </w:p>
        </w:tc>
      </w:tr>
      <w:tr>
        <w:trPr/>
        <w:tc>
          <w:tcPr>
            <w:tcW w:w="635" w:type="dxa"/>
            <w:vMerge w:val="restart"/>
            <w:tcMar>
              <w:top w:w="28" w:type="dxa"/>
              <w:left w:w="28" w:type="dxa"/>
              <w:bottom w:w="28" w:type="dxa"/>
              <w:right w:w="28" w:type="dxa"/>
            </w:tcMar>
            <w:vAlign w:val="top"/>
          </w:tcPr>
          <w:p>
            <w:pPr>
              <w:pStyle w:val="0"/>
              <w:spacing w:line="276" w:lineRule="auto"/>
              <w:rPr>
                <w:rFonts w:hint="default"/>
              </w:rPr>
            </w:pPr>
            <w:r>
              <w:rPr>
                <w:rFonts w:hint="eastAsia"/>
              </w:rPr>
              <w:t>さ行</w:t>
            </w: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16</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脂質異常症</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中性脂肪やコレステロールなどの脂質代謝に異常をきたした状態。</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17</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疾病分類</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世界保健機関（</w:t>
            </w:r>
            <w:r>
              <w:rPr>
                <w:rFonts w:hint="default"/>
              </w:rPr>
              <w:t>WHO</w:t>
            </w:r>
            <w:r>
              <w:rPr>
                <w:rFonts w:hint="default"/>
              </w:rPr>
              <w:t>）により公表されている「疾病及び関連保健問題の国際統計分類」（略称、国際疾病分類：</w:t>
            </w:r>
            <w:r>
              <w:rPr>
                <w:rFonts w:hint="default"/>
              </w:rPr>
              <w:t>ICD</w:t>
            </w:r>
            <w:r>
              <w:rPr>
                <w:rFonts w:hint="default"/>
              </w:rPr>
              <w:t>）に準じて定めたものであり、社会保険の分野で疾病統計を作成する際の統一的基準として、広く用いられているもの。</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18</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収縮期血圧</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血圧は一般的には動脈内部の圧力のことを指し、心臓の収縮に伴って大きく変動する。最大となる血圧は心臓が収縮したときの血圧で収縮期血圧と呼ばれる。</w:t>
            </w:r>
          </w:p>
        </w:tc>
      </w:tr>
      <w:tr>
        <w:trPr>
          <w:trHeight w:val="300" w:hRule="atLeast"/>
        </w:trPr>
        <w:tc>
          <w:tcPr>
            <w:tcW w:w="635" w:type="dxa"/>
            <w:vMerge w:val="continue"/>
            <w:tcMar>
              <w:top w:w="28" w:type="dxa"/>
              <w:left w:w="28" w:type="dxa"/>
              <w:bottom w:w="28" w:type="dxa"/>
              <w:right w:w="28" w:type="dxa"/>
            </w:tcMar>
            <w:vAlign w:val="top"/>
          </w:tcPr>
          <w:p>
            <w:pPr>
              <w:pStyle w:val="0"/>
              <w:jc w:val="center"/>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19</w:t>
            </w:r>
          </w:p>
        </w:tc>
        <w:tc>
          <w:tcPr>
            <w:tcW w:w="2126" w:type="dxa"/>
            <w:tcMar>
              <w:top w:w="28" w:type="dxa"/>
              <w:left w:w="28" w:type="dxa"/>
              <w:bottom w:w="28" w:type="dxa"/>
              <w:right w:w="28" w:type="dxa"/>
            </w:tcMar>
            <w:vAlign w:val="center"/>
          </w:tcPr>
          <w:p>
            <w:pPr>
              <w:pStyle w:val="0"/>
              <w:jc w:val="both"/>
              <w:rPr>
                <w:rFonts w:hint="default"/>
              </w:rPr>
            </w:pPr>
            <w:r>
              <w:rPr>
                <w:rFonts w:hint="default"/>
              </w:rPr>
              <w:t>受診勧奨対象者</w:t>
            </w:r>
          </w:p>
        </w:tc>
        <w:tc>
          <w:tcPr>
            <w:tcW w:w="5978" w:type="dxa"/>
            <w:tcMar>
              <w:top w:w="28" w:type="dxa"/>
              <w:left w:w="28" w:type="dxa"/>
              <w:bottom w:w="28" w:type="dxa"/>
              <w:right w:w="28" w:type="dxa"/>
            </w:tcMar>
            <w:vAlign w:val="top"/>
          </w:tcPr>
          <w:p>
            <w:pPr>
              <w:pStyle w:val="0"/>
              <w:jc w:val="both"/>
              <w:rPr>
                <w:rFonts w:hint="default"/>
              </w:rPr>
            </w:pPr>
            <w:r>
              <w:rPr>
                <w:rFonts w:hint="default"/>
              </w:rPr>
              <w:t>特定健診受診者の</w:t>
            </w:r>
            <w:r>
              <w:rPr>
                <w:rFonts w:hint="eastAsia"/>
              </w:rPr>
              <w:t>うち</w:t>
            </w:r>
            <w:r>
              <w:rPr>
                <w:rFonts w:hint="default"/>
              </w:rPr>
              <w:t>、医療機関の受診を促す基準として設定されている受診勧奨判定値を超える</w:t>
            </w:r>
            <w:r>
              <w:rPr>
                <w:rFonts w:hint="eastAsia"/>
              </w:rPr>
              <w:t>者</w:t>
            </w:r>
            <w:r>
              <w:rPr>
                <w:rFonts w:hint="default"/>
              </w:rPr>
              <w:t>。</w:t>
            </w:r>
          </w:p>
        </w:tc>
      </w:tr>
      <w:tr>
        <w:trPr>
          <w:trHeight w:val="300" w:hRule="atLeast"/>
        </w:trPr>
        <w:tc>
          <w:tcPr>
            <w:tcW w:w="635" w:type="dxa"/>
            <w:vMerge w:val="continue"/>
            <w:tcMar>
              <w:top w:w="28" w:type="dxa"/>
              <w:left w:w="28" w:type="dxa"/>
              <w:bottom w:w="28" w:type="dxa"/>
              <w:right w:w="28" w:type="dxa"/>
            </w:tcMar>
            <w:vAlign w:val="top"/>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20</w:t>
            </w:r>
          </w:p>
        </w:tc>
        <w:tc>
          <w:tcPr>
            <w:tcW w:w="2126" w:type="dxa"/>
            <w:tcMar>
              <w:top w:w="28" w:type="dxa"/>
              <w:left w:w="28" w:type="dxa"/>
              <w:bottom w:w="28" w:type="dxa"/>
              <w:right w:w="28" w:type="dxa"/>
            </w:tcMar>
            <w:vAlign w:val="center"/>
          </w:tcPr>
          <w:p>
            <w:pPr>
              <w:pStyle w:val="0"/>
              <w:jc w:val="both"/>
              <w:rPr>
                <w:rFonts w:hint="default"/>
              </w:rPr>
            </w:pPr>
            <w:r>
              <w:rPr>
                <w:rFonts w:hint="default"/>
              </w:rPr>
              <w:t>人工透析</w:t>
            </w:r>
          </w:p>
        </w:tc>
        <w:tc>
          <w:tcPr>
            <w:tcW w:w="5978" w:type="dxa"/>
            <w:tcMar>
              <w:top w:w="28" w:type="dxa"/>
              <w:left w:w="28" w:type="dxa"/>
              <w:bottom w:w="28" w:type="dxa"/>
              <w:right w:w="28" w:type="dxa"/>
            </w:tcMar>
            <w:vAlign w:val="center"/>
          </w:tcPr>
          <w:p>
            <w:pPr>
              <w:pStyle w:val="0"/>
              <w:rPr>
                <w:rFonts w:hint="default"/>
              </w:rPr>
            </w:pPr>
            <w:r>
              <w:rPr>
                <w:rFonts w:hint="default"/>
              </w:rPr>
              <w:t>機能が著しく低下した腎臓に代わり、機械で老廃物を取り除くこと。一般的に行われている「血液透析」は、患者の腕の血管から血液を取り出し、老廃物を除去</w:t>
            </w:r>
            <w:r>
              <w:rPr>
                <w:rFonts w:hint="eastAsia"/>
              </w:rPr>
              <w:t>する</w:t>
            </w:r>
            <w:r>
              <w:rPr>
                <w:rFonts w:hint="default"/>
              </w:rPr>
              <w:t>。</w:t>
            </w:r>
          </w:p>
        </w:tc>
      </w:tr>
      <w:tr>
        <w:trPr>
          <w:trHeight w:val="49" w:hRule="atLeast"/>
        </w:trPr>
        <w:tc>
          <w:tcPr>
            <w:tcW w:w="635" w:type="dxa"/>
            <w:vMerge w:val="continue"/>
            <w:tcMar>
              <w:top w:w="28" w:type="dxa"/>
              <w:left w:w="28" w:type="dxa"/>
              <w:bottom w:w="28" w:type="dxa"/>
              <w:right w:w="28" w:type="dxa"/>
            </w:tcMar>
            <w:vAlign w:val="center"/>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jc w:val="both"/>
              <w:rPr>
                <w:rFonts w:hint="default"/>
              </w:rPr>
            </w:pPr>
            <w:r>
              <w:rPr>
                <w:rFonts w:hint="default"/>
              </w:rPr>
              <w:t>21</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腎不全</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color w:val="1F1F1F"/>
              </w:rPr>
              <w:t>腎臓の中にある毛細血管の集合体で</w:t>
            </w:r>
            <w:r>
              <w:rPr>
                <w:rFonts w:hint="eastAsia"/>
                <w:color w:val="1F1F1F"/>
              </w:rPr>
              <w:t>、</w:t>
            </w:r>
            <w:r>
              <w:rPr>
                <w:rFonts w:hint="default"/>
              </w:rPr>
              <w:t>血液を濾過する「糸球体」の網の目が</w:t>
            </w:r>
            <w:r>
              <w:rPr>
                <w:rFonts w:hint="eastAsia"/>
              </w:rPr>
              <w:t>詰まり</w:t>
            </w:r>
            <w:r>
              <w:rPr>
                <w:rFonts w:hint="default"/>
              </w:rPr>
              <w:t>、腎臓の機能がおち、老廃物を十分排泄できなくなる状態。</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22</w:t>
            </w:r>
          </w:p>
        </w:tc>
        <w:tc>
          <w:tcPr>
            <w:tcW w:w="2126" w:type="dxa"/>
            <w:tcMar>
              <w:top w:w="28" w:type="dxa"/>
              <w:left w:w="28" w:type="dxa"/>
              <w:bottom w:w="28" w:type="dxa"/>
              <w:right w:w="28" w:type="dxa"/>
            </w:tcMar>
            <w:vAlign w:val="center"/>
          </w:tcPr>
          <w:p>
            <w:pPr>
              <w:pStyle w:val="0"/>
              <w:jc w:val="both"/>
              <w:rPr>
                <w:rFonts w:hint="default"/>
              </w:rPr>
            </w:pPr>
            <w:r>
              <w:rPr>
                <w:rFonts w:hint="default"/>
              </w:rPr>
              <w:t>診療報酬明細書</w:t>
            </w:r>
          </w:p>
          <w:p>
            <w:pPr>
              <w:pStyle w:val="0"/>
              <w:jc w:val="both"/>
              <w:rPr>
                <w:rFonts w:hint="default"/>
              </w:rPr>
            </w:pPr>
            <w:r>
              <w:rPr>
                <w:rFonts w:hint="default"/>
              </w:rPr>
              <w:t>（レセプト）</w:t>
            </w:r>
          </w:p>
        </w:tc>
        <w:tc>
          <w:tcPr>
            <w:tcW w:w="5978" w:type="dxa"/>
            <w:tcMar>
              <w:top w:w="28" w:type="dxa"/>
              <w:left w:w="28" w:type="dxa"/>
              <w:bottom w:w="28" w:type="dxa"/>
              <w:right w:w="28" w:type="dxa"/>
            </w:tcMar>
            <w:vAlign w:val="center"/>
          </w:tcPr>
          <w:p>
            <w:pPr>
              <w:pStyle w:val="0"/>
              <w:rPr>
                <w:rFonts w:hint="default"/>
              </w:rPr>
            </w:pPr>
            <w:r>
              <w:rPr>
                <w:rFonts w:hint="default"/>
              </w:rPr>
              <w:t>病院などが患者に対して治療を行った際、費用（医療費）を保険者に請求するときに使用する書類のこと。病院などは受診した患者ごとに毎月</w:t>
            </w:r>
            <w:r>
              <w:rPr>
                <w:rFonts w:hint="default"/>
              </w:rPr>
              <w:t>1</w:t>
            </w:r>
            <w:r>
              <w:rPr>
                <w:rFonts w:hint="default"/>
              </w:rPr>
              <w:t>枚作成する。</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23</w:t>
            </w:r>
          </w:p>
        </w:tc>
        <w:tc>
          <w:tcPr>
            <w:tcW w:w="2126" w:type="dxa"/>
            <w:tcMar>
              <w:top w:w="28" w:type="dxa"/>
              <w:left w:w="28" w:type="dxa"/>
              <w:bottom w:w="28" w:type="dxa"/>
              <w:right w:w="28" w:type="dxa"/>
            </w:tcMar>
            <w:vAlign w:val="center"/>
          </w:tcPr>
          <w:p>
            <w:pPr>
              <w:pStyle w:val="0"/>
              <w:jc w:val="both"/>
              <w:rPr>
                <w:rFonts w:hint="default"/>
              </w:rPr>
            </w:pPr>
            <w:r>
              <w:rPr>
                <w:rFonts w:hint="default"/>
              </w:rPr>
              <w:t>生活習慣病</w:t>
            </w:r>
          </w:p>
        </w:tc>
        <w:tc>
          <w:tcPr>
            <w:tcW w:w="5978" w:type="dxa"/>
            <w:tcMar>
              <w:top w:w="28" w:type="dxa"/>
              <w:left w:w="28" w:type="dxa"/>
              <w:bottom w:w="28" w:type="dxa"/>
              <w:right w:w="28" w:type="dxa"/>
            </w:tcMar>
            <w:vAlign w:val="center"/>
          </w:tcPr>
          <w:p>
            <w:pPr>
              <w:pStyle w:val="0"/>
              <w:rPr>
                <w:rFonts w:hint="default"/>
              </w:rPr>
            </w:pPr>
            <w:r>
              <w:rPr>
                <w:rFonts w:hint="default"/>
              </w:rPr>
              <w:t>食事や運動・喫煙・飲酒・ストレスなどの生活習慣が原因で起こる疾患の総称。重篤な疾患の要因となる。日本人の</w:t>
            </w:r>
            <w:r>
              <w:rPr>
                <w:rFonts w:hint="eastAsia"/>
              </w:rPr>
              <w:t>3</w:t>
            </w:r>
            <w:r>
              <w:rPr>
                <w:rFonts w:hint="default"/>
              </w:rPr>
              <w:t>大死因であるがん・脳血管疾患・心疾患、更に脳血管疾患や心疾患の危険因子となる動脈硬化症・糖尿病・高血圧症・脂質異常症などはいずれも生活習慣病であるとされている。</w:t>
            </w:r>
          </w:p>
        </w:tc>
      </w:tr>
      <w:tr>
        <w:trPr>
          <w:trHeight w:val="300" w:hRule="atLeast"/>
        </w:trPr>
        <w:tc>
          <w:tcPr>
            <w:tcW w:w="635" w:type="dxa"/>
            <w:vMerge w:val="continue"/>
            <w:tcMar>
              <w:top w:w="28" w:type="dxa"/>
              <w:left w:w="28" w:type="dxa"/>
              <w:bottom w:w="28" w:type="dxa"/>
              <w:right w:w="28" w:type="dxa"/>
            </w:tcMar>
            <w:vAlign w:val="top"/>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24</w:t>
            </w:r>
          </w:p>
        </w:tc>
        <w:tc>
          <w:tcPr>
            <w:tcW w:w="2126" w:type="dxa"/>
            <w:tcMar>
              <w:top w:w="28" w:type="dxa"/>
              <w:left w:w="28" w:type="dxa"/>
              <w:bottom w:w="28" w:type="dxa"/>
              <w:right w:w="28" w:type="dxa"/>
            </w:tcMar>
            <w:vAlign w:val="center"/>
          </w:tcPr>
          <w:p>
            <w:pPr>
              <w:pStyle w:val="0"/>
              <w:jc w:val="both"/>
              <w:rPr>
                <w:rFonts w:hint="default"/>
              </w:rPr>
            </w:pPr>
            <w:r>
              <w:rPr>
                <w:rFonts w:hint="default"/>
              </w:rPr>
              <w:t>積極的支援</w:t>
            </w:r>
          </w:p>
        </w:tc>
        <w:tc>
          <w:tcPr>
            <w:tcW w:w="5978" w:type="dxa"/>
            <w:tcMar>
              <w:top w:w="28" w:type="dxa"/>
              <w:left w:w="28" w:type="dxa"/>
              <w:bottom w:w="28" w:type="dxa"/>
              <w:right w:w="28" w:type="dxa"/>
            </w:tcMar>
            <w:vAlign w:val="center"/>
          </w:tcPr>
          <w:p>
            <w:pPr>
              <w:pStyle w:val="0"/>
              <w:rPr>
                <w:rFonts w:hint="default"/>
              </w:rPr>
            </w:pPr>
            <w:r>
              <w:rPr>
                <w:rFonts w:hint="default"/>
              </w:rPr>
              <w:t>腹囲と</w:t>
            </w:r>
            <w:r>
              <w:rPr>
                <w:rFonts w:hint="default"/>
              </w:rPr>
              <w:t>BMI</w:t>
            </w:r>
            <w:r>
              <w:rPr>
                <w:rFonts w:hint="default"/>
              </w:rPr>
              <w:t>から、内臓脂肪蓄積のリスクありと判定された</w:t>
            </w:r>
            <w:r>
              <w:rPr>
                <w:rFonts w:hint="eastAsia"/>
              </w:rPr>
              <w:t>者</w:t>
            </w:r>
            <w:r>
              <w:rPr>
                <w:rFonts w:hint="default"/>
              </w:rPr>
              <w:t>の</w:t>
            </w:r>
            <w:r>
              <w:rPr>
                <w:rFonts w:hint="eastAsia"/>
              </w:rPr>
              <w:t>うち</w:t>
            </w:r>
            <w:r>
              <w:rPr>
                <w:rFonts w:hint="default"/>
              </w:rPr>
              <w:t>、血圧高値・脂質異常・血糖高値・喫煙ありの追加リスクに</w:t>
            </w:r>
            <w:r>
              <w:rPr>
                <w:rFonts w:hint="default"/>
              </w:rPr>
              <w:t>2</w:t>
            </w:r>
            <w:r>
              <w:rPr>
                <w:rFonts w:hint="default"/>
              </w:rPr>
              <w:t>又は</w:t>
            </w:r>
            <w:r>
              <w:rPr>
                <w:rFonts w:hint="default"/>
              </w:rPr>
              <w:t>3</w:t>
            </w:r>
            <w:r>
              <w:rPr>
                <w:rFonts w:hint="default"/>
              </w:rPr>
              <w:t>以上該当した</w:t>
            </w:r>
            <w:r>
              <w:rPr>
                <w:rFonts w:hint="eastAsia"/>
              </w:rPr>
              <w:t>者</w:t>
            </w:r>
            <w:r>
              <w:rPr>
                <w:rFonts w:hint="default"/>
              </w:rPr>
              <w:t>に対して実施する特定保健指導。</w:t>
            </w:r>
            <w:r>
              <w:rPr>
                <w:rFonts w:hint="default"/>
              </w:rPr>
              <w:t>65</w:t>
            </w:r>
            <w:r>
              <w:rPr>
                <w:rFonts w:hint="default"/>
              </w:rPr>
              <w:t>歳以上</w:t>
            </w:r>
            <w:r>
              <w:rPr>
                <w:rFonts w:hint="default"/>
              </w:rPr>
              <w:t>75</w:t>
            </w:r>
            <w:r>
              <w:rPr>
                <w:rFonts w:hint="default"/>
              </w:rPr>
              <w:t>歳未満の者については「積極的支援」の対象となった場合でも「動機付け支援」とする。</w:t>
            </w:r>
          </w:p>
        </w:tc>
      </w:tr>
      <w:tr>
        <w:trPr>
          <w:trHeight w:val="300" w:hRule="atLeast"/>
        </w:trPr>
        <w:tc>
          <w:tcPr>
            <w:tcW w:w="635" w:type="dxa"/>
            <w:vMerge w:val="restart"/>
            <w:tcMar>
              <w:top w:w="28" w:type="dxa"/>
              <w:left w:w="28" w:type="dxa"/>
              <w:bottom w:w="28" w:type="dxa"/>
              <w:right w:w="28" w:type="dxa"/>
            </w:tcMar>
            <w:vAlign w:val="top"/>
          </w:tcPr>
          <w:p>
            <w:pPr>
              <w:pStyle w:val="0"/>
              <w:rPr>
                <w:rFonts w:hint="default"/>
              </w:rPr>
            </w:pPr>
            <w:r>
              <w:rPr>
                <w:rFonts w:hint="eastAsia"/>
              </w:rPr>
              <w:t>た行</w:t>
            </w:r>
          </w:p>
        </w:tc>
        <w:tc>
          <w:tcPr>
            <w:tcW w:w="636" w:type="dxa"/>
            <w:tcMar>
              <w:top w:w="28" w:type="dxa"/>
              <w:left w:w="28" w:type="dxa"/>
              <w:bottom w:w="28" w:type="dxa"/>
              <w:right w:w="28" w:type="dxa"/>
            </w:tcMar>
            <w:vAlign w:val="center"/>
          </w:tcPr>
          <w:p>
            <w:pPr>
              <w:pStyle w:val="0"/>
              <w:jc w:val="both"/>
              <w:rPr>
                <w:rFonts w:hint="default"/>
              </w:rPr>
            </w:pPr>
            <w:r>
              <w:rPr>
                <w:rFonts w:hint="default"/>
              </w:rPr>
              <w:t>25</w:t>
            </w:r>
          </w:p>
        </w:tc>
        <w:tc>
          <w:tcPr>
            <w:tcW w:w="2126" w:type="dxa"/>
            <w:tcMar>
              <w:top w:w="28" w:type="dxa"/>
              <w:left w:w="28" w:type="dxa"/>
              <w:bottom w:w="28" w:type="dxa"/>
              <w:right w:w="28" w:type="dxa"/>
            </w:tcMar>
            <w:vAlign w:val="center"/>
          </w:tcPr>
          <w:p>
            <w:pPr>
              <w:pStyle w:val="0"/>
              <w:jc w:val="both"/>
              <w:rPr>
                <w:rFonts w:hint="default"/>
              </w:rPr>
            </w:pPr>
            <w:r>
              <w:rPr>
                <w:rFonts w:hint="default"/>
              </w:rPr>
              <w:t>中性脂肪</w:t>
            </w:r>
          </w:p>
        </w:tc>
        <w:tc>
          <w:tcPr>
            <w:tcW w:w="5978" w:type="dxa"/>
            <w:tcMar>
              <w:top w:w="28" w:type="dxa"/>
              <w:left w:w="28" w:type="dxa"/>
              <w:bottom w:w="28" w:type="dxa"/>
              <w:right w:w="28" w:type="dxa"/>
            </w:tcMar>
            <w:vAlign w:val="center"/>
          </w:tcPr>
          <w:p>
            <w:pPr>
              <w:pStyle w:val="0"/>
              <w:rPr>
                <w:rFonts w:hint="default"/>
              </w:rPr>
            </w:pPr>
            <w:r>
              <w:rPr>
                <w:rFonts w:hint="default"/>
              </w:rPr>
              <w:t>肉や魚・食用油など食品中の脂質や、体脂肪の大部分を占める物質。単に脂肪とも呼ばれる。</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26</w:t>
            </w:r>
          </w:p>
        </w:tc>
        <w:tc>
          <w:tcPr>
            <w:tcW w:w="2126" w:type="dxa"/>
            <w:tcMar>
              <w:top w:w="28" w:type="dxa"/>
              <w:left w:w="28" w:type="dxa"/>
              <w:bottom w:w="28" w:type="dxa"/>
              <w:right w:w="28" w:type="dxa"/>
            </w:tcMar>
            <w:vAlign w:val="center"/>
          </w:tcPr>
          <w:p>
            <w:pPr>
              <w:pStyle w:val="0"/>
              <w:jc w:val="both"/>
              <w:rPr>
                <w:rFonts w:hint="default"/>
              </w:rPr>
            </w:pPr>
            <w:r>
              <w:rPr>
                <w:rFonts w:hint="default"/>
              </w:rPr>
              <w:t>動機付け支援</w:t>
            </w:r>
          </w:p>
        </w:tc>
        <w:tc>
          <w:tcPr>
            <w:tcW w:w="5978" w:type="dxa"/>
            <w:tcMar>
              <w:top w:w="28" w:type="dxa"/>
              <w:left w:w="28" w:type="dxa"/>
              <w:bottom w:w="28" w:type="dxa"/>
              <w:right w:w="28" w:type="dxa"/>
            </w:tcMar>
            <w:vAlign w:val="center"/>
          </w:tcPr>
          <w:p>
            <w:pPr>
              <w:pStyle w:val="0"/>
              <w:rPr>
                <w:rFonts w:hint="default"/>
              </w:rPr>
            </w:pPr>
            <w:r>
              <w:rPr>
                <w:rFonts w:hint="default"/>
              </w:rPr>
              <w:t>腹囲と</w:t>
            </w:r>
            <w:r>
              <w:rPr>
                <w:rFonts w:hint="default"/>
              </w:rPr>
              <w:t>BMI</w:t>
            </w:r>
            <w:r>
              <w:rPr>
                <w:rFonts w:hint="default"/>
              </w:rPr>
              <w:t>から、内臓脂肪蓄積のリスクありと判定された</w:t>
            </w:r>
            <w:r>
              <w:rPr>
                <w:rFonts w:hint="eastAsia"/>
              </w:rPr>
              <w:t>者</w:t>
            </w:r>
            <w:r>
              <w:rPr>
                <w:rFonts w:hint="default"/>
              </w:rPr>
              <w:t>の</w:t>
            </w:r>
            <w:r>
              <w:rPr>
                <w:rFonts w:hint="eastAsia"/>
              </w:rPr>
              <w:t>うち</w:t>
            </w:r>
            <w:r>
              <w:rPr>
                <w:rFonts w:hint="default"/>
              </w:rPr>
              <w:t>、血圧高値・脂質異常・血糖高値・喫煙ありの追加リスクに</w:t>
            </w:r>
            <w:r>
              <w:rPr>
                <w:rFonts w:hint="default"/>
              </w:rPr>
              <w:t>1</w:t>
            </w:r>
            <w:r>
              <w:rPr>
                <w:rFonts w:hint="default"/>
              </w:rPr>
              <w:t>又は</w:t>
            </w:r>
            <w:r>
              <w:rPr>
                <w:rFonts w:hint="default"/>
              </w:rPr>
              <w:t>2</w:t>
            </w:r>
            <w:r>
              <w:rPr>
                <w:rFonts w:hint="default"/>
              </w:rPr>
              <w:t>つ該当した</w:t>
            </w:r>
            <w:r>
              <w:rPr>
                <w:rFonts w:hint="eastAsia"/>
              </w:rPr>
              <w:t>者</w:t>
            </w:r>
            <w:r>
              <w:rPr>
                <w:rFonts w:hint="default"/>
              </w:rPr>
              <w:t>に対して実施する特定保健指導。</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27</w:t>
            </w:r>
          </w:p>
        </w:tc>
        <w:tc>
          <w:tcPr>
            <w:tcW w:w="2126" w:type="dxa"/>
            <w:tcMar>
              <w:top w:w="28" w:type="dxa"/>
              <w:left w:w="28" w:type="dxa"/>
              <w:bottom w:w="28" w:type="dxa"/>
              <w:right w:w="28" w:type="dxa"/>
            </w:tcMar>
            <w:vAlign w:val="center"/>
          </w:tcPr>
          <w:p>
            <w:pPr>
              <w:pStyle w:val="0"/>
              <w:jc w:val="both"/>
              <w:rPr>
                <w:rFonts w:hint="default"/>
              </w:rPr>
            </w:pPr>
            <w:r>
              <w:rPr>
                <w:rFonts w:hint="default"/>
              </w:rPr>
              <w:t>糖尿病</w:t>
            </w:r>
          </w:p>
        </w:tc>
        <w:tc>
          <w:tcPr>
            <w:tcW w:w="5978" w:type="dxa"/>
            <w:tcMar>
              <w:top w:w="28" w:type="dxa"/>
              <w:left w:w="28" w:type="dxa"/>
              <w:bottom w:w="28" w:type="dxa"/>
              <w:right w:w="28" w:type="dxa"/>
            </w:tcMar>
            <w:vAlign w:val="center"/>
          </w:tcPr>
          <w:p>
            <w:pPr>
              <w:pStyle w:val="0"/>
              <w:rPr>
                <w:rFonts w:hint="default"/>
              </w:rPr>
            </w:pPr>
            <w:r>
              <w:rPr>
                <w:rFonts w:hint="default"/>
              </w:rPr>
              <w:t>インスリンの作用不足により高血糖が慢性的に続く病気。網膜症・腎症・神経障害の</w:t>
            </w:r>
            <w:r>
              <w:rPr>
                <w:rFonts w:hint="eastAsia"/>
              </w:rPr>
              <w:t>3</w:t>
            </w:r>
            <w:r>
              <w:rPr>
                <w:rFonts w:hint="default"/>
              </w:rPr>
              <w:t>大合併症をしばしば伴う。</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28</w:t>
            </w:r>
          </w:p>
        </w:tc>
        <w:tc>
          <w:tcPr>
            <w:tcW w:w="2126" w:type="dxa"/>
            <w:tcMar>
              <w:top w:w="28" w:type="dxa"/>
              <w:left w:w="28" w:type="dxa"/>
              <w:bottom w:w="28" w:type="dxa"/>
              <w:right w:w="28" w:type="dxa"/>
            </w:tcMar>
            <w:vAlign w:val="center"/>
          </w:tcPr>
          <w:p>
            <w:pPr>
              <w:pStyle w:val="0"/>
              <w:jc w:val="both"/>
              <w:rPr>
                <w:rFonts w:hint="default"/>
              </w:rPr>
            </w:pPr>
            <w:r>
              <w:rPr>
                <w:rFonts w:hint="default"/>
              </w:rPr>
              <w:t>糖尿病性腎症</w:t>
            </w:r>
          </w:p>
        </w:tc>
        <w:tc>
          <w:tcPr>
            <w:tcW w:w="5978" w:type="dxa"/>
            <w:tcMar>
              <w:top w:w="28" w:type="dxa"/>
              <w:left w:w="28" w:type="dxa"/>
              <w:bottom w:w="28" w:type="dxa"/>
              <w:right w:w="28" w:type="dxa"/>
            </w:tcMar>
            <w:vAlign w:val="center"/>
          </w:tcPr>
          <w:p>
            <w:pPr>
              <w:pStyle w:val="0"/>
              <w:rPr>
                <w:rFonts w:hint="default"/>
              </w:rPr>
            </w:pPr>
            <w:r>
              <w:rPr>
                <w:rFonts w:hint="eastAsia"/>
              </w:rPr>
              <w:t>糖尿病の合併症の一つ。高血糖状態が継続したことで腎臓の濾過装置である糸球体が障害され、腎機能の著しい低下を認める。一度低下した腎機能の回復は難しく、進行すると人工透析が必要となる場合も多い。</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29</w:t>
            </w:r>
          </w:p>
        </w:tc>
        <w:tc>
          <w:tcPr>
            <w:tcW w:w="2126" w:type="dxa"/>
            <w:tcMar>
              <w:top w:w="28" w:type="dxa"/>
              <w:left w:w="28" w:type="dxa"/>
              <w:bottom w:w="28" w:type="dxa"/>
              <w:right w:w="28" w:type="dxa"/>
            </w:tcMar>
            <w:vAlign w:val="center"/>
          </w:tcPr>
          <w:p>
            <w:pPr>
              <w:pStyle w:val="0"/>
              <w:jc w:val="both"/>
              <w:rPr>
                <w:rFonts w:hint="default"/>
              </w:rPr>
            </w:pPr>
            <w:r>
              <w:rPr>
                <w:rFonts w:hint="default"/>
              </w:rPr>
              <w:t>特定健康診査</w:t>
            </w:r>
          </w:p>
        </w:tc>
        <w:tc>
          <w:tcPr>
            <w:tcW w:w="5978" w:type="dxa"/>
            <w:tcMar>
              <w:top w:w="28" w:type="dxa"/>
              <w:left w:w="28" w:type="dxa"/>
              <w:bottom w:w="28" w:type="dxa"/>
              <w:right w:w="28" w:type="dxa"/>
            </w:tcMar>
            <w:vAlign w:val="center"/>
          </w:tcPr>
          <w:p>
            <w:pPr>
              <w:pStyle w:val="0"/>
              <w:rPr>
                <w:rFonts w:hint="default"/>
              </w:rPr>
            </w:pPr>
            <w:r>
              <w:rPr>
                <w:rFonts w:hint="default"/>
              </w:rPr>
              <w:t>高齢者の医療の確保に関する法律に基づき、</w:t>
            </w:r>
            <w:r>
              <w:rPr>
                <w:rFonts w:hint="default"/>
              </w:rPr>
              <w:t>40</w:t>
            </w:r>
            <w:r>
              <w:rPr>
                <w:rFonts w:hint="default"/>
              </w:rPr>
              <w:t>歳～</w:t>
            </w:r>
            <w:r>
              <w:rPr>
                <w:rFonts w:hint="default"/>
              </w:rPr>
              <w:t>74</w:t>
            </w:r>
            <w:r>
              <w:rPr>
                <w:rFonts w:hint="default"/>
              </w:rPr>
              <w:t>歳の方を対象として、保険者が実施することになっている健診。メタボリックシンドロームの対策が目的の一つとなっているために、俗に「メタボ健診」と言われることもある。</w:t>
            </w:r>
          </w:p>
        </w:tc>
      </w:tr>
      <w:tr>
        <w:trPr>
          <w:trHeight w:val="300" w:hRule="atLeast"/>
        </w:trPr>
        <w:tc>
          <w:tcPr>
            <w:tcW w:w="635" w:type="dxa"/>
            <w:vMerge w:val="continue"/>
            <w:tcMar>
              <w:top w:w="28" w:type="dxa"/>
              <w:left w:w="28" w:type="dxa"/>
              <w:bottom w:w="28" w:type="dxa"/>
              <w:right w:w="28" w:type="dxa"/>
            </w:tcMar>
            <w:vAlign w:val="center"/>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30</w:t>
            </w:r>
          </w:p>
        </w:tc>
        <w:tc>
          <w:tcPr>
            <w:tcW w:w="2126" w:type="dxa"/>
            <w:tcMar>
              <w:top w:w="28" w:type="dxa"/>
              <w:left w:w="28" w:type="dxa"/>
              <w:bottom w:w="28" w:type="dxa"/>
              <w:right w:w="28" w:type="dxa"/>
            </w:tcMar>
            <w:vAlign w:val="center"/>
          </w:tcPr>
          <w:p>
            <w:pPr>
              <w:pStyle w:val="0"/>
              <w:jc w:val="both"/>
              <w:rPr>
                <w:rFonts w:hint="default"/>
              </w:rPr>
            </w:pPr>
            <w:r>
              <w:rPr>
                <w:rFonts w:hint="default"/>
              </w:rPr>
              <w:t>特定健康診査等実施計画</w:t>
            </w:r>
          </w:p>
        </w:tc>
        <w:tc>
          <w:tcPr>
            <w:tcW w:w="5978" w:type="dxa"/>
            <w:tcMar>
              <w:top w:w="28" w:type="dxa"/>
              <w:left w:w="28" w:type="dxa"/>
              <w:bottom w:w="28" w:type="dxa"/>
              <w:right w:w="28" w:type="dxa"/>
            </w:tcMar>
            <w:vAlign w:val="center"/>
          </w:tcPr>
          <w:p>
            <w:pPr>
              <w:pStyle w:val="0"/>
              <w:rPr>
                <w:rFonts w:hint="default"/>
              </w:rPr>
            </w:pPr>
            <w:r>
              <w:rPr>
                <w:rFonts w:hint="default"/>
              </w:rPr>
              <w:t>保険者が特定健診・特定保健指導の実施に</w:t>
            </w:r>
            <w:r>
              <w:rPr>
                <w:rFonts w:hint="eastAsia"/>
              </w:rPr>
              <w:t>当た</w:t>
            </w:r>
            <w:r>
              <w:rPr>
                <w:rFonts w:hint="default"/>
              </w:rPr>
              <w:t>って、その規模、加入者の年齢構成、保健事業の体制・人材等のリソース、地域的条件等を考慮し、あらかじめ実施率目標や実施方法等を定めることで、事業を効率的・効果的に実施し、その実施状況の評価ができるよう、作成する計画。</w:t>
            </w:r>
          </w:p>
        </w:tc>
      </w:tr>
      <w:tr>
        <w:trPr>
          <w:trHeight w:val="300" w:hRule="atLeast"/>
        </w:trPr>
        <w:tc>
          <w:tcPr>
            <w:tcW w:w="635" w:type="dxa"/>
            <w:vMerge w:val="continue"/>
            <w:tcMar>
              <w:top w:w="28" w:type="dxa"/>
              <w:left w:w="28" w:type="dxa"/>
              <w:bottom w:w="28" w:type="dxa"/>
              <w:right w:w="28" w:type="dxa"/>
            </w:tcMar>
            <w:vAlign w:val="top"/>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31</w:t>
            </w:r>
          </w:p>
        </w:tc>
        <w:tc>
          <w:tcPr>
            <w:tcW w:w="2126" w:type="dxa"/>
            <w:tcMar>
              <w:top w:w="28" w:type="dxa"/>
              <w:left w:w="28" w:type="dxa"/>
              <w:bottom w:w="28" w:type="dxa"/>
              <w:right w:w="28" w:type="dxa"/>
            </w:tcMar>
            <w:vAlign w:val="center"/>
          </w:tcPr>
          <w:p>
            <w:pPr>
              <w:pStyle w:val="0"/>
              <w:jc w:val="both"/>
              <w:rPr>
                <w:rFonts w:hint="default"/>
              </w:rPr>
            </w:pPr>
            <w:r>
              <w:rPr>
                <w:rFonts w:hint="default"/>
              </w:rPr>
              <w:t>特定保健指導</w:t>
            </w:r>
          </w:p>
        </w:tc>
        <w:tc>
          <w:tcPr>
            <w:tcW w:w="5978" w:type="dxa"/>
            <w:tcMar>
              <w:top w:w="28" w:type="dxa"/>
              <w:left w:w="28" w:type="dxa"/>
              <w:bottom w:w="28" w:type="dxa"/>
              <w:right w:w="28" w:type="dxa"/>
            </w:tcMar>
            <w:vAlign w:val="center"/>
          </w:tcPr>
          <w:p>
            <w:pPr>
              <w:pStyle w:val="0"/>
              <w:rPr>
                <w:rFonts w:hint="default"/>
              </w:rPr>
            </w:pPr>
            <w:r>
              <w:rPr>
                <w:rFonts w:hint="default"/>
              </w:rPr>
              <w:t>特定健康診査の結果に基づき、主にメタボリックシンドロームの予防や解消を目的に行われる健康支援のこと。メタボリックシンドロームの人には「積極的支援」、その予備群には「動機</w:t>
            </w:r>
            <w:r>
              <w:rPr>
                <w:rFonts w:hint="eastAsia"/>
              </w:rPr>
              <w:t>付</w:t>
            </w:r>
            <w:r>
              <w:rPr>
                <w:rFonts w:hint="default"/>
              </w:rPr>
              <w:t>け支援」、それ以外の受診者には「情報提供」が行われる。</w:t>
            </w:r>
          </w:p>
        </w:tc>
      </w:tr>
      <w:tr>
        <w:trPr>
          <w:trHeight w:val="300" w:hRule="atLeast"/>
        </w:trPr>
        <w:tc>
          <w:tcPr>
            <w:tcW w:w="635" w:type="dxa"/>
            <w:vMerge w:val="restart"/>
            <w:tcMar>
              <w:top w:w="28" w:type="dxa"/>
              <w:left w:w="28" w:type="dxa"/>
              <w:bottom w:w="28" w:type="dxa"/>
              <w:right w:w="28" w:type="dxa"/>
            </w:tcMar>
            <w:vAlign w:val="top"/>
          </w:tcPr>
          <w:p>
            <w:pPr>
              <w:pStyle w:val="0"/>
              <w:rPr>
                <w:rFonts w:hint="default"/>
              </w:rPr>
            </w:pPr>
            <w:r>
              <w:rPr>
                <w:rFonts w:hint="eastAsia"/>
              </w:rPr>
              <w:t>な行</w:t>
            </w:r>
          </w:p>
        </w:tc>
        <w:tc>
          <w:tcPr>
            <w:tcW w:w="636" w:type="dxa"/>
            <w:tcMar>
              <w:top w:w="28" w:type="dxa"/>
              <w:left w:w="28" w:type="dxa"/>
              <w:bottom w:w="28" w:type="dxa"/>
              <w:right w:w="28" w:type="dxa"/>
            </w:tcMar>
            <w:vAlign w:val="center"/>
          </w:tcPr>
          <w:p>
            <w:pPr>
              <w:pStyle w:val="0"/>
              <w:jc w:val="both"/>
              <w:rPr>
                <w:rFonts w:hint="default"/>
              </w:rPr>
            </w:pPr>
            <w:r>
              <w:rPr>
                <w:rFonts w:hint="default"/>
              </w:rPr>
              <w:t>32</w:t>
            </w:r>
          </w:p>
        </w:tc>
        <w:tc>
          <w:tcPr>
            <w:tcW w:w="2126" w:type="dxa"/>
            <w:tcMar>
              <w:top w:w="28" w:type="dxa"/>
              <w:left w:w="28" w:type="dxa"/>
              <w:bottom w:w="28" w:type="dxa"/>
              <w:right w:w="28" w:type="dxa"/>
            </w:tcMar>
            <w:vAlign w:val="center"/>
          </w:tcPr>
          <w:p>
            <w:pPr>
              <w:pStyle w:val="0"/>
              <w:jc w:val="both"/>
              <w:rPr>
                <w:rFonts w:hint="default"/>
              </w:rPr>
            </w:pPr>
            <w:r>
              <w:rPr>
                <w:rFonts w:hint="default"/>
              </w:rPr>
              <w:t>日本再興戦略</w:t>
            </w:r>
          </w:p>
        </w:tc>
        <w:tc>
          <w:tcPr>
            <w:tcW w:w="5978" w:type="dxa"/>
            <w:tcMar>
              <w:top w:w="28" w:type="dxa"/>
              <w:left w:w="28" w:type="dxa"/>
              <w:bottom w:w="28" w:type="dxa"/>
              <w:right w:w="28" w:type="dxa"/>
            </w:tcMar>
            <w:vAlign w:val="center"/>
          </w:tcPr>
          <w:p>
            <w:pPr>
              <w:pStyle w:val="0"/>
              <w:rPr>
                <w:rFonts w:hint="default"/>
              </w:rPr>
            </w:pPr>
            <w:r>
              <w:rPr>
                <w:rFonts w:hint="default"/>
              </w:rPr>
              <w:t>平成</w:t>
            </w:r>
            <w:r>
              <w:rPr>
                <w:rFonts w:hint="default"/>
              </w:rPr>
              <w:t>25</w:t>
            </w:r>
            <w:r>
              <w:rPr>
                <w:rFonts w:hint="default"/>
              </w:rPr>
              <w:t>年</w:t>
            </w:r>
            <w:r>
              <w:rPr>
                <w:rFonts w:hint="default"/>
              </w:rPr>
              <w:t>6</w:t>
            </w:r>
            <w:r>
              <w:rPr>
                <w:rFonts w:hint="default"/>
              </w:rPr>
              <w:t>月に閣議決定された、規制緩和等によって、民間企業や個人が真の実力を発揮するための方策をまとめたものであり、日本経済を持続的成長に導く道筋を示す戦略。</w:t>
            </w:r>
          </w:p>
        </w:tc>
      </w:tr>
      <w:tr>
        <w:trPr>
          <w:trHeight w:val="49" w:hRule="atLeast"/>
        </w:trPr>
        <w:tc>
          <w:tcPr>
            <w:tcW w:w="635" w:type="dxa"/>
            <w:vMerge w:val="continue"/>
            <w:tcMar>
              <w:top w:w="28" w:type="dxa"/>
              <w:left w:w="28" w:type="dxa"/>
              <w:bottom w:w="28" w:type="dxa"/>
              <w:right w:w="28" w:type="dxa"/>
            </w:tcMar>
            <w:vAlign w:val="top"/>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33</w:t>
            </w:r>
          </w:p>
        </w:tc>
        <w:tc>
          <w:tcPr>
            <w:tcW w:w="2126" w:type="dxa"/>
            <w:tcMar>
              <w:top w:w="28" w:type="dxa"/>
              <w:left w:w="28" w:type="dxa"/>
              <w:bottom w:w="28" w:type="dxa"/>
              <w:right w:w="28" w:type="dxa"/>
            </w:tcMar>
            <w:vAlign w:val="center"/>
          </w:tcPr>
          <w:p>
            <w:pPr>
              <w:pStyle w:val="0"/>
              <w:jc w:val="both"/>
              <w:rPr>
                <w:rFonts w:hint="default"/>
              </w:rPr>
            </w:pPr>
            <w:r>
              <w:rPr>
                <w:rFonts w:hint="default"/>
              </w:rPr>
              <w:t>尿酸</w:t>
            </w:r>
          </w:p>
        </w:tc>
        <w:tc>
          <w:tcPr>
            <w:tcW w:w="5978" w:type="dxa"/>
            <w:tcMar>
              <w:top w:w="28" w:type="dxa"/>
              <w:left w:w="28" w:type="dxa"/>
              <w:bottom w:w="28" w:type="dxa"/>
              <w:right w:w="28" w:type="dxa"/>
            </w:tcMar>
            <w:vAlign w:val="center"/>
          </w:tcPr>
          <w:p>
            <w:pPr>
              <w:pStyle w:val="0"/>
              <w:rPr>
                <w:rFonts w:hint="default"/>
              </w:rPr>
            </w:pPr>
            <w:r>
              <w:rPr>
                <w:rFonts w:hint="default"/>
              </w:rPr>
              <w:t>細胞内の核に含まれるプリン体が分解される際に生じる老廃物</w:t>
            </w:r>
            <w:r>
              <w:rPr>
                <w:rFonts w:hint="eastAsia"/>
              </w:rPr>
              <w:t>。</w:t>
            </w:r>
          </w:p>
        </w:tc>
      </w:tr>
      <w:tr>
        <w:trPr>
          <w:trHeight w:val="49" w:hRule="atLeast"/>
        </w:trPr>
        <w:tc>
          <w:tcPr>
            <w:tcW w:w="635" w:type="dxa"/>
            <w:vMerge w:val="continue"/>
            <w:tcMar>
              <w:top w:w="28" w:type="dxa"/>
              <w:left w:w="28" w:type="dxa"/>
              <w:bottom w:w="28" w:type="dxa"/>
              <w:right w:w="28" w:type="dxa"/>
            </w:tcMar>
            <w:vAlign w:val="top"/>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34</w:t>
            </w:r>
          </w:p>
        </w:tc>
        <w:tc>
          <w:tcPr>
            <w:tcW w:w="2126" w:type="dxa"/>
            <w:tcMar>
              <w:top w:w="28" w:type="dxa"/>
              <w:left w:w="28" w:type="dxa"/>
              <w:bottom w:w="28" w:type="dxa"/>
              <w:right w:w="28" w:type="dxa"/>
            </w:tcMar>
            <w:vAlign w:val="center"/>
          </w:tcPr>
          <w:p>
            <w:pPr>
              <w:pStyle w:val="0"/>
              <w:jc w:val="both"/>
              <w:rPr>
                <w:rFonts w:hint="default"/>
              </w:rPr>
            </w:pPr>
            <w:r>
              <w:rPr>
                <w:rFonts w:hint="default"/>
              </w:rPr>
              <w:t>脳血管疾患</w:t>
            </w:r>
          </w:p>
        </w:tc>
        <w:tc>
          <w:tcPr>
            <w:tcW w:w="5978" w:type="dxa"/>
            <w:tcMar>
              <w:top w:w="28" w:type="dxa"/>
              <w:left w:w="28" w:type="dxa"/>
              <w:bottom w:w="28" w:type="dxa"/>
              <w:right w:w="28" w:type="dxa"/>
            </w:tcMar>
            <w:vAlign w:val="center"/>
          </w:tcPr>
          <w:p>
            <w:pPr>
              <w:pStyle w:val="0"/>
              <w:rPr>
                <w:rFonts w:hint="default"/>
              </w:rPr>
            </w:pPr>
            <w:r>
              <w:rPr>
                <w:rFonts w:hint="default"/>
              </w:rPr>
              <w:t>脳の動脈硬化が進み、脳の血管が詰まったり破れたりする病気の総称。</w:t>
            </w:r>
          </w:p>
        </w:tc>
      </w:tr>
      <w:tr>
        <w:trPr>
          <w:trHeight w:val="300" w:hRule="atLeast"/>
        </w:trPr>
        <w:tc>
          <w:tcPr>
            <w:tcW w:w="635" w:type="dxa"/>
            <w:vMerge w:val="restart"/>
            <w:tcMar>
              <w:top w:w="28" w:type="dxa"/>
              <w:left w:w="28" w:type="dxa"/>
              <w:bottom w:w="28" w:type="dxa"/>
              <w:right w:w="28" w:type="dxa"/>
            </w:tcMar>
            <w:vAlign w:val="top"/>
          </w:tcPr>
          <w:p>
            <w:pPr>
              <w:pStyle w:val="0"/>
              <w:rPr>
                <w:rFonts w:hint="default"/>
              </w:rPr>
            </w:pPr>
            <w:r>
              <w:rPr>
                <w:rFonts w:hint="eastAsia"/>
              </w:rPr>
              <w:t>は行</w:t>
            </w:r>
          </w:p>
        </w:tc>
        <w:tc>
          <w:tcPr>
            <w:tcW w:w="636" w:type="dxa"/>
            <w:tcMar>
              <w:top w:w="28" w:type="dxa"/>
              <w:left w:w="28" w:type="dxa"/>
              <w:bottom w:w="28" w:type="dxa"/>
              <w:right w:w="28" w:type="dxa"/>
            </w:tcMar>
            <w:vAlign w:val="center"/>
          </w:tcPr>
          <w:p>
            <w:pPr>
              <w:pStyle w:val="0"/>
              <w:jc w:val="both"/>
              <w:rPr>
                <w:rFonts w:hint="default"/>
              </w:rPr>
            </w:pPr>
            <w:r>
              <w:rPr>
                <w:rFonts w:hint="default"/>
              </w:rPr>
              <w:t>35</w:t>
            </w:r>
          </w:p>
        </w:tc>
        <w:tc>
          <w:tcPr>
            <w:tcW w:w="2126" w:type="dxa"/>
            <w:tcMar>
              <w:top w:w="28" w:type="dxa"/>
              <w:left w:w="28" w:type="dxa"/>
              <w:bottom w:w="28" w:type="dxa"/>
              <w:right w:w="28" w:type="dxa"/>
            </w:tcMar>
            <w:vAlign w:val="center"/>
          </w:tcPr>
          <w:p>
            <w:pPr>
              <w:pStyle w:val="0"/>
              <w:jc w:val="both"/>
              <w:rPr>
                <w:rFonts w:hint="default"/>
              </w:rPr>
            </w:pPr>
            <w:r>
              <w:rPr>
                <w:rFonts w:hint="default"/>
              </w:rPr>
              <w:t>BMI</w:t>
            </w:r>
          </w:p>
        </w:tc>
        <w:tc>
          <w:tcPr>
            <w:tcW w:w="5978" w:type="dxa"/>
            <w:tcMar>
              <w:top w:w="28" w:type="dxa"/>
              <w:left w:w="28" w:type="dxa"/>
              <w:bottom w:w="28" w:type="dxa"/>
              <w:right w:w="28" w:type="dxa"/>
            </w:tcMar>
            <w:vAlign w:val="center"/>
          </w:tcPr>
          <w:p>
            <w:pPr>
              <w:pStyle w:val="0"/>
              <w:rPr>
                <w:rFonts w:hint="default"/>
              </w:rPr>
            </w:pPr>
            <w:r>
              <w:rPr>
                <w:rFonts w:hint="eastAsia"/>
              </w:rPr>
              <w:t>体格指数の一つで、肥満度を表す指標として国際的に用いられている。肥満や低体重（やせ）の判定に用いられ、体重（</w:t>
            </w:r>
            <w:r>
              <w:rPr>
                <w:rFonts w:hint="default"/>
              </w:rPr>
              <w:t>kg</w:t>
            </w:r>
            <w:r>
              <w:rPr>
                <w:rFonts w:hint="default"/>
              </w:rPr>
              <w:t>）</w:t>
            </w:r>
            <w:r>
              <w:rPr>
                <w:rFonts w:hint="default"/>
              </w:rPr>
              <w:t>/</w:t>
            </w:r>
            <w:r>
              <w:rPr>
                <w:rFonts w:hint="default"/>
              </w:rPr>
              <w:t>身長（</w:t>
            </w:r>
            <w:r>
              <w:rPr>
                <w:rFonts w:hint="default"/>
              </w:rPr>
              <w:t>m</w:t>
            </w:r>
            <w:r>
              <w:rPr>
                <w:rFonts w:hint="default"/>
                <w:vertAlign w:val="superscript"/>
              </w:rPr>
              <w:t>2</w:t>
            </w:r>
            <w:r>
              <w:rPr>
                <w:rFonts w:hint="default"/>
              </w:rPr>
              <w:t>）で算出される。</w:t>
            </w:r>
          </w:p>
        </w:tc>
      </w:tr>
      <w:tr>
        <w:trPr>
          <w:trHeight w:val="300" w:hRule="atLeast"/>
        </w:trPr>
        <w:tc>
          <w:tcPr>
            <w:tcW w:w="635" w:type="dxa"/>
            <w:vMerge w:val="continue"/>
            <w:tcMar>
              <w:top w:w="28" w:type="dxa"/>
              <w:left w:w="28" w:type="dxa"/>
              <w:bottom w:w="28" w:type="dxa"/>
              <w:right w:w="28" w:type="dxa"/>
            </w:tcMar>
            <w:vAlign w:val="top"/>
          </w:tcPr>
          <w:p>
            <w:pPr>
              <w:pStyle w:val="0"/>
              <w:rPr>
                <w:rFonts w:hint="default"/>
              </w:rPr>
            </w:pPr>
          </w:p>
        </w:tc>
        <w:tc>
          <w:tcPr>
            <w:tcW w:w="636" w:type="dxa"/>
            <w:tcMar>
              <w:top w:w="28" w:type="dxa"/>
              <w:left w:w="28" w:type="dxa"/>
              <w:bottom w:w="28" w:type="dxa"/>
              <w:right w:w="28" w:type="dxa"/>
            </w:tcMar>
            <w:vAlign w:val="center"/>
          </w:tcPr>
          <w:p>
            <w:pPr>
              <w:pStyle w:val="0"/>
              <w:jc w:val="both"/>
              <w:rPr>
                <w:rFonts w:hint="default"/>
              </w:rPr>
            </w:pPr>
            <w:r>
              <w:rPr>
                <w:rFonts w:hint="default"/>
              </w:rPr>
              <w:t>36</w:t>
            </w:r>
          </w:p>
        </w:tc>
        <w:tc>
          <w:tcPr>
            <w:tcW w:w="2126" w:type="dxa"/>
            <w:tcMar>
              <w:top w:w="28" w:type="dxa"/>
              <w:left w:w="28" w:type="dxa"/>
              <w:bottom w:w="28" w:type="dxa"/>
              <w:right w:w="28" w:type="dxa"/>
            </w:tcMar>
            <w:vAlign w:val="center"/>
          </w:tcPr>
          <w:p>
            <w:pPr>
              <w:pStyle w:val="0"/>
              <w:jc w:val="both"/>
              <w:rPr>
                <w:rFonts w:hint="default"/>
              </w:rPr>
            </w:pPr>
            <w:r>
              <w:rPr>
                <w:rFonts w:hint="default"/>
              </w:rPr>
              <w:t>PDCA</w:t>
            </w:r>
            <w:r>
              <w:rPr>
                <w:rFonts w:hint="default"/>
              </w:rPr>
              <w:t>サイクル</w:t>
            </w:r>
          </w:p>
        </w:tc>
        <w:tc>
          <w:tcPr>
            <w:tcW w:w="5978" w:type="dxa"/>
            <w:tcMar>
              <w:top w:w="28" w:type="dxa"/>
              <w:left w:w="28" w:type="dxa"/>
              <w:bottom w:w="28" w:type="dxa"/>
              <w:right w:w="28" w:type="dxa"/>
            </w:tcMar>
            <w:vAlign w:val="center"/>
          </w:tcPr>
          <w:p>
            <w:pPr>
              <w:pStyle w:val="0"/>
              <w:rPr>
                <w:rFonts w:hint="default"/>
              </w:rPr>
            </w:pPr>
            <w:r>
              <w:rPr>
                <w:rFonts w:hint="default"/>
              </w:rPr>
              <w:t>「</w:t>
            </w:r>
            <w:r>
              <w:rPr>
                <w:rFonts w:hint="default"/>
              </w:rPr>
              <w:t>Plan</w:t>
            </w:r>
            <w:r>
              <w:rPr>
                <w:rFonts w:hint="default"/>
              </w:rPr>
              <w:t>（計画）</w:t>
            </w:r>
            <w:r>
              <w:rPr>
                <w:rFonts w:hint="default"/>
              </w:rPr>
              <w:t>→Do</w:t>
            </w:r>
            <w:r>
              <w:rPr>
                <w:rFonts w:hint="default"/>
              </w:rPr>
              <w:t>（実行）</w:t>
            </w:r>
            <w:r>
              <w:rPr>
                <w:rFonts w:hint="default"/>
              </w:rPr>
              <w:t>→Check</w:t>
            </w:r>
            <w:r>
              <w:rPr>
                <w:rFonts w:hint="default"/>
              </w:rPr>
              <w:t>（評価）</w:t>
            </w:r>
            <w:r>
              <w:rPr>
                <w:rFonts w:hint="default"/>
              </w:rPr>
              <w:t>→Action</w:t>
            </w:r>
            <w:r>
              <w:rPr>
                <w:rFonts w:hint="default"/>
              </w:rPr>
              <w:t>（改善）」という一連のプロセスを繰り返し行うことで、業務の改善や効率化を図る手法の一つ。</w:t>
            </w:r>
          </w:p>
        </w:tc>
      </w:tr>
    </w:tbl>
    <w:p>
      <w:pPr>
        <w:pStyle w:val="0"/>
        <w:rPr>
          <w:rFonts w:hint="default"/>
          <w:sz w:val="18"/>
        </w:rPr>
      </w:pPr>
    </w:p>
    <w:tbl>
      <w:tblPr>
        <w:tblStyle w:val="172"/>
        <w:tblpPr w:leftFromText="142" w:rightFromText="142" w:topFromText="0" w:bottomFromText="0" w:vertAnchor="text" w:horzAnchor="margin" w:tblpXSpec="left" w:tblpY="-26"/>
        <w:tblW w:w="9375" w:type="dxa"/>
        <w:tblLayout w:type="fixed"/>
        <w:tblLook w:firstRow="1" w:lastRow="0" w:firstColumn="1" w:lastColumn="0" w:noHBand="0" w:noVBand="1" w:val="04A0"/>
      </w:tblPr>
      <w:tblGrid>
        <w:gridCol w:w="635"/>
        <w:gridCol w:w="636"/>
        <w:gridCol w:w="2126"/>
        <w:gridCol w:w="5978"/>
      </w:tblGrid>
      <w:tr>
        <w:trPr/>
        <w:tc>
          <w:tcPr>
            <w:tcW w:w="635"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行</w:t>
            </w:r>
          </w:p>
        </w:tc>
        <w:tc>
          <w:tcPr>
            <w:tcW w:w="636"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No.</w:t>
            </w:r>
          </w:p>
        </w:tc>
        <w:tc>
          <w:tcPr>
            <w:tcW w:w="2126"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用語</w:t>
            </w:r>
          </w:p>
        </w:tc>
        <w:tc>
          <w:tcPr>
            <w:tcW w:w="5978" w:type="dxa"/>
            <w:shd w:val="clear" w:color="auto" w:fill="CCD6FF"/>
            <w:tcMar>
              <w:top w:w="28" w:type="dxa"/>
              <w:left w:w="28" w:type="dxa"/>
              <w:bottom w:w="28" w:type="dxa"/>
              <w:right w:w="28" w:type="dxa"/>
            </w:tcMar>
            <w:vAlign w:val="center"/>
          </w:tcPr>
          <w:p>
            <w:pPr>
              <w:pStyle w:val="0"/>
              <w:spacing w:line="276" w:lineRule="auto"/>
              <w:jc w:val="center"/>
              <w:rPr>
                <w:rFonts w:hint="default"/>
                <w:b w:val="1"/>
              </w:rPr>
            </w:pPr>
            <w:r>
              <w:rPr>
                <w:rFonts w:hint="eastAsia"/>
                <w:b w:val="1"/>
              </w:rPr>
              <w:t>解説</w:t>
            </w:r>
          </w:p>
        </w:tc>
      </w:tr>
      <w:tr>
        <w:trPr/>
        <w:tc>
          <w:tcPr>
            <w:tcW w:w="635" w:type="dxa"/>
            <w:vMerge w:val="restart"/>
            <w:tcMar>
              <w:top w:w="28" w:type="dxa"/>
              <w:left w:w="28" w:type="dxa"/>
              <w:bottom w:w="28" w:type="dxa"/>
              <w:right w:w="28" w:type="dxa"/>
            </w:tcMar>
            <w:vAlign w:val="top"/>
          </w:tcPr>
          <w:p>
            <w:pPr>
              <w:pStyle w:val="0"/>
              <w:spacing w:line="276" w:lineRule="auto"/>
              <w:jc w:val="both"/>
              <w:rPr>
                <w:rFonts w:hint="default"/>
              </w:rPr>
            </w:pPr>
          </w:p>
          <w:p>
            <w:pPr>
              <w:pStyle w:val="0"/>
              <w:spacing w:line="276" w:lineRule="auto"/>
              <w:jc w:val="both"/>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37</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標準化死亡比（</w:t>
            </w:r>
            <w:r>
              <w:rPr>
                <w:rFonts w:hint="default"/>
              </w:rPr>
              <w:t>SMR</w:t>
            </w:r>
            <w:r>
              <w:rPr>
                <w:rFonts w:hint="default"/>
              </w:rPr>
              <w:t>）</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基準死亡率（人口</w:t>
            </w:r>
            <w:r>
              <w:rPr>
                <w:rFonts w:hint="default"/>
              </w:rPr>
              <w:t>10</w:t>
            </w:r>
            <w:r>
              <w:rPr>
                <w:rFonts w:hint="default"/>
              </w:rPr>
              <w:t>万対の死亡者数）を対象地域に当てはめた場合に、計算により求められる期待される死亡者数と実際に観察された死亡者数を比較するもの。国の平均を</w:t>
            </w:r>
            <w:r>
              <w:rPr>
                <w:rFonts w:hint="default"/>
              </w:rPr>
              <w:t>100</w:t>
            </w:r>
            <w:r>
              <w:rPr>
                <w:rFonts w:hint="default"/>
              </w:rPr>
              <w:t>としており、標準化死亡比が</w:t>
            </w:r>
            <w:r>
              <w:rPr>
                <w:rFonts w:hint="default"/>
              </w:rPr>
              <w:t>100</w:t>
            </w:r>
            <w:r>
              <w:rPr>
                <w:rFonts w:hint="default"/>
              </w:rPr>
              <w:t>以上の場合は国の平均より死亡率が高いと判断され、</w:t>
            </w:r>
            <w:r>
              <w:rPr>
                <w:rFonts w:hint="default"/>
              </w:rPr>
              <w:t>100</w:t>
            </w:r>
            <w:r>
              <w:rPr>
                <w:rFonts w:hint="default"/>
              </w:rPr>
              <w:t>以下の場合は死亡率が低いと判断される。</w:t>
            </w:r>
          </w:p>
        </w:tc>
      </w:tr>
      <w:tr>
        <w:trPr/>
        <w:tc>
          <w:tcPr>
            <w:tcW w:w="635" w:type="dxa"/>
            <w:vMerge w:val="continue"/>
            <w:tcMar>
              <w:top w:w="28" w:type="dxa"/>
              <w:left w:w="28" w:type="dxa"/>
              <w:bottom w:w="28" w:type="dxa"/>
              <w:right w:w="28" w:type="dxa"/>
            </w:tcMar>
            <w:vAlign w:val="top"/>
          </w:tcPr>
          <w:p>
            <w:pPr>
              <w:pStyle w:val="0"/>
              <w:spacing w:line="276" w:lineRule="auto"/>
              <w:jc w:val="both"/>
              <w:rPr>
                <w:rFonts w:hint="default"/>
              </w:rPr>
            </w:pPr>
          </w:p>
        </w:tc>
        <w:tc>
          <w:tcPr>
            <w:tcW w:w="636" w:type="dxa"/>
            <w:tcMar>
              <w:top w:w="28" w:type="dxa"/>
              <w:left w:w="28" w:type="dxa"/>
              <w:bottom w:w="28" w:type="dxa"/>
              <w:right w:w="28" w:type="dxa"/>
            </w:tcMar>
            <w:vAlign w:val="top"/>
          </w:tcPr>
          <w:p>
            <w:pPr>
              <w:pStyle w:val="0"/>
              <w:spacing w:line="276" w:lineRule="auto"/>
              <w:rPr>
                <w:rFonts w:hint="default"/>
              </w:rPr>
            </w:pPr>
            <w:r>
              <w:rPr>
                <w:rFonts w:hint="default"/>
              </w:rPr>
              <w:t>38</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腹囲</w:t>
            </w:r>
          </w:p>
        </w:tc>
        <w:tc>
          <w:tcPr>
            <w:tcW w:w="5978" w:type="dxa"/>
            <w:tcMar>
              <w:top w:w="28" w:type="dxa"/>
              <w:left w:w="28" w:type="dxa"/>
              <w:bottom w:w="28" w:type="dxa"/>
              <w:right w:w="28" w:type="dxa"/>
            </w:tcMar>
            <w:vAlign w:val="top"/>
          </w:tcPr>
          <w:p>
            <w:pPr>
              <w:pStyle w:val="0"/>
              <w:spacing w:line="276" w:lineRule="auto"/>
              <w:rPr>
                <w:rFonts w:hint="default"/>
              </w:rPr>
            </w:pPr>
            <w:r>
              <w:rPr>
                <w:rFonts w:hint="default"/>
              </w:rPr>
              <w:t>へその高さで計る腰回りの大きさ。内臓脂肪の蓄積の目安とされ、メタボリックシンドロームを診断する指標の</w:t>
            </w:r>
            <w:r>
              <w:rPr>
                <w:rFonts w:hint="eastAsia"/>
              </w:rPr>
              <w:t>一つ</w:t>
            </w:r>
            <w:r>
              <w:rPr>
                <w:rFonts w:hint="default"/>
              </w:rPr>
              <w:t>。</w:t>
            </w:r>
          </w:p>
        </w:tc>
      </w:tr>
      <w:tr>
        <w:trPr/>
        <w:tc>
          <w:tcPr>
            <w:tcW w:w="635" w:type="dxa"/>
            <w:vMerge w:val="continue"/>
            <w:tcMar>
              <w:top w:w="28" w:type="dxa"/>
              <w:left w:w="28" w:type="dxa"/>
              <w:bottom w:w="28" w:type="dxa"/>
              <w:right w:w="28" w:type="dxa"/>
            </w:tcMar>
            <w:vAlign w:val="top"/>
          </w:tcPr>
          <w:p>
            <w:pPr>
              <w:pStyle w:val="0"/>
              <w:spacing w:line="276" w:lineRule="auto"/>
              <w:jc w:val="both"/>
              <w:rPr>
                <w:rFonts w:hint="default"/>
              </w:rPr>
            </w:pPr>
          </w:p>
        </w:tc>
        <w:tc>
          <w:tcPr>
            <w:tcW w:w="636" w:type="dxa"/>
            <w:tcMar>
              <w:top w:w="28" w:type="dxa"/>
              <w:left w:w="28" w:type="dxa"/>
              <w:bottom w:w="28" w:type="dxa"/>
              <w:right w:w="28" w:type="dxa"/>
            </w:tcMar>
            <w:vAlign w:val="top"/>
          </w:tcPr>
          <w:p>
            <w:pPr>
              <w:pStyle w:val="0"/>
              <w:spacing w:line="276" w:lineRule="auto"/>
              <w:rPr>
                <w:rFonts w:hint="default"/>
              </w:rPr>
            </w:pPr>
            <w:r>
              <w:rPr>
                <w:rFonts w:hint="default"/>
              </w:rPr>
              <w:t>39</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平均自立期間</w:t>
            </w:r>
          </w:p>
        </w:tc>
        <w:tc>
          <w:tcPr>
            <w:tcW w:w="5978" w:type="dxa"/>
            <w:tcMar>
              <w:top w:w="28" w:type="dxa"/>
              <w:left w:w="28" w:type="dxa"/>
              <w:bottom w:w="28" w:type="dxa"/>
              <w:right w:w="28" w:type="dxa"/>
            </w:tcMar>
            <w:vAlign w:val="top"/>
          </w:tcPr>
          <w:p>
            <w:pPr>
              <w:pStyle w:val="0"/>
              <w:spacing w:line="276" w:lineRule="auto"/>
              <w:rPr>
                <w:rFonts w:hint="default"/>
              </w:rPr>
            </w:pPr>
            <w:r>
              <w:rPr>
                <w:rFonts w:hint="default"/>
              </w:rPr>
              <w:t>要介護</w:t>
            </w:r>
            <w:r>
              <w:rPr>
                <w:rFonts w:hint="default"/>
              </w:rPr>
              <w:t>2</w:t>
            </w:r>
            <w:r>
              <w:rPr>
                <w:rFonts w:hint="default"/>
              </w:rPr>
              <w:t>以上を「不健康」と定義して、平均余命からこの不健康期間を除いたもので、</w:t>
            </w:r>
            <w:r>
              <w:rPr>
                <w:rFonts w:hint="default"/>
              </w:rPr>
              <w:t>0</w:t>
            </w:r>
            <w:r>
              <w:rPr>
                <w:rFonts w:hint="default"/>
              </w:rPr>
              <w:t>歳の人が要介護</w:t>
            </w:r>
            <w:r>
              <w:rPr>
                <w:rFonts w:hint="default"/>
              </w:rPr>
              <w:t>2</w:t>
            </w:r>
            <w:r>
              <w:rPr>
                <w:rFonts w:hint="default"/>
              </w:rPr>
              <w:t>の状態になるまでの期間。</w:t>
            </w:r>
          </w:p>
        </w:tc>
      </w:tr>
      <w:tr>
        <w:trPr/>
        <w:tc>
          <w:tcPr>
            <w:tcW w:w="635" w:type="dxa"/>
            <w:vMerge w:val="continue"/>
            <w:tcMar>
              <w:top w:w="28" w:type="dxa"/>
              <w:left w:w="28" w:type="dxa"/>
              <w:bottom w:w="28" w:type="dxa"/>
              <w:right w:w="28" w:type="dxa"/>
            </w:tcMar>
            <w:vAlign w:val="top"/>
          </w:tcPr>
          <w:p>
            <w:pPr>
              <w:pStyle w:val="0"/>
              <w:spacing w:line="276" w:lineRule="auto"/>
              <w:jc w:val="both"/>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eastAsia"/>
              </w:rPr>
              <w:t>40</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eastAsia"/>
              </w:rPr>
              <w:t>平均余命</w:t>
            </w:r>
          </w:p>
        </w:tc>
        <w:tc>
          <w:tcPr>
            <w:tcW w:w="5978" w:type="dxa"/>
            <w:tcMar>
              <w:top w:w="28" w:type="dxa"/>
              <w:left w:w="28" w:type="dxa"/>
              <w:bottom w:w="28" w:type="dxa"/>
              <w:right w:w="28" w:type="dxa"/>
            </w:tcMar>
            <w:vAlign w:val="center"/>
          </w:tcPr>
          <w:p>
            <w:pPr>
              <w:pStyle w:val="0"/>
              <w:spacing w:line="276" w:lineRule="auto"/>
              <w:rPr>
                <w:rFonts w:hint="default"/>
              </w:rPr>
            </w:pPr>
            <w:r>
              <w:rPr>
                <w:rFonts w:hint="eastAsia"/>
              </w:rPr>
              <w:t>ある年齢の人々が、その後何年生きられるかの期待値であり、本計画書では</w:t>
            </w:r>
            <w:r>
              <w:rPr>
                <w:rFonts w:hint="default"/>
              </w:rPr>
              <w:t>0</w:t>
            </w:r>
            <w:r>
              <w:rPr>
                <w:rFonts w:hint="default"/>
              </w:rPr>
              <w:t>歳での平均余命を示している。</w:t>
            </w:r>
          </w:p>
        </w:tc>
      </w:tr>
      <w:tr>
        <w:trPr/>
        <w:tc>
          <w:tcPr>
            <w:tcW w:w="635" w:type="dxa"/>
            <w:vMerge w:val="continue"/>
            <w:tcMar>
              <w:top w:w="28" w:type="dxa"/>
              <w:left w:w="28" w:type="dxa"/>
              <w:bottom w:w="28" w:type="dxa"/>
              <w:right w:w="28" w:type="dxa"/>
            </w:tcMar>
            <w:vAlign w:val="top"/>
          </w:tcPr>
          <w:p>
            <w:pPr>
              <w:pStyle w:val="0"/>
              <w:spacing w:line="276" w:lineRule="auto"/>
              <w:jc w:val="both"/>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eastAsia"/>
              </w:rPr>
              <w:t>41</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HbA1c</w:t>
            </w:r>
          </w:p>
        </w:tc>
        <w:tc>
          <w:tcPr>
            <w:tcW w:w="5978" w:type="dxa"/>
            <w:tcMar>
              <w:top w:w="28" w:type="dxa"/>
              <w:left w:w="28" w:type="dxa"/>
              <w:bottom w:w="28" w:type="dxa"/>
              <w:right w:w="28" w:type="dxa"/>
            </w:tcMar>
            <w:vAlign w:val="center"/>
          </w:tcPr>
          <w:p>
            <w:pPr>
              <w:pStyle w:val="0"/>
              <w:spacing w:line="276" w:lineRule="auto"/>
              <w:rPr>
                <w:rFonts w:hint="default"/>
              </w:rPr>
            </w:pPr>
            <w:r>
              <w:rPr>
                <w:rFonts w:hint="eastAsia"/>
              </w:rPr>
              <w:t>赤血球の中にあるヘモグロビン</w:t>
            </w:r>
            <w:r>
              <w:rPr>
                <w:rFonts w:hint="default"/>
              </w:rPr>
              <w:t>A</w:t>
            </w:r>
            <w:r>
              <w:rPr>
                <w:rFonts w:hint="eastAsia"/>
              </w:rPr>
              <w:t>（</w:t>
            </w:r>
            <w:r>
              <w:rPr>
                <w:rFonts w:hint="default"/>
              </w:rPr>
              <w:t>HbA</w:t>
            </w:r>
            <w:r>
              <w:rPr>
                <w:rFonts w:hint="default"/>
              </w:rPr>
              <w:t>）にグルコース（血糖）が非酵素的に結合したもの。</w:t>
            </w:r>
            <w:r>
              <w:rPr>
                <w:rFonts w:hint="eastAsia"/>
              </w:rPr>
              <w:t>糖尿病の過去</w:t>
            </w:r>
            <w:r>
              <w:rPr>
                <w:rFonts w:hint="default"/>
              </w:rPr>
              <w:t>1</w:t>
            </w:r>
            <w:r>
              <w:rPr>
                <w:rFonts w:hint="default"/>
              </w:rPr>
              <w:t>～</w:t>
            </w:r>
            <w:r>
              <w:rPr>
                <w:rFonts w:hint="default"/>
              </w:rPr>
              <w:t>3</w:t>
            </w:r>
            <w:r>
              <w:rPr>
                <w:rFonts w:hint="eastAsia"/>
              </w:rPr>
              <w:t>か</w:t>
            </w:r>
            <w:r>
              <w:rPr>
                <w:rFonts w:hint="default"/>
              </w:rPr>
              <w:t>月のコントロール状態の評価を行う上での重要な指標。</w:t>
            </w:r>
          </w:p>
        </w:tc>
      </w:tr>
      <w:tr>
        <w:trPr/>
        <w:tc>
          <w:tcPr>
            <w:tcW w:w="635" w:type="dxa"/>
            <w:vMerge w:val="restart"/>
            <w:tcMar>
              <w:top w:w="28" w:type="dxa"/>
              <w:left w:w="28" w:type="dxa"/>
              <w:bottom w:w="28" w:type="dxa"/>
              <w:right w:w="28" w:type="dxa"/>
            </w:tcMar>
            <w:vAlign w:val="top"/>
          </w:tcPr>
          <w:p>
            <w:pPr>
              <w:pStyle w:val="0"/>
              <w:spacing w:line="276" w:lineRule="auto"/>
              <w:rPr>
                <w:rFonts w:hint="default"/>
              </w:rPr>
            </w:pPr>
            <w:r>
              <w:rPr>
                <w:rFonts w:hint="eastAsia"/>
              </w:rPr>
              <w:t>ま行</w:t>
            </w:r>
          </w:p>
        </w:tc>
        <w:tc>
          <w:tcPr>
            <w:tcW w:w="636" w:type="dxa"/>
            <w:tcMar>
              <w:top w:w="28" w:type="dxa"/>
              <w:left w:w="28" w:type="dxa"/>
              <w:bottom w:w="28" w:type="dxa"/>
              <w:right w:w="28" w:type="dxa"/>
            </w:tcMar>
            <w:vAlign w:val="center"/>
          </w:tcPr>
          <w:p>
            <w:pPr>
              <w:pStyle w:val="0"/>
              <w:spacing w:line="276" w:lineRule="auto"/>
              <w:rPr>
                <w:rFonts w:hint="default"/>
              </w:rPr>
            </w:pPr>
            <w:r>
              <w:rPr>
                <w:rFonts w:hint="eastAsia"/>
              </w:rPr>
              <w:t>42</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eastAsia"/>
              </w:rPr>
              <w:t>未治療者</w:t>
            </w:r>
          </w:p>
        </w:tc>
        <w:tc>
          <w:tcPr>
            <w:tcW w:w="5978" w:type="dxa"/>
            <w:tcMar>
              <w:top w:w="28" w:type="dxa"/>
              <w:left w:w="28" w:type="dxa"/>
              <w:bottom w:w="28" w:type="dxa"/>
              <w:right w:w="28" w:type="dxa"/>
            </w:tcMar>
            <w:vAlign w:val="center"/>
          </w:tcPr>
          <w:p>
            <w:pPr>
              <w:pStyle w:val="0"/>
              <w:spacing w:line="276" w:lineRule="auto"/>
              <w:rPr>
                <w:rFonts w:hint="default"/>
              </w:rPr>
            </w:pPr>
            <w:r>
              <w:rPr>
                <w:rFonts w:hint="eastAsia"/>
              </w:rPr>
              <w:t>健診受診者のうち、受診勧奨対象者かつ健診実施から</w:t>
            </w:r>
            <w:r>
              <w:rPr>
                <w:rFonts w:hint="eastAsia"/>
              </w:rPr>
              <w:t>6</w:t>
            </w:r>
            <w:r>
              <w:rPr>
                <w:rFonts w:hint="eastAsia"/>
              </w:rPr>
              <w:t>か月以内に医療機関を受診していない者。</w:t>
            </w:r>
          </w:p>
        </w:tc>
      </w:tr>
      <w:tr>
        <w:trPr/>
        <w:tc>
          <w:tcPr>
            <w:tcW w:w="635" w:type="dxa"/>
            <w:vMerge w:val="continue"/>
            <w:tcMar>
              <w:top w:w="28" w:type="dxa"/>
              <w:left w:w="28" w:type="dxa"/>
              <w:bottom w:w="28" w:type="dxa"/>
              <w:right w:w="28" w:type="dxa"/>
            </w:tcMar>
            <w:vAlign w:val="top"/>
          </w:tcPr>
          <w:p>
            <w:pPr>
              <w:pStyle w:val="0"/>
              <w:spacing w:line="276" w:lineRule="auto"/>
              <w:rPr>
                <w:rFonts w:hint="default"/>
              </w:rPr>
            </w:pPr>
          </w:p>
        </w:tc>
        <w:tc>
          <w:tcPr>
            <w:tcW w:w="636" w:type="dxa"/>
            <w:tcMar>
              <w:top w:w="28" w:type="dxa"/>
              <w:left w:w="28" w:type="dxa"/>
              <w:bottom w:w="28" w:type="dxa"/>
              <w:right w:w="28" w:type="dxa"/>
            </w:tcMar>
            <w:vAlign w:val="center"/>
          </w:tcPr>
          <w:p>
            <w:pPr>
              <w:pStyle w:val="0"/>
              <w:spacing w:line="276" w:lineRule="auto"/>
              <w:rPr>
                <w:rFonts w:hint="default"/>
              </w:rPr>
            </w:pPr>
            <w:r>
              <w:rPr>
                <w:rFonts w:hint="eastAsia"/>
              </w:rPr>
              <w:t>43</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eastAsia"/>
              </w:rPr>
              <w:t>メタボリックシンドローム</w:t>
            </w:r>
          </w:p>
        </w:tc>
        <w:tc>
          <w:tcPr>
            <w:tcW w:w="5978" w:type="dxa"/>
            <w:tcMar>
              <w:top w:w="28" w:type="dxa"/>
              <w:left w:w="28" w:type="dxa"/>
              <w:bottom w:w="28" w:type="dxa"/>
              <w:right w:w="28" w:type="dxa"/>
            </w:tcMar>
            <w:vAlign w:val="center"/>
          </w:tcPr>
          <w:p>
            <w:pPr>
              <w:pStyle w:val="0"/>
              <w:spacing w:line="276" w:lineRule="auto"/>
              <w:rPr>
                <w:rFonts w:hint="default"/>
              </w:rPr>
            </w:pPr>
            <w:r>
              <w:rPr>
                <w:rFonts w:hint="eastAsia"/>
              </w:rPr>
              <w:t>内臓肥満に高血圧・高血糖・脂質代謝異常が組み合わさることにより、心臓病や脳卒中などになりやすい病態のこと。単に腹囲が大きいだけでは、メタボリックシンドロームには当てはまらない。</w:t>
            </w:r>
          </w:p>
        </w:tc>
      </w:tr>
      <w:tr>
        <w:trPr>
          <w:trHeight w:val="49" w:hRule="atLeast"/>
        </w:trPr>
        <w:tc>
          <w:tcPr>
            <w:tcW w:w="635" w:type="dxa"/>
            <w:tcMar>
              <w:top w:w="28" w:type="dxa"/>
              <w:left w:w="28" w:type="dxa"/>
              <w:bottom w:w="28" w:type="dxa"/>
              <w:right w:w="28" w:type="dxa"/>
            </w:tcMar>
            <w:vAlign w:val="top"/>
          </w:tcPr>
          <w:p>
            <w:pPr>
              <w:pStyle w:val="0"/>
              <w:rPr>
                <w:rFonts w:hint="default"/>
              </w:rPr>
            </w:pPr>
            <w:r>
              <w:rPr>
                <w:rFonts w:hint="eastAsia"/>
              </w:rPr>
              <w:t>や行</w:t>
            </w:r>
          </w:p>
        </w:tc>
        <w:tc>
          <w:tcPr>
            <w:tcW w:w="636" w:type="dxa"/>
            <w:tcMar>
              <w:top w:w="28" w:type="dxa"/>
              <w:left w:w="28" w:type="dxa"/>
              <w:bottom w:w="28" w:type="dxa"/>
              <w:right w:w="28" w:type="dxa"/>
            </w:tcMar>
            <w:vAlign w:val="center"/>
          </w:tcPr>
          <w:p>
            <w:pPr>
              <w:pStyle w:val="0"/>
              <w:spacing w:line="276" w:lineRule="auto"/>
              <w:rPr>
                <w:rFonts w:hint="default"/>
              </w:rPr>
            </w:pPr>
            <w:r>
              <w:rPr>
                <w:rFonts w:hint="default"/>
              </w:rPr>
              <w:t>44</w:t>
            </w:r>
          </w:p>
        </w:tc>
        <w:tc>
          <w:tcPr>
            <w:tcW w:w="2126" w:type="dxa"/>
            <w:tcMar>
              <w:top w:w="28" w:type="dxa"/>
              <w:left w:w="28" w:type="dxa"/>
              <w:bottom w:w="28" w:type="dxa"/>
              <w:right w:w="28" w:type="dxa"/>
            </w:tcMar>
            <w:vAlign w:val="center"/>
          </w:tcPr>
          <w:p>
            <w:pPr>
              <w:pStyle w:val="0"/>
              <w:spacing w:line="276" w:lineRule="auto"/>
              <w:jc w:val="both"/>
              <w:rPr>
                <w:rFonts w:hint="default"/>
              </w:rPr>
            </w:pPr>
            <w:r>
              <w:rPr>
                <w:rFonts w:hint="default"/>
              </w:rPr>
              <w:t>有所見者</w:t>
            </w:r>
          </w:p>
        </w:tc>
        <w:tc>
          <w:tcPr>
            <w:tcW w:w="5978" w:type="dxa"/>
            <w:tcMar>
              <w:top w:w="28" w:type="dxa"/>
              <w:left w:w="28" w:type="dxa"/>
              <w:bottom w:w="28" w:type="dxa"/>
              <w:right w:w="28" w:type="dxa"/>
            </w:tcMar>
            <w:vAlign w:val="center"/>
          </w:tcPr>
          <w:p>
            <w:pPr>
              <w:pStyle w:val="0"/>
              <w:spacing w:line="276" w:lineRule="auto"/>
              <w:rPr>
                <w:rFonts w:hint="default"/>
              </w:rPr>
            </w:pPr>
            <w:r>
              <w:rPr>
                <w:rFonts w:hint="default"/>
              </w:rPr>
              <w:t>特定健診受診者の</w:t>
            </w:r>
            <w:r>
              <w:rPr>
                <w:rFonts w:hint="eastAsia"/>
              </w:rPr>
              <w:t>うち</w:t>
            </w:r>
            <w:r>
              <w:rPr>
                <w:rFonts w:hint="default"/>
              </w:rPr>
              <w:t>、異常の所見のあった</w:t>
            </w:r>
            <w:r>
              <w:rPr>
                <w:rFonts w:hint="eastAsia"/>
              </w:rPr>
              <w:t>者</w:t>
            </w:r>
            <w:r>
              <w:rPr>
                <w:rFonts w:hint="default"/>
              </w:rPr>
              <w:t>。</w:t>
            </w:r>
          </w:p>
        </w:tc>
      </w:tr>
    </w:tbl>
    <w:p>
      <w:pPr>
        <w:pStyle w:val="0"/>
        <w:rPr>
          <w:rFonts w:hint="default"/>
          <w:sz w:val="18"/>
        </w:rPr>
      </w:pPr>
    </w:p>
    <w:p>
      <w:pPr>
        <w:pStyle w:val="0"/>
        <w:rPr>
          <w:rFonts w:hint="default"/>
          <w:sz w:val="18"/>
        </w:rPr>
      </w:pPr>
    </w:p>
    <w:sectPr>
      <w:headerReference r:id="rId25" w:type="even"/>
      <w:headerReference r:id="rId26" w:type="default"/>
      <w:pgSz w:w="11909" w:h="16834"/>
      <w:pgMar w:top="1418" w:right="1106" w:bottom="1418" w:left="1418" w:header="851" w:footer="720" w:gutter="0"/>
      <w:cols w:space="720"/>
      <w:textDirection w:val="lrTb"/>
      <w:docGrid w:linePitch="272"/>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BIZ UDPゴシック">
    <w:panose1 w:val="00000000000000000000"/>
    <w:charset w:val="80"/>
    <w:family w:val="modern"/>
    <w:notTrueType/>
    <w:pitch w:val="variable"/>
    <w:sig w:usb0="00000000" w:usb1="00000000" w:usb2="00000000" w:usb3="00000000" w:csb0="01008200" w:csb1="00000000"/>
  </w:font>
  <w:font w:name="BIZ UDゴシック">
    <w:panose1 w:val="00000000000000000000"/>
    <w:charset w:val="80"/>
    <w:family w:val="modern"/>
    <w:notTrueType/>
    <w:pitch w:val="fixed"/>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ＭＳ Ｐゴシック">
    <w:panose1 w:val="00000000000000000000"/>
    <w:charset w:val="80"/>
    <w:family w:val="modern"/>
    <w:notTrueType/>
    <w:pitch w:val="variable"/>
    <w:sig w:usb0="00000000" w:usb1="00000000" w:usb2="00000000" w:usb3="00000000" w:csb0="01008200" w:csb1="00000000"/>
  </w:font>
  <w:font w:name="Cambria">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Calibri">
    <w:panose1 w:val="00000000000000000000"/>
    <w:charset w:val="00"/>
    <w:family w:val="swiss"/>
    <w:notTrueType/>
    <w:pitch w:val="variable"/>
    <w:sig w:usb0="00000000" w:usb1="00000000" w:usb2="00000000" w:usb3="00000000" w:csb0="FF000000" w:csb1="00000000"/>
  </w:font>
  <w:font w:name="Century">
    <w:panose1 w:val="00000000000000000000"/>
    <w:charset w:val="00"/>
    <w:family w:val="roman"/>
    <w:notTrueType/>
    <w:pitch w:val="variable"/>
    <w:sig w:usb0="00000000" w:usb1="00000000" w:usb2="00000000" w:usb3="00000000" w:csb0="FF000000" w:csb1="00000000"/>
  </w:font>
  <w:font w:name="BIZ UDゴシック">
    <w:panose1 w:val="00000800000000000000"/>
    <w:charset w:val="80"/>
    <w:family w:val="modern"/>
    <w:notTrueType/>
    <w:pitch w:val="fixed"/>
    <w:sig w:usb0="00000000" w:usb1="00000000" w:usb2="00000000" w:usb3="00000000" w:csb0="01008200" w:csb1="00000000"/>
  </w:font>
  <w:font w:name="BIZ UDPゴシック">
    <w:panose1 w:val="00000800000000000000"/>
    <w:charset w:val="80"/>
    <w:family w:val="modern"/>
    <w:notTrueType/>
    <w:pitch w:val="variable"/>
    <w:sig w:usb0="00000000" w:usb1="00000000" w:usb2="00000000" w:usb3="00000000" w:csb0="01008200" w:csb1="00000000"/>
  </w:font>
  <w:font w:name="Arial">
    <w:panose1 w:val="00000800000000000000"/>
    <w:charset w:val="00"/>
    <w:family w:val="swiss"/>
    <w:notTrueType/>
    <w:pitch w:val="variable"/>
    <w:sig w:usb0="00000000" w:usb1="00000000" w:usb2="00000000" w:usb3="00000000" w:csb0="FF0000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1603068258"/>
      <w:docPartObj>
        <w:docPartGallery w:val="Page Numbers (Bottom of Page)"/>
        <w:docPartUnique/>
      </w:docPartObj>
    </w:sdtPr>
    <w:sdtEndPr>
      <w:rPr>
        <w:rFonts w:hint="default"/>
      </w:rPr>
    </w:sdtEndPr>
    <w:sdtContent>
      <w:p>
        <w:pPr>
          <w:pStyle w:val="34"/>
          <w:rPr>
            <w:rFonts w:hint="default"/>
          </w:rPr>
        </w:pPr>
        <w:r>
          <w:rPr>
            <w:rFonts w:hint="eastAsia"/>
          </w:rPr>
          <w:fldChar w:fldCharType="begin"/>
        </w:r>
        <w:r>
          <w:rPr>
            <w:rFonts w:hint="eastAsia"/>
          </w:rPr>
          <w:instrText xml:space="preserve">PAGE  \* MERGEFORMAT </w:instrText>
        </w:r>
        <w:r>
          <w:rPr>
            <w:rFonts w:hint="eastAsia"/>
          </w:rPr>
          <w:fldChar w:fldCharType="separate"/>
        </w:r>
        <w:r>
          <w:rPr>
            <w:rFonts w:hint="default"/>
          </w:rPr>
          <w:t>1</w:t>
        </w:r>
        <w:r>
          <w:rPr>
            <w:rFonts w:hint="eastAsia"/>
          </w:rPr>
          <w:fldChar w:fldCharType="end"/>
        </w:r>
      </w:p>
    </w:sdtContent>
  </w:sdt>
  <w:p>
    <w:pPr>
      <w:pStyle w:val="0"/>
      <w:jc w:val="right"/>
      <w:rPr>
        <w:rFonts w:hint="default"/>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24678858"/>
      <w:docPartObj>
        <w:docPartGallery w:val="Page Numbers (Bottom of Page)"/>
        <w:docPartUnique/>
      </w:docPartObj>
    </w:sdtPr>
    <w:sdtEndPr>
      <w:rPr>
        <w:rFonts w:hint="default"/>
      </w:rPr>
    </w:sdtEndPr>
    <w:sdtContent>
      <w:p>
        <w:pPr>
          <w:pStyle w:val="34"/>
          <w:jc w:val="right"/>
          <w:rPr>
            <w:rFonts w:hint="default"/>
          </w:rPr>
        </w:pPr>
        <w:r>
          <w:rPr>
            <w:rFonts w:hint="eastAsia"/>
          </w:rPr>
          <w:fldChar w:fldCharType="begin"/>
        </w:r>
        <w:r>
          <w:rPr>
            <w:rFonts w:hint="eastAsia"/>
          </w:rPr>
          <w:instrText xml:space="preserve">PAGE  \* MERGEFORMAT </w:instrText>
        </w:r>
        <w:r>
          <w:rPr>
            <w:rFonts w:hint="eastAsia"/>
          </w:rPr>
          <w:fldChar w:fldCharType="separate"/>
        </w:r>
        <w:r>
          <w:rPr>
            <w:rFonts w:hint="default"/>
          </w:rPr>
          <w:t>92</w:t>
        </w:r>
        <w:r>
          <w:rPr>
            <w:rFonts w:hint="eastAsia"/>
          </w:rPr>
          <w:fldChar w:fldCharType="end"/>
        </w:r>
      </w:p>
    </w:sdtContent>
  </w:sdt>
  <w:p>
    <w:pPr>
      <w:pStyle w:val="34"/>
      <w:rPr>
        <w:rFonts w:hint="default"/>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rPr>
      <w:id w:val="-1775248940"/>
      <w:docPartObj>
        <w:docPartGallery w:val="Page Numbers (Bottom of Page)"/>
        <w:docPartUnique/>
      </w:docPartObj>
    </w:sdtPr>
    <w:sdtEndPr>
      <w:rPr>
        <w:rFonts w:hint="default"/>
      </w:rPr>
    </w:sdtEndPr>
    <w:sdtContent>
      <w:p>
        <w:pPr>
          <w:pStyle w:val="34"/>
          <w:rPr>
            <w:rFonts w:hint="default"/>
          </w:rPr>
        </w:pPr>
        <w:r>
          <w:rPr>
            <w:rFonts w:hint="eastAsia"/>
          </w:rPr>
          <w:fldChar w:fldCharType="begin"/>
        </w:r>
        <w:r>
          <w:rPr>
            <w:rFonts w:hint="eastAsia"/>
          </w:rPr>
          <w:instrText xml:space="preserve">PAGE  \* MERGEFORMAT </w:instrText>
        </w:r>
        <w:r>
          <w:rPr>
            <w:rFonts w:hint="eastAsia"/>
          </w:rPr>
          <w:fldChar w:fldCharType="separate"/>
        </w:r>
        <w:r>
          <w:rPr>
            <w:rFonts w:hint="default"/>
          </w:rPr>
          <w:t>91</w:t>
        </w:r>
        <w:r>
          <w:rPr>
            <w:rFonts w:hint="eastAsia"/>
          </w:rPr>
          <w:fldChar w:fldCharType="end"/>
        </w:r>
      </w:p>
    </w:sdtContent>
  </w:sdt>
  <w:p>
    <w:pPr>
      <w:pStyle w:val="0"/>
      <w:jc w:val="right"/>
      <w:rPr>
        <w:rFonts w:hint="default"/>
      </w:rPr>
    </w:pPr>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right"/>
      <w:rPr>
        <w:rFonts w:hint="default"/>
      </w:rPr>
    </w:pP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2"/>
      <w:jc w:val="right"/>
      <w:rPr>
        <w:rFonts w:hint="default"/>
      </w:rPr>
    </w:pPr>
    <w:r>
      <w:rPr>
        <w:rFonts w:hint="eastAsia"/>
      </w:rPr>
      <w:drawing>
        <wp:inline distT="0" distB="0" distL="0" distR="0">
          <wp:extent cx="3599815" cy="335915"/>
          <wp:effectExtent l="0" t="0" r="0" b="0"/>
          <wp:docPr id="2049" name="図 75" descr="文字が書かれている&#10;&#10;低い精度で自動的に生成された説明"/>
          <a:graphic xmlns:a="http://schemas.openxmlformats.org/drawingml/2006/main">
            <a:graphicData uri="http://schemas.openxmlformats.org/drawingml/2006/picture">
              <pic:pic xmlns:pic="http://schemas.openxmlformats.org/drawingml/2006/picture">
                <pic:nvPicPr>
                  <pic:cNvPr id="2049" name="図 75" descr="文字が書かれている&#10;&#10;低い精度で自動的に生成された説明"/>
                  <pic:cNvPicPr/>
                </pic:nvPicPr>
                <pic:blipFill>
                  <a:blip r:embed="rId1"/>
                  <a:stretch>
                    <a:fillRect/>
                  </a:stretch>
                </pic:blipFill>
                <pic:spPr>
                  <a:xfrm>
                    <a:off x="0" y="0"/>
                    <a:ext cx="3599815" cy="335915"/>
                  </a:xfrm>
                  <a:prstGeom prst="rect">
                    <a:avLst/>
                  </a:prstGeom>
                </pic:spPr>
              </pic:pic>
            </a:graphicData>
          </a:graphic>
        </wp:inline>
      </w:drawing>
    </w: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2"/>
      <w:rPr>
        <w:rFonts w:hint="default"/>
      </w:rPr>
    </w:pPr>
  </w:p>
</w:hdr>
</file>

<file path=word/header4.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right"/>
      <w:rPr>
        <w:rFonts w:hint="default"/>
      </w:rPr>
    </w:pPr>
  </w:p>
</w:hdr>
</file>

<file path=word/header5.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2"/>
      <w:jc w:val="right"/>
      <w:rPr>
        <w:rFonts w:hint="default"/>
      </w:rPr>
    </w:pPr>
    <w:r>
      <w:rPr>
        <w:rFonts w:hint="default"/>
      </w:rPr>
      <w:drawing>
        <wp:inline distT="0" distB="0" distL="0" distR="0">
          <wp:extent cx="3599815" cy="335915"/>
          <wp:effectExtent l="0" t="0" r="0" b="0"/>
          <wp:docPr id="2050" name="図 69" descr="白いバックグラウンドのスクリーンショット&#10;&#10;低い精度で自動的に生成された説明"/>
          <a:graphic xmlns:a="http://schemas.openxmlformats.org/drawingml/2006/main">
            <a:graphicData uri="http://schemas.openxmlformats.org/drawingml/2006/picture">
              <pic:pic xmlns:pic="http://schemas.openxmlformats.org/drawingml/2006/picture">
                <pic:nvPicPr>
                  <pic:cNvPr id="2050" name="図 69" descr="白いバックグラウンドのスクリーンショット&#10;&#10;低い精度で自動的に生成された説明"/>
                  <pic:cNvPicPr/>
                </pic:nvPicPr>
                <pic:blipFill>
                  <a:blip r:embed="rId1"/>
                  <a:stretch>
                    <a:fillRect/>
                  </a:stretch>
                </pic:blipFill>
                <pic:spPr>
                  <a:xfrm>
                    <a:off x="0" y="0"/>
                    <a:ext cx="3599815" cy="335915"/>
                  </a:xfrm>
                  <a:prstGeom prst="rect">
                    <a:avLst/>
                  </a:prstGeom>
                </pic:spPr>
              </pic:pic>
            </a:graphicData>
          </a:graphic>
        </wp:inline>
      </w:drawing>
    </w:r>
  </w:p>
</w:hdr>
</file>

<file path=word/header6.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2"/>
      <w:rPr>
        <w:rFonts w:hint="default"/>
      </w:rPr>
    </w:pPr>
  </w:p>
</w:hdr>
</file>

<file path=word/header7.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jc w:val="right"/>
      <w:rPr>
        <w:rFonts w:hint="default"/>
      </w:rPr>
    </w:pPr>
  </w:p>
</w:hdr>
</file>

<file path=word/header8.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2"/>
      <w:rPr>
        <w:rFonts w:hint="default"/>
      </w:rPr>
    </w:pPr>
  </w:p>
</w:hdr>
</file>

<file path=word/header9.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32"/>
      <w:rPr>
        <w:rFonts w:hint="default"/>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multilevel"/>
    <w:tmpl w:val="FB7EC1FC"/>
    <w:lvl w:ilvl="0">
      <w:start w:val="1"/>
      <w:numFmt w:val="decimal"/>
      <w:pStyle w:val="1"/>
      <w:suff w:val="space"/>
      <w:lvlText w:val="第%1章"/>
      <w:lvlJc w:val="left"/>
      <w:pPr>
        <w:ind w:left="0" w:firstLine="0"/>
      </w:pPr>
      <w:rPr>
        <w:rFonts w:hint="eastAsia"/>
      </w:rPr>
    </w:lvl>
    <w:lvl w:ilvl="1">
      <w:start w:val="1"/>
      <w:numFmt w:val="decimal"/>
      <w:pStyle w:val="2"/>
      <w:suff w:val="space"/>
      <w:lvlText w:val="%2"/>
      <w:lvlJc w:val="left"/>
      <w:pPr>
        <w:ind w:left="113" w:firstLine="0"/>
      </w:pPr>
      <w:rPr>
        <w:rFonts w:hint="eastAsia"/>
      </w:rPr>
    </w:lvl>
    <w:lvl w:ilvl="2">
      <w:start w:val="1"/>
      <w:numFmt w:val="decimal"/>
      <w:pStyle w:val="3"/>
      <w:suff w:val="space"/>
      <w:lvlText w:val="（%3）"/>
      <w:lvlJc w:val="left"/>
      <w:pPr>
        <w:ind w:left="57" w:firstLine="0"/>
      </w:pPr>
      <w:rPr>
        <w:rFonts w:hint="eastAsia"/>
        <w:color w:val="auto"/>
      </w:rPr>
    </w:lvl>
    <w:lvl w:ilvl="3">
      <w:start w:val="1"/>
      <w:numFmt w:val="decimalEnclosedCircle"/>
      <w:pStyle w:val="4"/>
      <w:suff w:val="space"/>
      <w:lvlText w:val="%4"/>
      <w:lvlJc w:val="left"/>
      <w:pPr>
        <w:ind w:left="227" w:firstLine="0"/>
      </w:pPr>
      <w:rPr>
        <w:rFonts w:hint="eastAsia"/>
      </w:rPr>
    </w:lvl>
    <w:lvl w:ilvl="4">
      <w:start w:val="1"/>
      <w:numFmt w:val="none"/>
      <w:pStyle w:val="5"/>
      <w:suff w:val="nothing"/>
      <w:lvlText w:val=""/>
      <w:lvlJc w:val="left"/>
      <w:pPr>
        <w:ind w:left="1135" w:hanging="567"/>
      </w:pPr>
      <w:rPr>
        <w:rFonts w:hint="eastAsia"/>
      </w:rPr>
    </w:lvl>
    <w:lvl w:ilvl="5">
      <w:start w:val="1"/>
      <w:numFmt w:val="none"/>
      <w:pStyle w:val="6"/>
      <w:suff w:val="nothing"/>
      <w:lvlText w:val=""/>
      <w:lvlJc w:val="left"/>
      <w:pPr>
        <w:ind w:left="1277" w:hanging="567"/>
      </w:pPr>
      <w:rPr>
        <w:rFonts w:hint="eastAsia"/>
      </w:rPr>
    </w:lvl>
    <w:lvl w:ilvl="6">
      <w:start w:val="1"/>
      <w:numFmt w:val="none"/>
      <w:pStyle w:val="7"/>
      <w:suff w:val="nothing"/>
      <w:lvlText w:val=""/>
      <w:lvlJc w:val="left"/>
      <w:pPr>
        <w:ind w:left="1419" w:hanging="567"/>
      </w:pPr>
      <w:rPr>
        <w:rFonts w:hint="eastAsia"/>
      </w:rPr>
    </w:lvl>
    <w:lvl w:ilvl="7">
      <w:start w:val="1"/>
      <w:numFmt w:val="none"/>
      <w:pStyle w:val="8"/>
      <w:suff w:val="nothing"/>
      <w:lvlText w:val=""/>
      <w:lvlJc w:val="left"/>
      <w:pPr>
        <w:ind w:left="1561" w:hanging="567"/>
      </w:pPr>
      <w:rPr>
        <w:rFonts w:hint="eastAsia"/>
      </w:rPr>
    </w:lvl>
    <w:lvl w:ilvl="8">
      <w:start w:val="1"/>
      <w:numFmt w:val="none"/>
      <w:pStyle w:val="9"/>
      <w:suff w:val="nothing"/>
      <w:lvlText w:val=""/>
      <w:lvlJc w:val="right"/>
      <w:pPr>
        <w:ind w:left="1703" w:hanging="567"/>
      </w:pPr>
      <w:rPr>
        <w:rFonts w:hint="eastAsia"/>
      </w:rPr>
    </w:lvl>
  </w:abstractNum>
  <w:abstractNum w:abstractNumId="1">
    <w:nsid w:val="00000002"/>
    <w:multiLevelType w:val="multilevel"/>
    <w:tmpl w:val="00000000"/>
    <w:lvl w:ilvl="0">
      <w:start w:val="1"/>
      <w:numFmt w:val="decimal"/>
      <w:suff w:val="space"/>
      <w:lvlText w:val="第%1章"/>
      <w:lvlJc w:val="left"/>
      <w:pPr>
        <w:ind w:left="0" w:firstLine="0"/>
      </w:pPr>
    </w:lvl>
    <w:lvl w:ilvl="1">
      <w:start w:val="2"/>
      <w:numFmt w:val="decimal"/>
      <w:pStyle w:val="74"/>
      <w:suff w:val="space"/>
      <w:lvlText w:val="%2"/>
      <w:lvlJc w:val="left"/>
      <w:pPr>
        <w:ind w:left="113" w:firstLine="0"/>
      </w:pPr>
    </w:lvl>
    <w:lvl w:ilvl="2">
      <w:start w:val="1"/>
      <w:numFmt w:val="decimal"/>
      <w:suff w:val="space"/>
      <w:lvlText w:val="（%3）"/>
      <w:lvlJc w:val="left"/>
      <w:pPr>
        <w:ind w:left="57" w:firstLine="0"/>
      </w:pPr>
      <w:rPr>
        <w:color w:val="00000A"/>
      </w:rPr>
    </w:lvl>
    <w:lvl w:ilvl="3">
      <w:start w:val="1"/>
      <w:numFmt w:val="decimal"/>
      <w:suff w:val="space"/>
      <w:lvlText w:val="%4"/>
      <w:lvlJc w:val="left"/>
      <w:pPr>
        <w:ind w:left="227" w:firstLine="0"/>
      </w:pPr>
    </w:lvl>
    <w:lvl w:ilvl="4">
      <w:start w:val="1"/>
      <w:numFmt w:val="none"/>
      <w:suff w:val="nothing"/>
      <w:lvlText w:val=""/>
      <w:lvlJc w:val="left"/>
      <w:pPr>
        <w:ind w:left="1135" w:hanging="567"/>
      </w:pPr>
    </w:lvl>
    <w:lvl w:ilvl="5">
      <w:start w:val="1"/>
      <w:numFmt w:val="none"/>
      <w:suff w:val="nothing"/>
      <w:lvlText w:val=""/>
      <w:lvlJc w:val="left"/>
      <w:pPr>
        <w:ind w:left="1277" w:hanging="567"/>
      </w:pPr>
    </w:lvl>
    <w:lvl w:ilvl="6">
      <w:start w:val="1"/>
      <w:numFmt w:val="none"/>
      <w:suff w:val="nothing"/>
      <w:lvlText w:val=""/>
      <w:lvlJc w:val="left"/>
      <w:pPr>
        <w:ind w:left="1419" w:hanging="567"/>
      </w:pPr>
    </w:lvl>
    <w:lvl w:ilvl="7">
      <w:start w:val="1"/>
      <w:numFmt w:val="none"/>
      <w:suff w:val="nothing"/>
      <w:lvlText w:val=""/>
      <w:lvlJc w:val="left"/>
      <w:pPr>
        <w:ind w:left="1561" w:hanging="567"/>
      </w:pPr>
    </w:lvl>
    <w:lvl w:ilvl="8">
      <w:start w:val="1"/>
      <w:numFmt w:val="none"/>
      <w:suff w:val="nothing"/>
      <w:lvlText w:val=""/>
      <w:lvlJc w:val="right"/>
      <w:pPr>
        <w:ind w:left="1703" w:hanging="567"/>
      </w:pPr>
    </w:lvl>
  </w:abstractNum>
  <w:num w:numId="1">
    <w:abstractNumId w:val="0"/>
  </w:num>
  <w:num w:numId="2">
    <w:abstractNumId w:val="1"/>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mirrorMargins/>
  <w:bordersDoNotSurroundHeader/>
  <w:bordersDoNotSurroundFooter/>
  <w:defaultTabStop w:val="720"/>
  <w:evenAndOddHeaders/>
  <w:hdrShapeDefaults>
    <o:shapelayout v:ext="edit"/>
  </w:hdrShapeDefaults>
  <w:compat>
    <w:spaceForUL/>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BIZ UDPゴシック" w:hAnsi="BIZ UDPゴシック" w:eastAsia="BIZ UDPゴシック"/>
      </w:rPr>
    </w:rPrDefault>
    <w:pPrDefault>
      <w:pPr>
        <w:spacing w:line="276" w:lineRule="auto"/>
      </w:pPr>
    </w:pPrDefault>
  </w:docDefaults>
  <w:style w:type="paragraph" w:styleId="0" w:default="1">
    <w:name w:val="Normal"/>
    <w:next w:val="0"/>
    <w:link w:val="0"/>
    <w:uiPriority w:val="0"/>
    <w:qFormat/>
    <w:rPr>
      <w:rFonts w:ascii="BIZ UDゴシック" w:hAnsi="BIZ UDゴシック" w:eastAsia="BIZ UDゴシック"/>
      <w:sz w:val="16"/>
    </w:rPr>
  </w:style>
  <w:style w:type="paragraph" w:styleId="1">
    <w:name w:val="heading 1"/>
    <w:basedOn w:val="0"/>
    <w:next w:val="0"/>
    <w:link w:val="15"/>
    <w:uiPriority w:val="0"/>
    <w:qFormat/>
    <w:pPr>
      <w:keepNext w:val="1"/>
      <w:keepLines w:val="1"/>
      <w:numPr>
        <w:ilvl w:val="0"/>
        <w:numId w:val="1"/>
      </w:numPr>
      <w:shd w:val="clear" w:color="auto" w:fill="CCD6FF"/>
      <w:spacing w:before="120" w:beforeLines="0" w:beforeAutospacing="0" w:after="120" w:afterLines="0" w:afterAutospacing="0"/>
      <w:outlineLvl w:val="0"/>
    </w:pPr>
    <w:rPr>
      <w:b w:val="1"/>
      <w:sz w:val="28"/>
    </w:rPr>
  </w:style>
  <w:style w:type="paragraph" w:styleId="2">
    <w:name w:val="heading 2"/>
    <w:basedOn w:val="0"/>
    <w:next w:val="0"/>
    <w:link w:val="16"/>
    <w:uiPriority w:val="0"/>
    <w:qFormat/>
    <w:pPr>
      <w:keepNext w:val="1"/>
      <w:keepLines w:val="1"/>
      <w:numPr>
        <w:ilvl w:val="1"/>
        <w:numId w:val="1"/>
      </w:numPr>
      <w:spacing w:before="120" w:beforeLines="0" w:beforeAutospacing="0" w:after="120" w:afterLines="0" w:afterAutospacing="0"/>
      <w:outlineLvl w:val="1"/>
    </w:pPr>
    <w:rPr>
      <w:b w:val="1"/>
      <w:sz w:val="24"/>
    </w:rPr>
  </w:style>
  <w:style w:type="paragraph" w:styleId="3">
    <w:name w:val="heading 3"/>
    <w:basedOn w:val="2"/>
    <w:next w:val="0"/>
    <w:link w:val="17"/>
    <w:uiPriority w:val="0"/>
    <w:qFormat/>
    <w:pPr>
      <w:numPr>
        <w:ilvl w:val="2"/>
        <w:numId w:val="1"/>
      </w:numPr>
      <w:outlineLvl w:val="2"/>
    </w:pPr>
    <w:rPr>
      <w:sz w:val="22"/>
    </w:rPr>
  </w:style>
  <w:style w:type="paragraph" w:styleId="4">
    <w:name w:val="heading 4"/>
    <w:basedOn w:val="3"/>
    <w:next w:val="0"/>
    <w:link w:val="65"/>
    <w:uiPriority w:val="0"/>
    <w:qFormat/>
    <w:pPr>
      <w:numPr>
        <w:ilvl w:val="3"/>
        <w:numId w:val="1"/>
      </w:numPr>
      <w:outlineLvl w:val="3"/>
    </w:pPr>
    <w:rPr>
      <w:sz w:val="20"/>
    </w:rPr>
  </w:style>
  <w:style w:type="paragraph" w:styleId="5">
    <w:name w:val="heading 5"/>
    <w:basedOn w:val="4"/>
    <w:next w:val="39"/>
    <w:link w:val="0"/>
    <w:uiPriority w:val="0"/>
    <w:qFormat/>
    <w:pPr>
      <w:numPr>
        <w:ilvl w:val="4"/>
        <w:numId w:val="1"/>
      </w:numPr>
      <w:spacing w:before="0" w:beforeLines="0" w:beforeAutospacing="0" w:after="0" w:afterLines="0" w:afterAutospacing="0"/>
      <w:outlineLvl w:val="4"/>
    </w:pPr>
  </w:style>
  <w:style w:type="paragraph" w:styleId="6">
    <w:name w:val="heading 6"/>
    <w:basedOn w:val="0"/>
    <w:next w:val="0"/>
    <w:link w:val="0"/>
    <w:uiPriority w:val="0"/>
    <w:qFormat/>
    <w:pPr>
      <w:keepNext w:val="1"/>
      <w:keepLines w:val="1"/>
      <w:numPr>
        <w:ilvl w:val="5"/>
        <w:numId w:val="1"/>
      </w:numPr>
      <w:spacing w:before="240" w:beforeLines="0" w:beforeAutospacing="0" w:after="80" w:afterLines="0" w:afterAutospacing="0"/>
      <w:jc w:val="center"/>
      <w:outlineLvl w:val="5"/>
    </w:pPr>
    <w:rPr>
      <w:sz w:val="22"/>
    </w:rPr>
  </w:style>
  <w:style w:type="paragraph" w:styleId="7">
    <w:name w:val="heading 7"/>
    <w:basedOn w:val="0"/>
    <w:next w:val="0"/>
    <w:link w:val="18"/>
    <w:uiPriority w:val="0"/>
    <w:qFormat/>
    <w:pPr>
      <w:keepNext w:val="1"/>
      <w:numPr>
        <w:ilvl w:val="6"/>
        <w:numId w:val="1"/>
      </w:numPr>
      <w:outlineLvl w:val="6"/>
    </w:pPr>
  </w:style>
  <w:style w:type="paragraph" w:styleId="8">
    <w:name w:val="heading 8"/>
    <w:basedOn w:val="0"/>
    <w:next w:val="0"/>
    <w:link w:val="19"/>
    <w:uiPriority w:val="0"/>
    <w:qFormat/>
    <w:pPr>
      <w:keepNext w:val="1"/>
      <w:numPr>
        <w:ilvl w:val="7"/>
        <w:numId w:val="1"/>
      </w:numPr>
      <w:outlineLvl w:val="7"/>
    </w:pPr>
  </w:style>
  <w:style w:type="paragraph" w:styleId="9">
    <w:name w:val="heading 9"/>
    <w:basedOn w:val="0"/>
    <w:next w:val="0"/>
    <w:link w:val="20"/>
    <w:uiPriority w:val="0"/>
    <w:qFormat/>
    <w:pPr>
      <w:keepNext w:val="1"/>
      <w:numPr>
        <w:ilvl w:val="8"/>
        <w:numId w:val="1"/>
      </w:numPr>
      <w:outlineLvl w:val="8"/>
    </w:p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見出し 1 (文字)"/>
    <w:basedOn w:val="10"/>
    <w:next w:val="15"/>
    <w:link w:val="1"/>
    <w:uiPriority w:val="0"/>
    <w:rPr>
      <w:rFonts w:ascii="BIZ UDゴシック" w:hAnsi="BIZ UDゴシック" w:eastAsia="BIZ UDゴシック"/>
      <w:b w:val="1"/>
      <w:sz w:val="28"/>
      <w:shd w:val="clear" w:color="auto" w:fill="CCD6FF"/>
    </w:rPr>
  </w:style>
  <w:style w:type="character" w:styleId="16" w:customStyle="1">
    <w:name w:val="見出し 2 (文字)"/>
    <w:basedOn w:val="10"/>
    <w:next w:val="16"/>
    <w:link w:val="2"/>
    <w:uiPriority w:val="0"/>
    <w:rPr>
      <w:rFonts w:ascii="BIZ UDゴシック" w:hAnsi="BIZ UDゴシック"/>
      <w:b w:val="1"/>
      <w:sz w:val="24"/>
    </w:rPr>
  </w:style>
  <w:style w:type="character" w:styleId="17" w:customStyle="1">
    <w:name w:val="見出し 3 (文字)"/>
    <w:basedOn w:val="10"/>
    <w:next w:val="17"/>
    <w:link w:val="3"/>
    <w:uiPriority w:val="0"/>
    <w:rPr>
      <w:rFonts w:ascii="BIZ UDゴシック" w:hAnsi="BIZ UDゴシック" w:eastAsia="BIZ UDゴシック"/>
      <w:b w:val="1"/>
      <w:sz w:val="22"/>
    </w:rPr>
  </w:style>
  <w:style w:type="character" w:styleId="18" w:customStyle="1">
    <w:name w:val="見出し 7 (文字)"/>
    <w:basedOn w:val="10"/>
    <w:next w:val="18"/>
    <w:link w:val="7"/>
    <w:uiPriority w:val="0"/>
  </w:style>
  <w:style w:type="character" w:styleId="19" w:customStyle="1">
    <w:name w:val="見出し 8 (文字)"/>
    <w:basedOn w:val="10"/>
    <w:next w:val="19"/>
    <w:link w:val="8"/>
    <w:uiPriority w:val="0"/>
  </w:style>
  <w:style w:type="character" w:styleId="20" w:customStyle="1">
    <w:name w:val="見出し 9 (文字)"/>
    <w:basedOn w:val="10"/>
    <w:next w:val="20"/>
    <w:link w:val="9"/>
    <w:uiPriority w:val="0"/>
  </w:style>
  <w:style w:type="paragraph" w:styleId="21">
    <w:name w:val="Title"/>
    <w:basedOn w:val="0"/>
    <w:next w:val="0"/>
    <w:link w:val="0"/>
    <w:uiPriority w:val="0"/>
    <w:qFormat/>
    <w:pPr>
      <w:keepNext w:val="1"/>
      <w:keepLines w:val="1"/>
      <w:spacing w:after="60" w:afterLines="0" w:afterAutospacing="0"/>
    </w:pPr>
    <w:rPr>
      <w:sz w:val="52"/>
    </w:rPr>
  </w:style>
  <w:style w:type="paragraph" w:styleId="22">
    <w:name w:val="Subtitle"/>
    <w:basedOn w:val="0"/>
    <w:next w:val="0"/>
    <w:link w:val="0"/>
    <w:uiPriority w:val="0"/>
    <w:qFormat/>
    <w:pPr>
      <w:keepNext w:val="1"/>
      <w:keepLines w:val="1"/>
      <w:spacing w:after="320" w:afterLines="0" w:afterAutospacing="0"/>
    </w:pPr>
    <w:rPr>
      <w:rFonts w:ascii="Arial" w:hAnsi="Arial" w:eastAsia="Arial"/>
      <w:color w:val="666666"/>
      <w:sz w:val="30"/>
    </w:rPr>
  </w:style>
  <w:style w:type="paragraph" w:styleId="23">
    <w:name w:val="annotation text"/>
    <w:basedOn w:val="0"/>
    <w:next w:val="23"/>
    <w:link w:val="24"/>
    <w:uiPriority w:val="0"/>
    <w:semiHidden/>
  </w:style>
  <w:style w:type="character" w:styleId="24" w:customStyle="1">
    <w:name w:val="コメント文字列 (文字)"/>
    <w:basedOn w:val="10"/>
    <w:next w:val="24"/>
    <w:link w:val="23"/>
    <w:uiPriority w:val="0"/>
  </w:style>
  <w:style w:type="character" w:styleId="25">
    <w:name w:val="annotation reference"/>
    <w:basedOn w:val="10"/>
    <w:next w:val="25"/>
    <w:link w:val="0"/>
    <w:uiPriority w:val="0"/>
    <w:semiHidden/>
    <w:rPr>
      <w:sz w:val="18"/>
    </w:rPr>
  </w:style>
  <w:style w:type="paragraph" w:styleId="26">
    <w:name w:val="toc 1"/>
    <w:basedOn w:val="0"/>
    <w:next w:val="0"/>
    <w:link w:val="0"/>
    <w:uiPriority w:val="0"/>
    <w:pPr>
      <w:tabs>
        <w:tab w:val="right" w:leader="dot" w:pos="8662"/>
      </w:tabs>
      <w:spacing w:before="156" w:beforeLines="50" w:beforeAutospacing="0"/>
    </w:pPr>
    <w:rPr>
      <w:sz w:val="24"/>
    </w:rPr>
  </w:style>
  <w:style w:type="paragraph" w:styleId="27">
    <w:name w:val="toc 2"/>
    <w:basedOn w:val="0"/>
    <w:next w:val="0"/>
    <w:link w:val="0"/>
    <w:uiPriority w:val="0"/>
    <w:pPr>
      <w:tabs>
        <w:tab w:val="right" w:leader="dot" w:pos="8662"/>
      </w:tabs>
      <w:ind w:left="160" w:leftChars="100"/>
    </w:pPr>
    <w:rPr>
      <w:sz w:val="22"/>
    </w:rPr>
  </w:style>
  <w:style w:type="paragraph" w:styleId="28">
    <w:name w:val="toc 3"/>
    <w:basedOn w:val="0"/>
    <w:next w:val="0"/>
    <w:link w:val="0"/>
    <w:uiPriority w:val="0"/>
    <w:pPr>
      <w:tabs>
        <w:tab w:val="right" w:leader="dot" w:pos="8662"/>
      </w:tabs>
      <w:ind w:left="320" w:leftChars="200"/>
    </w:pPr>
    <w:rPr>
      <w:sz w:val="20"/>
    </w:rPr>
  </w:style>
  <w:style w:type="character" w:styleId="29">
    <w:name w:val="Hyperlink"/>
    <w:basedOn w:val="10"/>
    <w:next w:val="29"/>
    <w:link w:val="0"/>
    <w:uiPriority w:val="0"/>
    <w:rPr>
      <w:color w:val="0000FF" w:themeColor="hyperlink"/>
      <w:u w:val="single" w:color="auto"/>
    </w:rPr>
  </w:style>
  <w:style w:type="paragraph" w:styleId="30">
    <w:name w:val="List Paragraph"/>
    <w:basedOn w:val="0"/>
    <w:next w:val="30"/>
    <w:link w:val="0"/>
    <w:uiPriority w:val="0"/>
    <w:qFormat/>
    <w:pPr>
      <w:ind w:left="840" w:leftChars="400"/>
    </w:pPr>
  </w:style>
  <w:style w:type="paragraph" w:styleId="31">
    <w:name w:val="Normal (Web)"/>
    <w:basedOn w:val="0"/>
    <w:next w:val="31"/>
    <w:link w:val="0"/>
    <w:uiPriority w:val="0"/>
    <w:pPr>
      <w:spacing w:before="100" w:beforeLines="0" w:beforeAutospacing="1" w:after="100" w:afterLines="0" w:afterAutospacing="1" w:line="240" w:lineRule="auto"/>
    </w:pPr>
    <w:rPr>
      <w:rFonts w:ascii="ＭＳ Ｐゴシック" w:hAnsi="ＭＳ Ｐゴシック" w:eastAsia="ＭＳ Ｐゴシック"/>
      <w:sz w:val="24"/>
    </w:rPr>
  </w:style>
  <w:style w:type="paragraph" w:styleId="32">
    <w:name w:val="header"/>
    <w:basedOn w:val="0"/>
    <w:next w:val="32"/>
    <w:link w:val="33"/>
    <w:uiPriority w:val="0"/>
    <w:pPr>
      <w:tabs>
        <w:tab w:val="center" w:leader="none" w:pos="4252"/>
        <w:tab w:val="right" w:leader="none" w:pos="8504"/>
      </w:tabs>
      <w:snapToGrid w:val="0"/>
    </w:pPr>
  </w:style>
  <w:style w:type="character" w:styleId="33" w:customStyle="1">
    <w:name w:val="ヘッダー (文字)"/>
    <w:basedOn w:val="10"/>
    <w:next w:val="33"/>
    <w:link w:val="32"/>
    <w:uiPriority w:val="0"/>
  </w:style>
  <w:style w:type="paragraph" w:styleId="34">
    <w:name w:val="footer"/>
    <w:basedOn w:val="0"/>
    <w:next w:val="34"/>
    <w:link w:val="35"/>
    <w:uiPriority w:val="0"/>
    <w:pPr>
      <w:tabs>
        <w:tab w:val="center" w:leader="none" w:pos="4252"/>
        <w:tab w:val="right" w:leader="none" w:pos="8504"/>
      </w:tabs>
      <w:snapToGrid w:val="0"/>
    </w:pPr>
  </w:style>
  <w:style w:type="character" w:styleId="35" w:customStyle="1">
    <w:name w:val="フッター (文字)"/>
    <w:basedOn w:val="10"/>
    <w:next w:val="35"/>
    <w:link w:val="34"/>
    <w:uiPriority w:val="0"/>
  </w:style>
  <w:style w:type="paragraph" w:styleId="36">
    <w:name w:val="annotation subject"/>
    <w:basedOn w:val="23"/>
    <w:next w:val="23"/>
    <w:link w:val="37"/>
    <w:uiPriority w:val="0"/>
    <w:semiHidden/>
    <w:rPr>
      <w:b w:val="1"/>
    </w:rPr>
  </w:style>
  <w:style w:type="character" w:styleId="37" w:customStyle="1">
    <w:name w:val="コメント内容 (文字)"/>
    <w:basedOn w:val="24"/>
    <w:next w:val="37"/>
    <w:link w:val="36"/>
    <w:uiPriority w:val="0"/>
    <w:rPr>
      <w:b w:val="1"/>
    </w:rPr>
  </w:style>
  <w:style w:type="paragraph" w:styleId="38">
    <w:name w:val="caption"/>
    <w:basedOn w:val="0"/>
    <w:next w:val="0"/>
    <w:link w:val="0"/>
    <w:uiPriority w:val="0"/>
    <w:semiHidden/>
    <w:qFormat/>
    <w:pPr>
      <w:keepNext w:val="1"/>
    </w:pPr>
    <w:rPr>
      <w:sz w:val="18"/>
    </w:rPr>
  </w:style>
  <w:style w:type="paragraph" w:styleId="39" w:customStyle="1">
    <w:name w:val="本文記載"/>
    <w:basedOn w:val="0"/>
    <w:next w:val="39"/>
    <w:link w:val="0"/>
    <w:uiPriority w:val="0"/>
    <w:qFormat/>
    <w:pPr>
      <w:ind w:left="284" w:firstLine="160" w:firstLineChars="100"/>
    </w:pPr>
    <w:rPr>
      <w:sz w:val="20"/>
    </w:rPr>
  </w:style>
  <w:style w:type="paragraph" w:styleId="40" w:customStyle="1">
    <w:name w:val="出典"/>
    <w:basedOn w:val="0"/>
    <w:next w:val="40"/>
    <w:link w:val="41"/>
    <w:uiPriority w:val="0"/>
    <w:qFormat/>
    <w:pPr>
      <w:jc w:val="right"/>
    </w:pPr>
  </w:style>
  <w:style w:type="character" w:styleId="41" w:customStyle="1">
    <w:name w:val="出典 (文字)"/>
    <w:basedOn w:val="10"/>
    <w:next w:val="41"/>
    <w:link w:val="40"/>
    <w:uiPriority w:val="0"/>
  </w:style>
  <w:style w:type="paragraph" w:styleId="42" w:customStyle="1">
    <w:name w:val="注釈"/>
    <w:basedOn w:val="0"/>
    <w:next w:val="39"/>
    <w:link w:val="43"/>
    <w:uiPriority w:val="0"/>
    <w:qFormat/>
    <w:pPr>
      <w:spacing w:line="240" w:lineRule="auto"/>
      <w:ind w:left="373" w:leftChars="133" w:hanging="160" w:hangingChars="100"/>
    </w:pPr>
  </w:style>
  <w:style w:type="character" w:styleId="43" w:customStyle="1">
    <w:name w:val="注釈 (文字)"/>
    <w:basedOn w:val="10"/>
    <w:next w:val="43"/>
    <w:link w:val="42"/>
    <w:uiPriority w:val="0"/>
    <w:rPr>
      <w:rFonts w:ascii="BIZ UDゴシック" w:hAnsi="BIZ UDゴシック" w:eastAsia="BIZ UDゴシック"/>
      <w:sz w:val="16"/>
    </w:rPr>
  </w:style>
  <w:style w:type="paragraph" w:styleId="44">
    <w:name w:val="Quote"/>
    <w:basedOn w:val="0"/>
    <w:next w:val="0"/>
    <w:link w:val="45"/>
    <w:uiPriority w:val="0"/>
    <w:qFormat/>
    <w:pPr>
      <w:jc w:val="right"/>
    </w:pPr>
  </w:style>
  <w:style w:type="character" w:styleId="45" w:customStyle="1">
    <w:name w:val="引用文 (文字)"/>
    <w:basedOn w:val="10"/>
    <w:next w:val="45"/>
    <w:link w:val="44"/>
    <w:uiPriority w:val="0"/>
    <w:rPr>
      <w:rFonts w:ascii="BIZ UDゴシック" w:hAnsi="BIZ UDゴシック"/>
      <w:sz w:val="16"/>
    </w:rPr>
  </w:style>
  <w:style w:type="paragraph" w:styleId="46">
    <w:name w:val="toc 4"/>
    <w:basedOn w:val="0"/>
    <w:next w:val="0"/>
    <w:link w:val="0"/>
    <w:uiPriority w:val="0"/>
    <w:pPr>
      <w:ind w:left="600" w:leftChars="300"/>
    </w:pPr>
  </w:style>
  <w:style w:type="paragraph" w:styleId="47">
    <w:name w:val="toc 5"/>
    <w:basedOn w:val="0"/>
    <w:next w:val="0"/>
    <w:link w:val="0"/>
    <w:uiPriority w:val="0"/>
    <w:pPr>
      <w:widowControl w:val="0"/>
      <w:spacing w:line="240" w:lineRule="auto"/>
      <w:ind w:left="840" w:leftChars="400"/>
      <w:jc w:val="both"/>
    </w:pPr>
    <w:rPr>
      <w:rFonts w:asciiTheme="minorHAnsi" w:hAnsiTheme="minorHAnsi" w:eastAsiaTheme="minorEastAsia"/>
      <w:kern w:val="2"/>
      <w:sz w:val="21"/>
    </w:rPr>
  </w:style>
  <w:style w:type="paragraph" w:styleId="48">
    <w:name w:val="toc 6"/>
    <w:basedOn w:val="0"/>
    <w:next w:val="0"/>
    <w:link w:val="0"/>
    <w:uiPriority w:val="0"/>
    <w:pPr>
      <w:widowControl w:val="0"/>
      <w:spacing w:line="240" w:lineRule="auto"/>
      <w:ind w:left="1050" w:leftChars="500"/>
      <w:jc w:val="both"/>
    </w:pPr>
    <w:rPr>
      <w:rFonts w:asciiTheme="minorHAnsi" w:hAnsiTheme="minorHAnsi" w:eastAsiaTheme="minorEastAsia"/>
      <w:kern w:val="2"/>
      <w:sz w:val="21"/>
    </w:rPr>
  </w:style>
  <w:style w:type="paragraph" w:styleId="49">
    <w:name w:val="toc 7"/>
    <w:basedOn w:val="0"/>
    <w:next w:val="0"/>
    <w:link w:val="0"/>
    <w:uiPriority w:val="0"/>
    <w:pPr>
      <w:widowControl w:val="0"/>
      <w:spacing w:line="240" w:lineRule="auto"/>
      <w:ind w:left="1260" w:leftChars="600"/>
      <w:jc w:val="both"/>
    </w:pPr>
    <w:rPr>
      <w:rFonts w:asciiTheme="minorHAnsi" w:hAnsiTheme="minorHAnsi" w:eastAsiaTheme="minorEastAsia"/>
      <w:kern w:val="2"/>
      <w:sz w:val="21"/>
    </w:rPr>
  </w:style>
  <w:style w:type="paragraph" w:styleId="50">
    <w:name w:val="toc 8"/>
    <w:basedOn w:val="0"/>
    <w:next w:val="0"/>
    <w:link w:val="0"/>
    <w:uiPriority w:val="0"/>
    <w:pPr>
      <w:widowControl w:val="0"/>
      <w:spacing w:line="240" w:lineRule="auto"/>
      <w:ind w:left="1470" w:leftChars="700"/>
      <w:jc w:val="both"/>
    </w:pPr>
    <w:rPr>
      <w:rFonts w:asciiTheme="minorHAnsi" w:hAnsiTheme="minorHAnsi" w:eastAsiaTheme="minorEastAsia"/>
      <w:kern w:val="2"/>
      <w:sz w:val="21"/>
    </w:rPr>
  </w:style>
  <w:style w:type="paragraph" w:styleId="51">
    <w:name w:val="toc 9"/>
    <w:basedOn w:val="0"/>
    <w:next w:val="0"/>
    <w:link w:val="0"/>
    <w:uiPriority w:val="0"/>
    <w:pPr>
      <w:widowControl w:val="0"/>
      <w:spacing w:line="240" w:lineRule="auto"/>
      <w:ind w:left="1680" w:leftChars="800"/>
      <w:jc w:val="both"/>
    </w:pPr>
    <w:rPr>
      <w:rFonts w:asciiTheme="minorHAnsi" w:hAnsiTheme="minorHAnsi" w:eastAsiaTheme="minorEastAsia"/>
      <w:kern w:val="2"/>
      <w:sz w:val="21"/>
    </w:rPr>
  </w:style>
  <w:style w:type="character" w:styleId="52" w:customStyle="1">
    <w:name w:val="未解決のメンション1"/>
    <w:basedOn w:val="10"/>
    <w:next w:val="52"/>
    <w:link w:val="0"/>
    <w:uiPriority w:val="0"/>
    <w:rPr>
      <w:color w:val="605E5C"/>
      <w:shd w:val="clear" w:color="auto" w:fill="E1DFDD"/>
    </w:rPr>
  </w:style>
  <w:style w:type="paragraph" w:styleId="53">
    <w:name w:val="table of figures"/>
    <w:basedOn w:val="0"/>
    <w:next w:val="0"/>
    <w:link w:val="0"/>
    <w:uiPriority w:val="0"/>
    <w:semiHidden/>
    <w:pPr>
      <w:ind w:left="200" w:leftChars="200" w:hanging="200" w:hangingChars="200"/>
    </w:pPr>
  </w:style>
  <w:style w:type="paragraph" w:styleId="54">
    <w:name w:val="Revision"/>
    <w:next w:val="54"/>
    <w:link w:val="0"/>
    <w:uiPriority w:val="0"/>
    <w:pPr>
      <w:spacing w:line="240" w:lineRule="auto"/>
    </w:pPr>
    <w:rPr/>
  </w:style>
  <w:style w:type="paragraph" w:styleId="55" w:customStyle="1">
    <w:name w:val="健康課題_テキスト"/>
    <w:basedOn w:val="0"/>
    <w:next w:val="55"/>
    <w:link w:val="57"/>
    <w:uiPriority w:val="0"/>
    <w:qFormat/>
    <w:pPr>
      <w:widowControl w:val="0"/>
      <w:ind w:left="105" w:hanging="105" w:hangingChars="75"/>
    </w:pPr>
    <w:rPr>
      <w:sz w:val="14"/>
    </w:rPr>
  </w:style>
  <w:style w:type="paragraph" w:styleId="56">
    <w:name w:val="Closing"/>
    <w:basedOn w:val="0"/>
    <w:next w:val="56"/>
    <w:link w:val="58"/>
    <w:uiPriority w:val="0"/>
    <w:pPr>
      <w:jc w:val="right"/>
    </w:pPr>
    <w:rPr>
      <w:b w:val="1"/>
      <w:sz w:val="12"/>
    </w:rPr>
  </w:style>
  <w:style w:type="character" w:styleId="57" w:customStyle="1">
    <w:name w:val="健康課題_テキスト (文字)"/>
    <w:basedOn w:val="10"/>
    <w:next w:val="57"/>
    <w:link w:val="55"/>
    <w:uiPriority w:val="0"/>
    <w:rPr>
      <w:rFonts w:ascii="BIZ UDゴシック" w:hAnsi="BIZ UDゴシック" w:eastAsia="BIZ UDゴシック"/>
      <w:sz w:val="14"/>
    </w:rPr>
  </w:style>
  <w:style w:type="character" w:styleId="58" w:customStyle="1">
    <w:name w:val="結語 (文字)"/>
    <w:basedOn w:val="10"/>
    <w:next w:val="58"/>
    <w:link w:val="56"/>
    <w:uiPriority w:val="0"/>
    <w:rPr>
      <w:b w:val="1"/>
      <w:sz w:val="12"/>
    </w:rPr>
  </w:style>
  <w:style w:type="paragraph" w:styleId="59" w:customStyle="1">
    <w:name w:val="健康課題_考察"/>
    <w:basedOn w:val="0"/>
    <w:next w:val="59"/>
    <w:link w:val="60"/>
    <w:uiPriority w:val="0"/>
    <w:qFormat/>
    <w:pPr>
      <w:widowControl w:val="0"/>
    </w:pPr>
    <w:rPr>
      <w:sz w:val="14"/>
    </w:rPr>
  </w:style>
  <w:style w:type="character" w:styleId="60" w:customStyle="1">
    <w:name w:val="健康課題_考察 (文字)"/>
    <w:basedOn w:val="10"/>
    <w:next w:val="60"/>
    <w:link w:val="59"/>
    <w:uiPriority w:val="0"/>
    <w:rPr>
      <w:sz w:val="14"/>
    </w:rPr>
  </w:style>
  <w:style w:type="paragraph" w:styleId="61" w:customStyle="1">
    <w:name w:val="paragraph"/>
    <w:basedOn w:val="0"/>
    <w:next w:val="61"/>
    <w:link w:val="0"/>
    <w:uiPriority w:val="0"/>
    <w:pPr>
      <w:spacing w:before="100" w:beforeLines="0" w:beforeAutospacing="1" w:after="100" w:afterLines="0" w:afterAutospacing="1" w:line="240" w:lineRule="auto"/>
    </w:pPr>
    <w:rPr>
      <w:rFonts w:ascii="ＭＳ Ｐゴシック" w:hAnsi="ＭＳ Ｐゴシック" w:eastAsia="ＭＳ Ｐゴシック"/>
      <w:sz w:val="24"/>
    </w:rPr>
  </w:style>
  <w:style w:type="character" w:styleId="62" w:customStyle="1">
    <w:name w:val="normaltextrun"/>
    <w:basedOn w:val="10"/>
    <w:next w:val="62"/>
    <w:link w:val="0"/>
    <w:uiPriority w:val="0"/>
  </w:style>
  <w:style w:type="character" w:styleId="63" w:customStyle="1">
    <w:name w:val="eop"/>
    <w:basedOn w:val="10"/>
    <w:next w:val="63"/>
    <w:link w:val="0"/>
    <w:uiPriority w:val="0"/>
  </w:style>
  <w:style w:type="character" w:styleId="64">
    <w:name w:val="page number"/>
    <w:basedOn w:val="10"/>
    <w:next w:val="64"/>
    <w:link w:val="0"/>
    <w:uiPriority w:val="0"/>
  </w:style>
  <w:style w:type="character" w:styleId="65" w:customStyle="1">
    <w:name w:val="見出し 4 (文字)"/>
    <w:basedOn w:val="10"/>
    <w:next w:val="65"/>
    <w:link w:val="4"/>
    <w:uiPriority w:val="0"/>
    <w:rPr>
      <w:rFonts w:ascii="BIZ UDゴシック" w:hAnsi="BIZ UDゴシック" w:eastAsia="BIZ UDゴシック"/>
      <w:b w:val="1"/>
    </w:rPr>
  </w:style>
  <w:style w:type="paragraph" w:styleId="66" w:customStyle="1">
    <w:name w:val="テーブル内テキスト"/>
    <w:basedOn w:val="0"/>
    <w:next w:val="66"/>
    <w:link w:val="67"/>
    <w:uiPriority w:val="0"/>
    <w:qFormat/>
    <w:pPr>
      <w:widowControl w:val="0"/>
      <w:jc w:val="center"/>
    </w:pPr>
    <w:rPr>
      <w:rFonts w:eastAsia="BIZ UDPゴシック"/>
    </w:rPr>
  </w:style>
  <w:style w:type="character" w:styleId="67" w:customStyle="1">
    <w:name w:val="テーブル内テキスト (文字)"/>
    <w:basedOn w:val="10"/>
    <w:next w:val="67"/>
    <w:link w:val="66"/>
    <w:uiPriority w:val="0"/>
    <w:rPr>
      <w:rFonts w:ascii="BIZ UDゴシック" w:hAnsi="BIZ UDゴシック"/>
      <w:sz w:val="16"/>
    </w:rPr>
  </w:style>
  <w:style w:type="paragraph" w:styleId="68" w:customStyle="1">
    <w:name w:val="概要版_タイトル"/>
    <w:basedOn w:val="0"/>
    <w:next w:val="68"/>
    <w:link w:val="69"/>
    <w:uiPriority w:val="0"/>
    <w:qFormat/>
    <w:pPr>
      <w:spacing w:before="60" w:beforeLines="0" w:beforeAutospacing="0" w:after="60" w:afterLines="0" w:afterAutospacing="0"/>
    </w:pPr>
    <w:rPr>
      <w:b w:val="1"/>
      <w:sz w:val="20"/>
    </w:rPr>
  </w:style>
  <w:style w:type="character" w:styleId="69" w:customStyle="1">
    <w:name w:val="概要版_タイトル (文字)"/>
    <w:basedOn w:val="10"/>
    <w:next w:val="69"/>
    <w:link w:val="68"/>
    <w:uiPriority w:val="0"/>
    <w:rPr>
      <w:rFonts w:ascii="BIZ UDゴシック" w:hAnsi="BIZ UDゴシック" w:eastAsia="BIZ UDゴシック"/>
      <w:b w:val="1"/>
    </w:rPr>
  </w:style>
  <w:style w:type="character" w:styleId="70">
    <w:name w:val="FollowedHyperlink"/>
    <w:basedOn w:val="10"/>
    <w:next w:val="70"/>
    <w:link w:val="0"/>
    <w:uiPriority w:val="0"/>
    <w:rPr>
      <w:color w:val="800080" w:themeColor="followedHyperlink"/>
      <w:u w:val="single" w:color="auto"/>
    </w:rPr>
  </w:style>
  <w:style w:type="character" w:styleId="71" w:customStyle="1">
    <w:name w:val="未解決のメンション11"/>
    <w:basedOn w:val="10"/>
    <w:next w:val="71"/>
    <w:link w:val="0"/>
    <w:uiPriority w:val="0"/>
    <w:rPr>
      <w:color w:val="605E5C"/>
      <w:shd w:val="clear" w:color="auto" w:fill="E1DFDD"/>
    </w:rPr>
  </w:style>
  <w:style w:type="character" w:styleId="72">
    <w:name w:val="footnote reference"/>
    <w:basedOn w:val="10"/>
    <w:next w:val="72"/>
    <w:link w:val="0"/>
    <w:uiPriority w:val="0"/>
    <w:semiHidden/>
    <w:rPr>
      <w:vertAlign w:val="superscript"/>
    </w:rPr>
  </w:style>
  <w:style w:type="character" w:styleId="73">
    <w:name w:val="endnote reference"/>
    <w:basedOn w:val="10"/>
    <w:next w:val="73"/>
    <w:link w:val="0"/>
    <w:uiPriority w:val="0"/>
    <w:semiHidden/>
    <w:rPr>
      <w:vertAlign w:val="superscript"/>
    </w:rPr>
  </w:style>
  <w:style w:type="paragraph" w:styleId="74" w:customStyle="1">
    <w:name w:val="見出し 21"/>
    <w:basedOn w:val="0"/>
    <w:next w:val="74"/>
    <w:link w:val="0"/>
    <w:uiPriority w:val="0"/>
    <w:qFormat/>
    <w:pPr>
      <w:keepNext w:val="1"/>
      <w:keepLines w:val="1"/>
      <w:numPr>
        <w:ilvl w:val="1"/>
        <w:numId w:val="2"/>
      </w:numPr>
      <w:spacing w:before="120" w:beforeLines="0" w:beforeAutospacing="0" w:after="120" w:afterLines="0" w:afterAutospacing="0"/>
      <w:ind w:left="0"/>
      <w:outlineLvl w:val="1"/>
    </w:pPr>
    <w:rPr>
      <w:b w:val="1"/>
      <w:sz w:val="24"/>
    </w:rPr>
  </w:style>
  <w:style w:type="character" w:styleId="75" w:customStyle="1">
    <w:name w:val="未解決のメンション2"/>
    <w:basedOn w:val="10"/>
    <w:next w:val="75"/>
    <w:link w:val="0"/>
    <w:uiPriority w:val="0"/>
    <w:rPr>
      <w:color w:val="605E5C"/>
      <w:shd w:val="clear" w:color="auto" w:fill="E1DFDD"/>
    </w:rPr>
  </w:style>
  <w:style w:type="character" w:styleId="76" w:customStyle="1">
    <w:name w:val="Unresolved Mention"/>
    <w:basedOn w:val="10"/>
    <w:next w:val="76"/>
    <w:link w:val="0"/>
    <w:uiPriority w:val="0"/>
    <w:rPr>
      <w:color w:val="605E5C"/>
      <w:shd w:val="clear" w:color="auto" w:fill="E1DFDD"/>
    </w:rPr>
  </w:style>
  <w:style w:type="table" w:styleId="77" w:customStyle="1">
    <w:name w:val="95"/>
    <w:basedOn w:val="11"/>
    <w:next w:val="77"/>
    <w:link w:val="0"/>
    <w:uiPriority w:val="0"/>
    <w:tblPr>
      <w:tblStyleRowBandSize w:val="1"/>
      <w:tblStyleColBandSize w:val="1"/>
      <w:tblCellMar>
        <w:top w:w="100" w:type="dxa"/>
        <w:bottom w:w="100" w:type="dxa"/>
        <w:left w:w="100" w:type="dxa"/>
        <w:right w:w="100" w:type="dxa"/>
      </w:tblCellMar>
    </w:tblPr>
    <w:trPr/>
    <w:tcPr/>
  </w:style>
  <w:style w:type="table" w:styleId="78" w:customStyle="1">
    <w:name w:val="94"/>
    <w:basedOn w:val="11"/>
    <w:next w:val="78"/>
    <w:link w:val="0"/>
    <w:uiPriority w:val="0"/>
    <w:tblPr>
      <w:tblStyleRowBandSize w:val="1"/>
      <w:tblStyleColBandSize w:val="1"/>
      <w:tblCellMar>
        <w:top w:w="100" w:type="dxa"/>
        <w:bottom w:w="100" w:type="dxa"/>
        <w:left w:w="100" w:type="dxa"/>
        <w:right w:w="100" w:type="dxa"/>
      </w:tblCellMar>
    </w:tblPr>
    <w:trPr/>
    <w:tcPr/>
  </w:style>
  <w:style w:type="table" w:styleId="79" w:customStyle="1">
    <w:name w:val="93"/>
    <w:basedOn w:val="11"/>
    <w:next w:val="79"/>
    <w:link w:val="0"/>
    <w:uiPriority w:val="0"/>
    <w:tblPr>
      <w:tblStyleRowBandSize w:val="1"/>
      <w:tblStyleColBandSize w:val="1"/>
      <w:tblCellMar>
        <w:top w:w="100" w:type="dxa"/>
        <w:bottom w:w="100" w:type="dxa"/>
        <w:left w:w="100" w:type="dxa"/>
        <w:right w:w="100" w:type="dxa"/>
      </w:tblCellMar>
    </w:tblPr>
    <w:trPr/>
    <w:tcPr/>
  </w:style>
  <w:style w:type="table" w:styleId="80" w:customStyle="1">
    <w:name w:val="92"/>
    <w:basedOn w:val="11"/>
    <w:next w:val="80"/>
    <w:link w:val="0"/>
    <w:uiPriority w:val="0"/>
    <w:tblPr>
      <w:tblStyleRowBandSize w:val="1"/>
      <w:tblStyleColBandSize w:val="1"/>
      <w:tblCellMar>
        <w:top w:w="100" w:type="dxa"/>
        <w:bottom w:w="100" w:type="dxa"/>
        <w:left w:w="100" w:type="dxa"/>
        <w:right w:w="100" w:type="dxa"/>
      </w:tblCellMar>
    </w:tblPr>
    <w:trPr/>
    <w:tcPr/>
  </w:style>
  <w:style w:type="table" w:styleId="81" w:customStyle="1">
    <w:name w:val="91"/>
    <w:basedOn w:val="11"/>
    <w:next w:val="81"/>
    <w:link w:val="0"/>
    <w:uiPriority w:val="0"/>
    <w:tblPr>
      <w:tblStyleRowBandSize w:val="1"/>
      <w:tblStyleColBandSize w:val="1"/>
      <w:tblCellMar>
        <w:top w:w="100" w:type="dxa"/>
        <w:bottom w:w="100" w:type="dxa"/>
        <w:left w:w="100" w:type="dxa"/>
        <w:right w:w="100" w:type="dxa"/>
      </w:tblCellMar>
    </w:tblPr>
    <w:trPr/>
    <w:tcPr/>
  </w:style>
  <w:style w:type="table" w:styleId="82" w:customStyle="1">
    <w:name w:val="90"/>
    <w:basedOn w:val="11"/>
    <w:next w:val="82"/>
    <w:link w:val="0"/>
    <w:uiPriority w:val="0"/>
    <w:tblPr>
      <w:tblStyleRowBandSize w:val="1"/>
      <w:tblStyleColBandSize w:val="1"/>
      <w:tblCellMar>
        <w:top w:w="100" w:type="dxa"/>
        <w:bottom w:w="100" w:type="dxa"/>
        <w:left w:w="100" w:type="dxa"/>
        <w:right w:w="100" w:type="dxa"/>
      </w:tblCellMar>
    </w:tblPr>
    <w:trPr/>
    <w:tcPr/>
  </w:style>
  <w:style w:type="table" w:styleId="83" w:customStyle="1">
    <w:name w:val="89"/>
    <w:basedOn w:val="11"/>
    <w:next w:val="83"/>
    <w:link w:val="0"/>
    <w:uiPriority w:val="0"/>
    <w:tblPr>
      <w:tblStyleRowBandSize w:val="1"/>
      <w:tblStyleColBandSize w:val="1"/>
      <w:tblCellMar>
        <w:top w:w="100" w:type="dxa"/>
        <w:bottom w:w="100" w:type="dxa"/>
        <w:left w:w="100" w:type="dxa"/>
        <w:right w:w="100" w:type="dxa"/>
      </w:tblCellMar>
    </w:tblPr>
    <w:trPr/>
    <w:tcPr/>
  </w:style>
  <w:style w:type="table" w:styleId="84" w:customStyle="1">
    <w:name w:val="88"/>
    <w:basedOn w:val="11"/>
    <w:next w:val="84"/>
    <w:link w:val="0"/>
    <w:uiPriority w:val="0"/>
    <w:tblPr>
      <w:tblStyleRowBandSize w:val="1"/>
      <w:tblStyleColBandSize w:val="1"/>
      <w:tblCellMar>
        <w:top w:w="100" w:type="dxa"/>
        <w:bottom w:w="100" w:type="dxa"/>
        <w:left w:w="100" w:type="dxa"/>
        <w:right w:w="100" w:type="dxa"/>
      </w:tblCellMar>
    </w:tblPr>
    <w:trPr/>
    <w:tcPr/>
  </w:style>
  <w:style w:type="table" w:styleId="85" w:customStyle="1">
    <w:name w:val="87"/>
    <w:basedOn w:val="11"/>
    <w:next w:val="85"/>
    <w:link w:val="0"/>
    <w:uiPriority w:val="0"/>
    <w:tblPr>
      <w:tblStyleRowBandSize w:val="1"/>
      <w:tblStyleColBandSize w:val="1"/>
      <w:tblCellMar>
        <w:top w:w="100" w:type="dxa"/>
        <w:bottom w:w="100" w:type="dxa"/>
        <w:left w:w="100" w:type="dxa"/>
        <w:right w:w="100" w:type="dxa"/>
      </w:tblCellMar>
    </w:tblPr>
    <w:trPr/>
    <w:tcPr/>
  </w:style>
  <w:style w:type="table" w:styleId="86" w:customStyle="1">
    <w:name w:val="86"/>
    <w:basedOn w:val="11"/>
    <w:next w:val="86"/>
    <w:link w:val="0"/>
    <w:uiPriority w:val="0"/>
    <w:tblPr>
      <w:tblStyleRowBandSize w:val="1"/>
      <w:tblStyleColBandSize w:val="1"/>
      <w:tblCellMar>
        <w:top w:w="100" w:type="dxa"/>
        <w:bottom w:w="100" w:type="dxa"/>
        <w:left w:w="100" w:type="dxa"/>
        <w:right w:w="100" w:type="dxa"/>
      </w:tblCellMar>
    </w:tblPr>
    <w:trPr/>
    <w:tcPr/>
  </w:style>
  <w:style w:type="table" w:styleId="87" w:customStyle="1">
    <w:name w:val="85"/>
    <w:basedOn w:val="11"/>
    <w:next w:val="87"/>
    <w:link w:val="0"/>
    <w:uiPriority w:val="0"/>
    <w:tblPr>
      <w:tblStyleRowBandSize w:val="1"/>
      <w:tblStyleColBandSize w:val="1"/>
      <w:tblCellMar>
        <w:top w:w="100" w:type="dxa"/>
        <w:bottom w:w="100" w:type="dxa"/>
        <w:left w:w="100" w:type="dxa"/>
        <w:right w:w="100" w:type="dxa"/>
      </w:tblCellMar>
    </w:tblPr>
    <w:trPr/>
    <w:tcPr/>
  </w:style>
  <w:style w:type="table" w:styleId="88" w:customStyle="1">
    <w:name w:val="84"/>
    <w:basedOn w:val="11"/>
    <w:next w:val="88"/>
    <w:link w:val="0"/>
    <w:uiPriority w:val="0"/>
    <w:tblPr>
      <w:tblStyleRowBandSize w:val="1"/>
      <w:tblStyleColBandSize w:val="1"/>
      <w:tblCellMar>
        <w:top w:w="100" w:type="dxa"/>
        <w:bottom w:w="100" w:type="dxa"/>
        <w:left w:w="100" w:type="dxa"/>
        <w:right w:w="100" w:type="dxa"/>
      </w:tblCellMar>
    </w:tblPr>
    <w:trPr/>
    <w:tcPr/>
  </w:style>
  <w:style w:type="table" w:styleId="89" w:customStyle="1">
    <w:name w:val="83"/>
    <w:basedOn w:val="11"/>
    <w:next w:val="89"/>
    <w:link w:val="0"/>
    <w:uiPriority w:val="0"/>
    <w:tblPr>
      <w:tblStyleRowBandSize w:val="1"/>
      <w:tblStyleColBandSize w:val="1"/>
      <w:tblCellMar>
        <w:top w:w="100" w:type="dxa"/>
        <w:bottom w:w="100" w:type="dxa"/>
        <w:left w:w="100" w:type="dxa"/>
        <w:right w:w="100" w:type="dxa"/>
      </w:tblCellMar>
    </w:tblPr>
    <w:trPr/>
    <w:tcPr/>
  </w:style>
  <w:style w:type="table" w:styleId="90" w:customStyle="1">
    <w:name w:val="82"/>
    <w:basedOn w:val="11"/>
    <w:next w:val="90"/>
    <w:link w:val="0"/>
    <w:uiPriority w:val="0"/>
    <w:tblPr>
      <w:tblStyleRowBandSize w:val="1"/>
      <w:tblStyleColBandSize w:val="1"/>
      <w:tblCellMar>
        <w:top w:w="100" w:type="dxa"/>
        <w:bottom w:w="100" w:type="dxa"/>
        <w:left w:w="100" w:type="dxa"/>
        <w:right w:w="100" w:type="dxa"/>
      </w:tblCellMar>
    </w:tblPr>
    <w:trPr/>
    <w:tcPr/>
  </w:style>
  <w:style w:type="table" w:styleId="91" w:customStyle="1">
    <w:name w:val="81"/>
    <w:basedOn w:val="11"/>
    <w:next w:val="91"/>
    <w:link w:val="0"/>
    <w:uiPriority w:val="0"/>
    <w:tblPr>
      <w:tblStyleRowBandSize w:val="1"/>
      <w:tblStyleColBandSize w:val="1"/>
      <w:tblCellMar>
        <w:top w:w="100" w:type="dxa"/>
        <w:bottom w:w="100" w:type="dxa"/>
        <w:left w:w="100" w:type="dxa"/>
        <w:right w:w="100" w:type="dxa"/>
      </w:tblCellMar>
    </w:tblPr>
    <w:trPr/>
    <w:tcPr/>
  </w:style>
  <w:style w:type="table" w:styleId="92" w:customStyle="1">
    <w:name w:val="80"/>
    <w:basedOn w:val="11"/>
    <w:next w:val="92"/>
    <w:link w:val="0"/>
    <w:uiPriority w:val="0"/>
    <w:tblPr>
      <w:tblStyleRowBandSize w:val="1"/>
      <w:tblStyleColBandSize w:val="1"/>
      <w:tblCellMar>
        <w:top w:w="100" w:type="dxa"/>
        <w:bottom w:w="100" w:type="dxa"/>
        <w:left w:w="100" w:type="dxa"/>
        <w:right w:w="100" w:type="dxa"/>
      </w:tblCellMar>
    </w:tblPr>
    <w:trPr/>
    <w:tcPr/>
  </w:style>
  <w:style w:type="table" w:styleId="93" w:customStyle="1">
    <w:name w:val="79"/>
    <w:basedOn w:val="11"/>
    <w:next w:val="93"/>
    <w:link w:val="0"/>
    <w:uiPriority w:val="0"/>
    <w:tblPr>
      <w:tblStyleRowBandSize w:val="1"/>
      <w:tblStyleColBandSize w:val="1"/>
      <w:tblCellMar>
        <w:top w:w="100" w:type="dxa"/>
        <w:bottom w:w="100" w:type="dxa"/>
        <w:left w:w="100" w:type="dxa"/>
        <w:right w:w="100" w:type="dxa"/>
      </w:tblCellMar>
    </w:tblPr>
    <w:trPr/>
    <w:tcPr/>
  </w:style>
  <w:style w:type="table" w:styleId="94" w:customStyle="1">
    <w:name w:val="78"/>
    <w:basedOn w:val="11"/>
    <w:next w:val="94"/>
    <w:link w:val="0"/>
    <w:uiPriority w:val="0"/>
    <w:tblPr>
      <w:tblStyleRowBandSize w:val="1"/>
      <w:tblStyleColBandSize w:val="1"/>
      <w:tblCellMar>
        <w:top w:w="100" w:type="dxa"/>
        <w:bottom w:w="100" w:type="dxa"/>
        <w:left w:w="100" w:type="dxa"/>
        <w:right w:w="100" w:type="dxa"/>
      </w:tblCellMar>
    </w:tblPr>
    <w:trPr/>
    <w:tcPr/>
  </w:style>
  <w:style w:type="table" w:styleId="95" w:customStyle="1">
    <w:name w:val="77"/>
    <w:basedOn w:val="11"/>
    <w:next w:val="95"/>
    <w:link w:val="0"/>
    <w:uiPriority w:val="0"/>
    <w:tblPr>
      <w:tblStyleRowBandSize w:val="1"/>
      <w:tblStyleColBandSize w:val="1"/>
      <w:tblCellMar>
        <w:top w:w="100" w:type="dxa"/>
        <w:bottom w:w="100" w:type="dxa"/>
        <w:left w:w="100" w:type="dxa"/>
        <w:right w:w="100" w:type="dxa"/>
      </w:tblCellMar>
    </w:tblPr>
    <w:trPr/>
    <w:tcPr/>
  </w:style>
  <w:style w:type="table" w:styleId="96" w:customStyle="1">
    <w:name w:val="76"/>
    <w:basedOn w:val="11"/>
    <w:next w:val="96"/>
    <w:link w:val="0"/>
    <w:uiPriority w:val="0"/>
    <w:tblPr>
      <w:tblStyleRowBandSize w:val="1"/>
      <w:tblStyleColBandSize w:val="1"/>
      <w:tblCellMar>
        <w:top w:w="100" w:type="dxa"/>
        <w:bottom w:w="100" w:type="dxa"/>
        <w:left w:w="100" w:type="dxa"/>
        <w:right w:w="100" w:type="dxa"/>
      </w:tblCellMar>
    </w:tblPr>
    <w:trPr/>
    <w:tcPr/>
  </w:style>
  <w:style w:type="table" w:styleId="97" w:customStyle="1">
    <w:name w:val="75"/>
    <w:basedOn w:val="11"/>
    <w:next w:val="97"/>
    <w:link w:val="0"/>
    <w:uiPriority w:val="0"/>
    <w:tblPr>
      <w:tblStyleRowBandSize w:val="1"/>
      <w:tblStyleColBandSize w:val="1"/>
      <w:tblCellMar>
        <w:top w:w="100" w:type="dxa"/>
        <w:bottom w:w="100" w:type="dxa"/>
        <w:left w:w="100" w:type="dxa"/>
        <w:right w:w="100" w:type="dxa"/>
      </w:tblCellMar>
    </w:tblPr>
    <w:trPr/>
    <w:tcPr/>
  </w:style>
  <w:style w:type="table" w:styleId="98" w:customStyle="1">
    <w:name w:val="74"/>
    <w:basedOn w:val="11"/>
    <w:next w:val="98"/>
    <w:link w:val="0"/>
    <w:uiPriority w:val="0"/>
    <w:tblPr>
      <w:tblStyleRowBandSize w:val="1"/>
      <w:tblStyleColBandSize w:val="1"/>
      <w:tblCellMar>
        <w:top w:w="100" w:type="dxa"/>
        <w:bottom w:w="100" w:type="dxa"/>
        <w:left w:w="100" w:type="dxa"/>
        <w:right w:w="100" w:type="dxa"/>
      </w:tblCellMar>
    </w:tblPr>
    <w:trPr/>
    <w:tcPr/>
  </w:style>
  <w:style w:type="table" w:styleId="99" w:customStyle="1">
    <w:name w:val="73"/>
    <w:basedOn w:val="11"/>
    <w:next w:val="99"/>
    <w:link w:val="0"/>
    <w:uiPriority w:val="0"/>
    <w:tblPr>
      <w:tblStyleRowBandSize w:val="1"/>
      <w:tblStyleColBandSize w:val="1"/>
      <w:tblCellMar>
        <w:top w:w="100" w:type="dxa"/>
        <w:bottom w:w="100" w:type="dxa"/>
        <w:left w:w="100" w:type="dxa"/>
        <w:right w:w="100" w:type="dxa"/>
      </w:tblCellMar>
    </w:tblPr>
    <w:trPr/>
    <w:tcPr/>
  </w:style>
  <w:style w:type="table" w:styleId="100" w:customStyle="1">
    <w:name w:val="72"/>
    <w:basedOn w:val="11"/>
    <w:next w:val="100"/>
    <w:link w:val="0"/>
    <w:uiPriority w:val="0"/>
    <w:tblPr>
      <w:tblStyleRowBandSize w:val="1"/>
      <w:tblStyleColBandSize w:val="1"/>
      <w:tblCellMar>
        <w:top w:w="100" w:type="dxa"/>
        <w:bottom w:w="100" w:type="dxa"/>
        <w:left w:w="100" w:type="dxa"/>
        <w:right w:w="100" w:type="dxa"/>
      </w:tblCellMar>
    </w:tblPr>
    <w:trPr/>
    <w:tcPr/>
  </w:style>
  <w:style w:type="table" w:styleId="101" w:customStyle="1">
    <w:name w:val="71"/>
    <w:basedOn w:val="11"/>
    <w:next w:val="101"/>
    <w:link w:val="0"/>
    <w:uiPriority w:val="0"/>
    <w:tblPr>
      <w:tblStyleRowBandSize w:val="1"/>
      <w:tblStyleColBandSize w:val="1"/>
      <w:tblCellMar>
        <w:top w:w="100" w:type="dxa"/>
        <w:bottom w:w="100" w:type="dxa"/>
        <w:left w:w="100" w:type="dxa"/>
        <w:right w:w="100" w:type="dxa"/>
      </w:tblCellMar>
    </w:tblPr>
    <w:trPr/>
    <w:tcPr/>
  </w:style>
  <w:style w:type="table" w:styleId="102" w:customStyle="1">
    <w:name w:val="70"/>
    <w:basedOn w:val="11"/>
    <w:next w:val="102"/>
    <w:link w:val="0"/>
    <w:uiPriority w:val="0"/>
    <w:tblPr>
      <w:tblStyleRowBandSize w:val="1"/>
      <w:tblStyleColBandSize w:val="1"/>
      <w:tblCellMar>
        <w:top w:w="100" w:type="dxa"/>
        <w:bottom w:w="100" w:type="dxa"/>
        <w:left w:w="100" w:type="dxa"/>
        <w:right w:w="100" w:type="dxa"/>
      </w:tblCellMar>
    </w:tblPr>
    <w:trPr/>
    <w:tcPr/>
  </w:style>
  <w:style w:type="table" w:styleId="103" w:customStyle="1">
    <w:name w:val="69"/>
    <w:basedOn w:val="11"/>
    <w:next w:val="103"/>
    <w:link w:val="0"/>
    <w:uiPriority w:val="0"/>
    <w:tblPr>
      <w:tblStyleRowBandSize w:val="1"/>
      <w:tblStyleColBandSize w:val="1"/>
      <w:tblCellMar>
        <w:top w:w="100" w:type="dxa"/>
        <w:bottom w:w="100" w:type="dxa"/>
        <w:left w:w="100" w:type="dxa"/>
        <w:right w:w="100" w:type="dxa"/>
      </w:tblCellMar>
    </w:tblPr>
    <w:trPr/>
    <w:tcPr/>
  </w:style>
  <w:style w:type="table" w:styleId="104" w:customStyle="1">
    <w:name w:val="68"/>
    <w:basedOn w:val="11"/>
    <w:next w:val="104"/>
    <w:link w:val="0"/>
    <w:uiPriority w:val="0"/>
    <w:tblPr>
      <w:tblStyleRowBandSize w:val="1"/>
      <w:tblStyleColBandSize w:val="1"/>
      <w:tblCellMar>
        <w:top w:w="100" w:type="dxa"/>
        <w:bottom w:w="100" w:type="dxa"/>
        <w:left w:w="100" w:type="dxa"/>
        <w:right w:w="100" w:type="dxa"/>
      </w:tblCellMar>
    </w:tblPr>
    <w:trPr/>
    <w:tcPr/>
  </w:style>
  <w:style w:type="table" w:styleId="105" w:customStyle="1">
    <w:name w:val="67"/>
    <w:basedOn w:val="11"/>
    <w:next w:val="105"/>
    <w:link w:val="0"/>
    <w:uiPriority w:val="0"/>
    <w:tblPr>
      <w:tblStyleRowBandSize w:val="1"/>
      <w:tblStyleColBandSize w:val="1"/>
      <w:tblCellMar>
        <w:top w:w="100" w:type="dxa"/>
        <w:bottom w:w="100" w:type="dxa"/>
        <w:left w:w="100" w:type="dxa"/>
        <w:right w:w="100" w:type="dxa"/>
      </w:tblCellMar>
    </w:tblPr>
    <w:trPr/>
    <w:tcPr/>
  </w:style>
  <w:style w:type="table" w:styleId="106" w:customStyle="1">
    <w:name w:val="66"/>
    <w:basedOn w:val="11"/>
    <w:next w:val="106"/>
    <w:link w:val="0"/>
    <w:uiPriority w:val="0"/>
    <w:tblPr>
      <w:tblStyleRowBandSize w:val="1"/>
      <w:tblStyleColBandSize w:val="1"/>
      <w:tblCellMar>
        <w:top w:w="100" w:type="dxa"/>
        <w:bottom w:w="100" w:type="dxa"/>
        <w:left w:w="100" w:type="dxa"/>
        <w:right w:w="100" w:type="dxa"/>
      </w:tblCellMar>
    </w:tblPr>
    <w:trPr/>
    <w:tcPr/>
  </w:style>
  <w:style w:type="table" w:styleId="107" w:customStyle="1">
    <w:name w:val="65"/>
    <w:basedOn w:val="11"/>
    <w:next w:val="107"/>
    <w:link w:val="0"/>
    <w:uiPriority w:val="0"/>
    <w:tblPr>
      <w:tblStyleRowBandSize w:val="1"/>
      <w:tblStyleColBandSize w:val="1"/>
      <w:tblCellMar>
        <w:top w:w="100" w:type="dxa"/>
        <w:bottom w:w="100" w:type="dxa"/>
        <w:left w:w="100" w:type="dxa"/>
        <w:right w:w="100" w:type="dxa"/>
      </w:tblCellMar>
    </w:tblPr>
    <w:trPr/>
    <w:tcPr/>
  </w:style>
  <w:style w:type="table" w:styleId="108" w:customStyle="1">
    <w:name w:val="64"/>
    <w:basedOn w:val="11"/>
    <w:next w:val="108"/>
    <w:link w:val="0"/>
    <w:uiPriority w:val="0"/>
    <w:tblPr>
      <w:tblStyleRowBandSize w:val="1"/>
      <w:tblStyleColBandSize w:val="1"/>
      <w:tblCellMar>
        <w:top w:w="100" w:type="dxa"/>
        <w:bottom w:w="100" w:type="dxa"/>
        <w:left w:w="100" w:type="dxa"/>
        <w:right w:w="100" w:type="dxa"/>
      </w:tblCellMar>
    </w:tblPr>
    <w:trPr/>
    <w:tcPr/>
  </w:style>
  <w:style w:type="table" w:styleId="109" w:customStyle="1">
    <w:name w:val="63"/>
    <w:basedOn w:val="11"/>
    <w:next w:val="109"/>
    <w:link w:val="0"/>
    <w:uiPriority w:val="0"/>
    <w:tblPr>
      <w:tblStyleRowBandSize w:val="1"/>
      <w:tblStyleColBandSize w:val="1"/>
      <w:tblCellMar>
        <w:top w:w="100" w:type="dxa"/>
        <w:bottom w:w="100" w:type="dxa"/>
        <w:left w:w="100" w:type="dxa"/>
        <w:right w:w="100" w:type="dxa"/>
      </w:tblCellMar>
    </w:tblPr>
    <w:trPr/>
    <w:tcPr/>
  </w:style>
  <w:style w:type="table" w:styleId="110" w:customStyle="1">
    <w:name w:val="62"/>
    <w:basedOn w:val="11"/>
    <w:next w:val="110"/>
    <w:link w:val="0"/>
    <w:uiPriority w:val="0"/>
    <w:tblPr>
      <w:tblStyleRowBandSize w:val="1"/>
      <w:tblStyleColBandSize w:val="1"/>
      <w:tblCellMar>
        <w:top w:w="100" w:type="dxa"/>
        <w:bottom w:w="100" w:type="dxa"/>
        <w:left w:w="100" w:type="dxa"/>
        <w:right w:w="100" w:type="dxa"/>
      </w:tblCellMar>
    </w:tblPr>
    <w:trPr/>
    <w:tcPr/>
  </w:style>
  <w:style w:type="table" w:styleId="111" w:customStyle="1">
    <w:name w:val="61"/>
    <w:basedOn w:val="11"/>
    <w:next w:val="111"/>
    <w:link w:val="0"/>
    <w:uiPriority w:val="0"/>
    <w:tblPr>
      <w:tblStyleRowBandSize w:val="1"/>
      <w:tblStyleColBandSize w:val="1"/>
      <w:tblCellMar>
        <w:top w:w="100" w:type="dxa"/>
        <w:bottom w:w="100" w:type="dxa"/>
        <w:left w:w="100" w:type="dxa"/>
        <w:right w:w="100" w:type="dxa"/>
      </w:tblCellMar>
    </w:tblPr>
    <w:trPr/>
    <w:tcPr/>
  </w:style>
  <w:style w:type="table" w:styleId="112" w:customStyle="1">
    <w:name w:val="60"/>
    <w:basedOn w:val="11"/>
    <w:next w:val="112"/>
    <w:link w:val="0"/>
    <w:uiPriority w:val="0"/>
    <w:tblPr>
      <w:tblStyleRowBandSize w:val="1"/>
      <w:tblStyleColBandSize w:val="1"/>
      <w:tblCellMar>
        <w:top w:w="100" w:type="dxa"/>
        <w:bottom w:w="100" w:type="dxa"/>
        <w:left w:w="100" w:type="dxa"/>
        <w:right w:w="100" w:type="dxa"/>
      </w:tblCellMar>
    </w:tblPr>
    <w:trPr/>
    <w:tcPr/>
  </w:style>
  <w:style w:type="table" w:styleId="113" w:customStyle="1">
    <w:name w:val="59"/>
    <w:basedOn w:val="11"/>
    <w:next w:val="113"/>
    <w:link w:val="0"/>
    <w:uiPriority w:val="0"/>
    <w:tblPr>
      <w:tblStyleRowBandSize w:val="1"/>
      <w:tblStyleColBandSize w:val="1"/>
      <w:tblCellMar>
        <w:top w:w="100" w:type="dxa"/>
        <w:bottom w:w="100" w:type="dxa"/>
        <w:left w:w="100" w:type="dxa"/>
        <w:right w:w="100" w:type="dxa"/>
      </w:tblCellMar>
    </w:tblPr>
    <w:trPr/>
    <w:tcPr/>
  </w:style>
  <w:style w:type="table" w:styleId="114" w:customStyle="1">
    <w:name w:val="58"/>
    <w:basedOn w:val="11"/>
    <w:next w:val="114"/>
    <w:link w:val="0"/>
    <w:uiPriority w:val="0"/>
    <w:tblPr>
      <w:tblStyleRowBandSize w:val="1"/>
      <w:tblStyleColBandSize w:val="1"/>
      <w:tblCellMar>
        <w:top w:w="100" w:type="dxa"/>
        <w:bottom w:w="100" w:type="dxa"/>
        <w:left w:w="100" w:type="dxa"/>
        <w:right w:w="100" w:type="dxa"/>
      </w:tblCellMar>
    </w:tblPr>
    <w:trPr/>
    <w:tcPr/>
  </w:style>
  <w:style w:type="table" w:styleId="115" w:customStyle="1">
    <w:name w:val="57"/>
    <w:basedOn w:val="11"/>
    <w:next w:val="115"/>
    <w:link w:val="0"/>
    <w:uiPriority w:val="0"/>
    <w:tblPr>
      <w:tblStyleRowBandSize w:val="1"/>
      <w:tblStyleColBandSize w:val="1"/>
      <w:tblCellMar>
        <w:top w:w="100" w:type="dxa"/>
        <w:bottom w:w="100" w:type="dxa"/>
        <w:left w:w="100" w:type="dxa"/>
        <w:right w:w="100" w:type="dxa"/>
      </w:tblCellMar>
    </w:tblPr>
    <w:trPr/>
    <w:tcPr/>
  </w:style>
  <w:style w:type="table" w:styleId="116" w:customStyle="1">
    <w:name w:val="56"/>
    <w:basedOn w:val="11"/>
    <w:next w:val="116"/>
    <w:link w:val="0"/>
    <w:uiPriority w:val="0"/>
    <w:tblPr>
      <w:tblStyleRowBandSize w:val="1"/>
      <w:tblStyleColBandSize w:val="1"/>
      <w:tblCellMar>
        <w:top w:w="100" w:type="dxa"/>
        <w:bottom w:w="100" w:type="dxa"/>
        <w:left w:w="100" w:type="dxa"/>
        <w:right w:w="100" w:type="dxa"/>
      </w:tblCellMar>
    </w:tblPr>
    <w:trPr/>
    <w:tcPr/>
  </w:style>
  <w:style w:type="table" w:styleId="117" w:customStyle="1">
    <w:name w:val="55"/>
    <w:basedOn w:val="11"/>
    <w:next w:val="117"/>
    <w:link w:val="0"/>
    <w:uiPriority w:val="0"/>
    <w:tblPr>
      <w:tblStyleRowBandSize w:val="1"/>
      <w:tblStyleColBandSize w:val="1"/>
      <w:tblCellMar>
        <w:top w:w="100" w:type="dxa"/>
        <w:bottom w:w="100" w:type="dxa"/>
        <w:left w:w="100" w:type="dxa"/>
        <w:right w:w="100" w:type="dxa"/>
      </w:tblCellMar>
    </w:tblPr>
    <w:trPr/>
    <w:tcPr/>
  </w:style>
  <w:style w:type="table" w:styleId="118" w:customStyle="1">
    <w:name w:val="54"/>
    <w:basedOn w:val="11"/>
    <w:next w:val="118"/>
    <w:link w:val="0"/>
    <w:uiPriority w:val="0"/>
    <w:tblPr>
      <w:tblStyleRowBandSize w:val="1"/>
      <w:tblStyleColBandSize w:val="1"/>
      <w:tblCellMar>
        <w:top w:w="100" w:type="dxa"/>
        <w:bottom w:w="100" w:type="dxa"/>
        <w:left w:w="100" w:type="dxa"/>
        <w:right w:w="100" w:type="dxa"/>
      </w:tblCellMar>
    </w:tblPr>
    <w:trPr/>
    <w:tcPr/>
  </w:style>
  <w:style w:type="table" w:styleId="119" w:customStyle="1">
    <w:name w:val="53"/>
    <w:basedOn w:val="11"/>
    <w:next w:val="119"/>
    <w:link w:val="0"/>
    <w:uiPriority w:val="0"/>
    <w:tblPr>
      <w:tblStyleRowBandSize w:val="1"/>
      <w:tblStyleColBandSize w:val="1"/>
      <w:tblCellMar>
        <w:top w:w="100" w:type="dxa"/>
        <w:bottom w:w="100" w:type="dxa"/>
        <w:left w:w="100" w:type="dxa"/>
        <w:right w:w="100" w:type="dxa"/>
      </w:tblCellMar>
    </w:tblPr>
    <w:trPr/>
    <w:tcPr/>
  </w:style>
  <w:style w:type="table" w:styleId="120" w:customStyle="1">
    <w:name w:val="52"/>
    <w:basedOn w:val="11"/>
    <w:next w:val="120"/>
    <w:link w:val="0"/>
    <w:uiPriority w:val="0"/>
    <w:tblPr>
      <w:tblStyleRowBandSize w:val="1"/>
      <w:tblStyleColBandSize w:val="1"/>
      <w:tblCellMar>
        <w:top w:w="100" w:type="dxa"/>
        <w:bottom w:w="100" w:type="dxa"/>
        <w:left w:w="100" w:type="dxa"/>
        <w:right w:w="100" w:type="dxa"/>
      </w:tblCellMar>
    </w:tblPr>
    <w:trPr/>
    <w:tcPr/>
  </w:style>
  <w:style w:type="table" w:styleId="121" w:customStyle="1">
    <w:name w:val="51"/>
    <w:basedOn w:val="11"/>
    <w:next w:val="121"/>
    <w:link w:val="0"/>
    <w:uiPriority w:val="0"/>
    <w:tblPr>
      <w:tblStyleRowBandSize w:val="1"/>
      <w:tblStyleColBandSize w:val="1"/>
      <w:tblCellMar>
        <w:top w:w="100" w:type="dxa"/>
        <w:bottom w:w="100" w:type="dxa"/>
        <w:left w:w="100" w:type="dxa"/>
        <w:right w:w="100" w:type="dxa"/>
      </w:tblCellMar>
    </w:tblPr>
    <w:trPr/>
    <w:tcPr/>
  </w:style>
  <w:style w:type="table" w:styleId="122" w:customStyle="1">
    <w:name w:val="50"/>
    <w:basedOn w:val="11"/>
    <w:next w:val="122"/>
    <w:link w:val="0"/>
    <w:uiPriority w:val="0"/>
    <w:tblPr>
      <w:tblStyleRowBandSize w:val="1"/>
      <w:tblStyleColBandSize w:val="1"/>
      <w:tblCellMar>
        <w:top w:w="100" w:type="dxa"/>
        <w:bottom w:w="100" w:type="dxa"/>
        <w:left w:w="100" w:type="dxa"/>
        <w:right w:w="100" w:type="dxa"/>
      </w:tblCellMar>
    </w:tblPr>
    <w:trPr/>
    <w:tcPr/>
  </w:style>
  <w:style w:type="table" w:styleId="123" w:customStyle="1">
    <w:name w:val="49"/>
    <w:basedOn w:val="11"/>
    <w:next w:val="123"/>
    <w:link w:val="0"/>
    <w:uiPriority w:val="0"/>
    <w:tblPr>
      <w:tblStyleRowBandSize w:val="1"/>
      <w:tblStyleColBandSize w:val="1"/>
      <w:tblCellMar>
        <w:top w:w="100" w:type="dxa"/>
        <w:bottom w:w="100" w:type="dxa"/>
        <w:left w:w="100" w:type="dxa"/>
        <w:right w:w="100" w:type="dxa"/>
      </w:tblCellMar>
    </w:tblPr>
    <w:trPr/>
    <w:tcPr/>
  </w:style>
  <w:style w:type="table" w:styleId="124" w:customStyle="1">
    <w:name w:val="48"/>
    <w:basedOn w:val="11"/>
    <w:next w:val="124"/>
    <w:link w:val="0"/>
    <w:uiPriority w:val="0"/>
    <w:tblPr>
      <w:tblStyleRowBandSize w:val="1"/>
      <w:tblStyleColBandSize w:val="1"/>
      <w:tblCellMar>
        <w:top w:w="100" w:type="dxa"/>
        <w:bottom w:w="100" w:type="dxa"/>
        <w:left w:w="100" w:type="dxa"/>
        <w:right w:w="100" w:type="dxa"/>
      </w:tblCellMar>
    </w:tblPr>
    <w:trPr/>
    <w:tcPr/>
  </w:style>
  <w:style w:type="table" w:styleId="125" w:customStyle="1">
    <w:name w:val="47"/>
    <w:basedOn w:val="11"/>
    <w:next w:val="125"/>
    <w:link w:val="0"/>
    <w:uiPriority w:val="0"/>
    <w:tblPr>
      <w:tblStyleRowBandSize w:val="1"/>
      <w:tblStyleColBandSize w:val="1"/>
      <w:tblCellMar>
        <w:top w:w="100" w:type="dxa"/>
        <w:bottom w:w="100" w:type="dxa"/>
        <w:left w:w="100" w:type="dxa"/>
        <w:right w:w="100" w:type="dxa"/>
      </w:tblCellMar>
    </w:tblPr>
    <w:trPr/>
    <w:tcPr/>
  </w:style>
  <w:style w:type="table" w:styleId="126" w:customStyle="1">
    <w:name w:val="46"/>
    <w:basedOn w:val="11"/>
    <w:next w:val="126"/>
    <w:link w:val="0"/>
    <w:uiPriority w:val="0"/>
    <w:tblPr>
      <w:tblStyleRowBandSize w:val="1"/>
      <w:tblStyleColBandSize w:val="1"/>
      <w:tblCellMar>
        <w:top w:w="100" w:type="dxa"/>
        <w:bottom w:w="100" w:type="dxa"/>
        <w:left w:w="100" w:type="dxa"/>
        <w:right w:w="100" w:type="dxa"/>
      </w:tblCellMar>
    </w:tblPr>
    <w:trPr/>
    <w:tcPr/>
  </w:style>
  <w:style w:type="table" w:styleId="127" w:customStyle="1">
    <w:name w:val="45"/>
    <w:basedOn w:val="11"/>
    <w:next w:val="127"/>
    <w:link w:val="0"/>
    <w:uiPriority w:val="0"/>
    <w:tblPr>
      <w:tblStyleRowBandSize w:val="1"/>
      <w:tblStyleColBandSize w:val="1"/>
      <w:tblCellMar>
        <w:top w:w="100" w:type="dxa"/>
        <w:bottom w:w="100" w:type="dxa"/>
        <w:left w:w="100" w:type="dxa"/>
        <w:right w:w="100" w:type="dxa"/>
      </w:tblCellMar>
    </w:tblPr>
    <w:trPr/>
    <w:tcPr/>
  </w:style>
  <w:style w:type="table" w:styleId="128" w:customStyle="1">
    <w:name w:val="44"/>
    <w:basedOn w:val="11"/>
    <w:next w:val="128"/>
    <w:link w:val="0"/>
    <w:uiPriority w:val="0"/>
    <w:tblPr>
      <w:tblStyleRowBandSize w:val="1"/>
      <w:tblStyleColBandSize w:val="1"/>
      <w:tblCellMar>
        <w:top w:w="100" w:type="dxa"/>
        <w:bottom w:w="100" w:type="dxa"/>
        <w:left w:w="100" w:type="dxa"/>
        <w:right w:w="100" w:type="dxa"/>
      </w:tblCellMar>
    </w:tblPr>
    <w:trPr/>
    <w:tcPr/>
  </w:style>
  <w:style w:type="table" w:styleId="129" w:customStyle="1">
    <w:name w:val="43"/>
    <w:basedOn w:val="11"/>
    <w:next w:val="129"/>
    <w:link w:val="0"/>
    <w:uiPriority w:val="0"/>
    <w:tblPr>
      <w:tblStyleRowBandSize w:val="1"/>
      <w:tblStyleColBandSize w:val="1"/>
      <w:tblCellMar>
        <w:top w:w="100" w:type="dxa"/>
        <w:bottom w:w="100" w:type="dxa"/>
        <w:left w:w="100" w:type="dxa"/>
        <w:right w:w="100" w:type="dxa"/>
      </w:tblCellMar>
    </w:tblPr>
    <w:trPr/>
    <w:tcPr/>
  </w:style>
  <w:style w:type="table" w:styleId="130" w:customStyle="1">
    <w:name w:val="42"/>
    <w:basedOn w:val="11"/>
    <w:next w:val="130"/>
    <w:link w:val="0"/>
    <w:uiPriority w:val="0"/>
    <w:tblPr>
      <w:tblStyleRowBandSize w:val="1"/>
      <w:tblStyleColBandSize w:val="1"/>
      <w:tblCellMar>
        <w:top w:w="100" w:type="dxa"/>
        <w:bottom w:w="100" w:type="dxa"/>
        <w:left w:w="100" w:type="dxa"/>
        <w:right w:w="100" w:type="dxa"/>
      </w:tblCellMar>
    </w:tblPr>
    <w:trPr/>
    <w:tcPr/>
  </w:style>
  <w:style w:type="table" w:styleId="131" w:customStyle="1">
    <w:name w:val="41"/>
    <w:basedOn w:val="11"/>
    <w:next w:val="131"/>
    <w:link w:val="0"/>
    <w:uiPriority w:val="0"/>
    <w:tblPr>
      <w:tblStyleRowBandSize w:val="1"/>
      <w:tblStyleColBandSize w:val="1"/>
      <w:tblCellMar>
        <w:top w:w="100" w:type="dxa"/>
        <w:bottom w:w="100" w:type="dxa"/>
        <w:left w:w="100" w:type="dxa"/>
        <w:right w:w="100" w:type="dxa"/>
      </w:tblCellMar>
    </w:tblPr>
    <w:trPr/>
    <w:tcPr/>
  </w:style>
  <w:style w:type="table" w:styleId="132" w:customStyle="1">
    <w:name w:val="40"/>
    <w:basedOn w:val="11"/>
    <w:next w:val="132"/>
    <w:link w:val="0"/>
    <w:uiPriority w:val="0"/>
    <w:tblPr>
      <w:tblStyleRowBandSize w:val="1"/>
      <w:tblStyleColBandSize w:val="1"/>
      <w:tblCellMar>
        <w:top w:w="100" w:type="dxa"/>
        <w:bottom w:w="100" w:type="dxa"/>
        <w:left w:w="100" w:type="dxa"/>
        <w:right w:w="100" w:type="dxa"/>
      </w:tblCellMar>
    </w:tblPr>
    <w:trPr/>
    <w:tcPr/>
  </w:style>
  <w:style w:type="table" w:styleId="133" w:customStyle="1">
    <w:name w:val="39"/>
    <w:basedOn w:val="11"/>
    <w:next w:val="133"/>
    <w:link w:val="0"/>
    <w:uiPriority w:val="0"/>
    <w:tblPr>
      <w:tblStyleRowBandSize w:val="1"/>
      <w:tblStyleColBandSize w:val="1"/>
      <w:tblCellMar>
        <w:top w:w="100" w:type="dxa"/>
        <w:bottom w:w="100" w:type="dxa"/>
        <w:left w:w="100" w:type="dxa"/>
        <w:right w:w="100" w:type="dxa"/>
      </w:tblCellMar>
    </w:tblPr>
    <w:trPr/>
    <w:tcPr/>
  </w:style>
  <w:style w:type="table" w:styleId="134" w:customStyle="1">
    <w:name w:val="38"/>
    <w:basedOn w:val="11"/>
    <w:next w:val="134"/>
    <w:link w:val="0"/>
    <w:uiPriority w:val="0"/>
    <w:tblPr>
      <w:tblStyleRowBandSize w:val="1"/>
      <w:tblStyleColBandSize w:val="1"/>
      <w:tblCellMar>
        <w:top w:w="100" w:type="dxa"/>
        <w:bottom w:w="100" w:type="dxa"/>
        <w:left w:w="100" w:type="dxa"/>
        <w:right w:w="100" w:type="dxa"/>
      </w:tblCellMar>
    </w:tblPr>
    <w:trPr/>
    <w:tcPr/>
  </w:style>
  <w:style w:type="table" w:styleId="135" w:customStyle="1">
    <w:name w:val="37"/>
    <w:basedOn w:val="11"/>
    <w:next w:val="135"/>
    <w:link w:val="0"/>
    <w:uiPriority w:val="0"/>
    <w:tblPr>
      <w:tblStyleRowBandSize w:val="1"/>
      <w:tblStyleColBandSize w:val="1"/>
      <w:tblCellMar>
        <w:top w:w="100" w:type="dxa"/>
        <w:bottom w:w="100" w:type="dxa"/>
        <w:left w:w="100" w:type="dxa"/>
        <w:right w:w="100" w:type="dxa"/>
      </w:tblCellMar>
    </w:tblPr>
    <w:trPr/>
    <w:tcPr/>
  </w:style>
  <w:style w:type="table" w:styleId="136" w:customStyle="1">
    <w:name w:val="36"/>
    <w:basedOn w:val="11"/>
    <w:next w:val="136"/>
    <w:link w:val="0"/>
    <w:uiPriority w:val="0"/>
    <w:tblPr>
      <w:tblStyleRowBandSize w:val="1"/>
      <w:tblStyleColBandSize w:val="1"/>
      <w:tblCellMar>
        <w:top w:w="100" w:type="dxa"/>
        <w:bottom w:w="100" w:type="dxa"/>
        <w:left w:w="100" w:type="dxa"/>
        <w:right w:w="100" w:type="dxa"/>
      </w:tblCellMar>
    </w:tblPr>
    <w:trPr/>
    <w:tcPr/>
  </w:style>
  <w:style w:type="table" w:styleId="137" w:customStyle="1">
    <w:name w:val="35"/>
    <w:basedOn w:val="11"/>
    <w:next w:val="137"/>
    <w:link w:val="0"/>
    <w:uiPriority w:val="0"/>
    <w:tblPr>
      <w:tblStyleRowBandSize w:val="1"/>
      <w:tblStyleColBandSize w:val="1"/>
      <w:tblCellMar>
        <w:top w:w="100" w:type="dxa"/>
        <w:bottom w:w="100" w:type="dxa"/>
        <w:left w:w="100" w:type="dxa"/>
        <w:right w:w="100" w:type="dxa"/>
      </w:tblCellMar>
    </w:tblPr>
    <w:trPr/>
    <w:tcPr/>
  </w:style>
  <w:style w:type="table" w:styleId="138" w:customStyle="1">
    <w:name w:val="34"/>
    <w:basedOn w:val="11"/>
    <w:next w:val="138"/>
    <w:link w:val="0"/>
    <w:uiPriority w:val="0"/>
    <w:tblPr>
      <w:tblStyleRowBandSize w:val="1"/>
      <w:tblStyleColBandSize w:val="1"/>
      <w:tblCellMar>
        <w:top w:w="100" w:type="dxa"/>
        <w:bottom w:w="100" w:type="dxa"/>
        <w:left w:w="100" w:type="dxa"/>
        <w:right w:w="100" w:type="dxa"/>
      </w:tblCellMar>
    </w:tblPr>
    <w:trPr/>
    <w:tcPr/>
  </w:style>
  <w:style w:type="table" w:styleId="139" w:customStyle="1">
    <w:name w:val="33"/>
    <w:basedOn w:val="11"/>
    <w:next w:val="139"/>
    <w:link w:val="0"/>
    <w:uiPriority w:val="0"/>
    <w:tblPr>
      <w:tblStyleRowBandSize w:val="1"/>
      <w:tblStyleColBandSize w:val="1"/>
      <w:tblCellMar>
        <w:top w:w="100" w:type="dxa"/>
        <w:bottom w:w="100" w:type="dxa"/>
        <w:left w:w="100" w:type="dxa"/>
        <w:right w:w="100" w:type="dxa"/>
      </w:tblCellMar>
    </w:tblPr>
    <w:trPr/>
    <w:tcPr/>
  </w:style>
  <w:style w:type="table" w:styleId="140" w:customStyle="1">
    <w:name w:val="32"/>
    <w:basedOn w:val="11"/>
    <w:next w:val="140"/>
    <w:link w:val="0"/>
    <w:uiPriority w:val="0"/>
    <w:tblPr>
      <w:tblStyleRowBandSize w:val="1"/>
      <w:tblStyleColBandSize w:val="1"/>
      <w:tblCellMar>
        <w:top w:w="100" w:type="dxa"/>
        <w:bottom w:w="100" w:type="dxa"/>
        <w:left w:w="100" w:type="dxa"/>
        <w:right w:w="100" w:type="dxa"/>
      </w:tblCellMar>
    </w:tblPr>
    <w:trPr/>
    <w:tcPr/>
  </w:style>
  <w:style w:type="table" w:styleId="141" w:customStyle="1">
    <w:name w:val="31"/>
    <w:basedOn w:val="11"/>
    <w:next w:val="141"/>
    <w:link w:val="0"/>
    <w:uiPriority w:val="0"/>
    <w:tblPr>
      <w:tblStyleRowBandSize w:val="1"/>
      <w:tblStyleColBandSize w:val="1"/>
      <w:tblCellMar>
        <w:top w:w="100" w:type="dxa"/>
        <w:bottom w:w="100" w:type="dxa"/>
        <w:left w:w="100" w:type="dxa"/>
        <w:right w:w="100" w:type="dxa"/>
      </w:tblCellMar>
    </w:tblPr>
    <w:trPr/>
    <w:tcPr/>
  </w:style>
  <w:style w:type="table" w:styleId="142" w:customStyle="1">
    <w:name w:val="30"/>
    <w:basedOn w:val="11"/>
    <w:next w:val="142"/>
    <w:link w:val="0"/>
    <w:uiPriority w:val="0"/>
    <w:tblPr>
      <w:tblStyleRowBandSize w:val="1"/>
      <w:tblStyleColBandSize w:val="1"/>
      <w:tblCellMar>
        <w:top w:w="100" w:type="dxa"/>
        <w:bottom w:w="100" w:type="dxa"/>
        <w:left w:w="100" w:type="dxa"/>
        <w:right w:w="100" w:type="dxa"/>
      </w:tblCellMar>
    </w:tblPr>
    <w:trPr/>
    <w:tcPr/>
  </w:style>
  <w:style w:type="table" w:styleId="143" w:customStyle="1">
    <w:name w:val="29"/>
    <w:basedOn w:val="11"/>
    <w:next w:val="143"/>
    <w:link w:val="0"/>
    <w:uiPriority w:val="0"/>
    <w:tblPr>
      <w:tblStyleRowBandSize w:val="1"/>
      <w:tblStyleColBandSize w:val="1"/>
      <w:tblCellMar>
        <w:top w:w="100" w:type="dxa"/>
        <w:bottom w:w="100" w:type="dxa"/>
        <w:left w:w="100" w:type="dxa"/>
        <w:right w:w="100" w:type="dxa"/>
      </w:tblCellMar>
    </w:tblPr>
    <w:trPr/>
    <w:tcPr/>
  </w:style>
  <w:style w:type="table" w:styleId="144" w:customStyle="1">
    <w:name w:val="28"/>
    <w:basedOn w:val="11"/>
    <w:next w:val="144"/>
    <w:link w:val="0"/>
    <w:uiPriority w:val="0"/>
    <w:tblPr>
      <w:tblStyleRowBandSize w:val="1"/>
      <w:tblStyleColBandSize w:val="1"/>
      <w:tblCellMar>
        <w:top w:w="100" w:type="dxa"/>
        <w:bottom w:w="100" w:type="dxa"/>
        <w:left w:w="100" w:type="dxa"/>
        <w:right w:w="100" w:type="dxa"/>
      </w:tblCellMar>
    </w:tblPr>
    <w:trPr/>
    <w:tcPr/>
  </w:style>
  <w:style w:type="table" w:styleId="145" w:customStyle="1">
    <w:name w:val="27"/>
    <w:basedOn w:val="11"/>
    <w:next w:val="145"/>
    <w:link w:val="0"/>
    <w:uiPriority w:val="0"/>
    <w:tblPr>
      <w:tblStyleRowBandSize w:val="1"/>
      <w:tblStyleColBandSize w:val="1"/>
      <w:tblCellMar>
        <w:top w:w="100" w:type="dxa"/>
        <w:bottom w:w="100" w:type="dxa"/>
        <w:left w:w="100" w:type="dxa"/>
        <w:right w:w="100" w:type="dxa"/>
      </w:tblCellMar>
    </w:tblPr>
    <w:trPr/>
    <w:tcPr/>
  </w:style>
  <w:style w:type="table" w:styleId="146" w:customStyle="1">
    <w:name w:val="26"/>
    <w:basedOn w:val="11"/>
    <w:next w:val="146"/>
    <w:link w:val="0"/>
    <w:uiPriority w:val="0"/>
    <w:tblPr>
      <w:tblStyleRowBandSize w:val="1"/>
      <w:tblStyleColBandSize w:val="1"/>
      <w:tblCellMar>
        <w:top w:w="100" w:type="dxa"/>
        <w:bottom w:w="100" w:type="dxa"/>
        <w:left w:w="100" w:type="dxa"/>
        <w:right w:w="100" w:type="dxa"/>
      </w:tblCellMar>
    </w:tblPr>
    <w:trPr/>
    <w:tcPr/>
  </w:style>
  <w:style w:type="table" w:styleId="147" w:customStyle="1">
    <w:name w:val="25"/>
    <w:basedOn w:val="11"/>
    <w:next w:val="147"/>
    <w:link w:val="0"/>
    <w:uiPriority w:val="0"/>
    <w:tblPr>
      <w:tblStyleRowBandSize w:val="1"/>
      <w:tblStyleColBandSize w:val="1"/>
      <w:tblCellMar>
        <w:top w:w="100" w:type="dxa"/>
        <w:bottom w:w="100" w:type="dxa"/>
        <w:left w:w="100" w:type="dxa"/>
        <w:right w:w="100" w:type="dxa"/>
      </w:tblCellMar>
    </w:tblPr>
    <w:trPr/>
    <w:tcPr/>
  </w:style>
  <w:style w:type="table" w:styleId="148" w:customStyle="1">
    <w:name w:val="24"/>
    <w:basedOn w:val="11"/>
    <w:next w:val="148"/>
    <w:link w:val="0"/>
    <w:uiPriority w:val="0"/>
    <w:tblPr>
      <w:tblStyleRowBandSize w:val="1"/>
      <w:tblStyleColBandSize w:val="1"/>
      <w:tblCellMar>
        <w:top w:w="100" w:type="dxa"/>
        <w:bottom w:w="100" w:type="dxa"/>
        <w:left w:w="100" w:type="dxa"/>
        <w:right w:w="100" w:type="dxa"/>
      </w:tblCellMar>
    </w:tblPr>
    <w:trPr/>
    <w:tcPr/>
  </w:style>
  <w:style w:type="table" w:styleId="149" w:customStyle="1">
    <w:name w:val="23"/>
    <w:basedOn w:val="11"/>
    <w:next w:val="149"/>
    <w:link w:val="0"/>
    <w:uiPriority w:val="0"/>
    <w:tblPr>
      <w:tblStyleRowBandSize w:val="1"/>
      <w:tblStyleColBandSize w:val="1"/>
      <w:tblCellMar>
        <w:top w:w="100" w:type="dxa"/>
        <w:bottom w:w="100" w:type="dxa"/>
        <w:left w:w="100" w:type="dxa"/>
        <w:right w:w="100" w:type="dxa"/>
      </w:tblCellMar>
    </w:tblPr>
    <w:trPr/>
    <w:tcPr/>
  </w:style>
  <w:style w:type="table" w:styleId="150" w:customStyle="1">
    <w:name w:val="22"/>
    <w:basedOn w:val="11"/>
    <w:next w:val="150"/>
    <w:link w:val="0"/>
    <w:uiPriority w:val="0"/>
    <w:tblPr>
      <w:tblStyleRowBandSize w:val="1"/>
      <w:tblStyleColBandSize w:val="1"/>
      <w:tblCellMar>
        <w:top w:w="100" w:type="dxa"/>
        <w:bottom w:w="100" w:type="dxa"/>
        <w:left w:w="100" w:type="dxa"/>
        <w:right w:w="100" w:type="dxa"/>
      </w:tblCellMar>
    </w:tblPr>
    <w:trPr/>
    <w:tcPr/>
  </w:style>
  <w:style w:type="table" w:styleId="151" w:customStyle="1">
    <w:name w:val="21"/>
    <w:basedOn w:val="11"/>
    <w:next w:val="151"/>
    <w:link w:val="0"/>
    <w:uiPriority w:val="0"/>
    <w:tblPr>
      <w:tblStyleRowBandSize w:val="1"/>
      <w:tblStyleColBandSize w:val="1"/>
      <w:tblCellMar>
        <w:top w:w="100" w:type="dxa"/>
        <w:bottom w:w="100" w:type="dxa"/>
        <w:left w:w="100" w:type="dxa"/>
        <w:right w:w="100" w:type="dxa"/>
      </w:tblCellMar>
    </w:tblPr>
    <w:trPr/>
    <w:tcPr/>
  </w:style>
  <w:style w:type="table" w:styleId="152" w:customStyle="1">
    <w:name w:val="20"/>
    <w:basedOn w:val="11"/>
    <w:next w:val="152"/>
    <w:link w:val="0"/>
    <w:uiPriority w:val="0"/>
    <w:tblPr>
      <w:tblStyleRowBandSize w:val="1"/>
      <w:tblStyleColBandSize w:val="1"/>
      <w:tblCellMar>
        <w:top w:w="100" w:type="dxa"/>
        <w:bottom w:w="100" w:type="dxa"/>
        <w:left w:w="100" w:type="dxa"/>
        <w:right w:w="100" w:type="dxa"/>
      </w:tblCellMar>
    </w:tblPr>
    <w:trPr/>
    <w:tcPr/>
  </w:style>
  <w:style w:type="table" w:styleId="153" w:customStyle="1">
    <w:name w:val="19"/>
    <w:basedOn w:val="11"/>
    <w:next w:val="153"/>
    <w:link w:val="0"/>
    <w:uiPriority w:val="0"/>
    <w:tblPr>
      <w:tblStyleRowBandSize w:val="1"/>
      <w:tblStyleColBandSize w:val="1"/>
      <w:tblCellMar>
        <w:top w:w="100" w:type="dxa"/>
        <w:bottom w:w="100" w:type="dxa"/>
        <w:left w:w="100" w:type="dxa"/>
        <w:right w:w="100" w:type="dxa"/>
      </w:tblCellMar>
    </w:tblPr>
    <w:trPr/>
    <w:tcPr/>
  </w:style>
  <w:style w:type="table" w:styleId="154" w:customStyle="1">
    <w:name w:val="18"/>
    <w:basedOn w:val="11"/>
    <w:next w:val="154"/>
    <w:link w:val="0"/>
    <w:uiPriority w:val="0"/>
    <w:tblPr>
      <w:tblStyleRowBandSize w:val="1"/>
      <w:tblStyleColBandSize w:val="1"/>
      <w:tblCellMar>
        <w:top w:w="100" w:type="dxa"/>
        <w:bottom w:w="100" w:type="dxa"/>
        <w:left w:w="100" w:type="dxa"/>
        <w:right w:w="100" w:type="dxa"/>
      </w:tblCellMar>
    </w:tblPr>
    <w:trPr/>
    <w:tcPr/>
  </w:style>
  <w:style w:type="table" w:styleId="155" w:customStyle="1">
    <w:name w:val="17"/>
    <w:basedOn w:val="11"/>
    <w:next w:val="155"/>
    <w:link w:val="0"/>
    <w:uiPriority w:val="0"/>
    <w:tblPr>
      <w:tblStyleRowBandSize w:val="1"/>
      <w:tblStyleColBandSize w:val="1"/>
      <w:tblCellMar>
        <w:top w:w="100" w:type="dxa"/>
        <w:bottom w:w="100" w:type="dxa"/>
        <w:left w:w="100" w:type="dxa"/>
        <w:right w:w="100" w:type="dxa"/>
      </w:tblCellMar>
    </w:tblPr>
    <w:trPr/>
    <w:tcPr/>
  </w:style>
  <w:style w:type="table" w:styleId="156" w:customStyle="1">
    <w:name w:val="16"/>
    <w:basedOn w:val="11"/>
    <w:next w:val="156"/>
    <w:link w:val="0"/>
    <w:uiPriority w:val="0"/>
    <w:tblPr>
      <w:tblStyleRowBandSize w:val="1"/>
      <w:tblStyleColBandSize w:val="1"/>
      <w:tblCellMar>
        <w:top w:w="100" w:type="dxa"/>
        <w:bottom w:w="100" w:type="dxa"/>
        <w:left w:w="100" w:type="dxa"/>
        <w:right w:w="100" w:type="dxa"/>
      </w:tblCellMar>
    </w:tblPr>
    <w:trPr/>
    <w:tcPr/>
  </w:style>
  <w:style w:type="table" w:styleId="157" w:customStyle="1">
    <w:name w:val="15"/>
    <w:basedOn w:val="11"/>
    <w:next w:val="157"/>
    <w:link w:val="0"/>
    <w:uiPriority w:val="0"/>
    <w:tblPr>
      <w:tblStyleRowBandSize w:val="1"/>
      <w:tblStyleColBandSize w:val="1"/>
      <w:tblCellMar>
        <w:top w:w="100" w:type="dxa"/>
        <w:bottom w:w="100" w:type="dxa"/>
        <w:left w:w="100" w:type="dxa"/>
        <w:right w:w="100" w:type="dxa"/>
      </w:tblCellMar>
    </w:tblPr>
    <w:trPr/>
    <w:tcPr/>
  </w:style>
  <w:style w:type="table" w:styleId="158" w:customStyle="1">
    <w:name w:val="14"/>
    <w:basedOn w:val="11"/>
    <w:next w:val="158"/>
    <w:link w:val="0"/>
    <w:uiPriority w:val="0"/>
    <w:tblPr>
      <w:tblStyleRowBandSize w:val="1"/>
      <w:tblStyleColBandSize w:val="1"/>
      <w:tblCellMar>
        <w:top w:w="100" w:type="dxa"/>
        <w:bottom w:w="100" w:type="dxa"/>
        <w:left w:w="100" w:type="dxa"/>
        <w:right w:w="100" w:type="dxa"/>
      </w:tblCellMar>
    </w:tblPr>
    <w:trPr/>
    <w:tcPr/>
  </w:style>
  <w:style w:type="table" w:styleId="159" w:customStyle="1">
    <w:name w:val="13"/>
    <w:basedOn w:val="11"/>
    <w:next w:val="159"/>
    <w:link w:val="0"/>
    <w:uiPriority w:val="0"/>
    <w:tblPr>
      <w:tblStyleRowBandSize w:val="1"/>
      <w:tblStyleColBandSize w:val="1"/>
      <w:tblCellMar>
        <w:top w:w="100" w:type="dxa"/>
        <w:bottom w:w="100" w:type="dxa"/>
        <w:left w:w="100" w:type="dxa"/>
        <w:right w:w="100" w:type="dxa"/>
      </w:tblCellMar>
    </w:tblPr>
    <w:trPr/>
    <w:tcPr/>
  </w:style>
  <w:style w:type="table" w:styleId="160" w:customStyle="1">
    <w:name w:val="12"/>
    <w:basedOn w:val="11"/>
    <w:next w:val="160"/>
    <w:link w:val="0"/>
    <w:uiPriority w:val="0"/>
    <w:tblPr>
      <w:tblStyleRowBandSize w:val="1"/>
      <w:tblStyleColBandSize w:val="1"/>
      <w:tblCellMar>
        <w:top w:w="100" w:type="dxa"/>
        <w:bottom w:w="100" w:type="dxa"/>
        <w:left w:w="100" w:type="dxa"/>
        <w:right w:w="100" w:type="dxa"/>
      </w:tblCellMar>
    </w:tblPr>
    <w:trPr/>
    <w:tcPr/>
  </w:style>
  <w:style w:type="table" w:styleId="161" w:customStyle="1">
    <w:name w:val="11"/>
    <w:basedOn w:val="11"/>
    <w:next w:val="161"/>
    <w:link w:val="0"/>
    <w:uiPriority w:val="0"/>
    <w:tblPr>
      <w:tblStyleRowBandSize w:val="1"/>
      <w:tblStyleColBandSize w:val="1"/>
      <w:tblCellMar>
        <w:top w:w="100" w:type="dxa"/>
        <w:bottom w:w="100" w:type="dxa"/>
        <w:left w:w="100" w:type="dxa"/>
        <w:right w:w="100" w:type="dxa"/>
      </w:tblCellMar>
    </w:tblPr>
    <w:trPr/>
    <w:tcPr/>
  </w:style>
  <w:style w:type="table" w:styleId="162" w:customStyle="1">
    <w:name w:val="10"/>
    <w:basedOn w:val="11"/>
    <w:next w:val="162"/>
    <w:link w:val="0"/>
    <w:uiPriority w:val="0"/>
    <w:tblPr>
      <w:tblStyleRowBandSize w:val="1"/>
      <w:tblStyleColBandSize w:val="1"/>
      <w:tblCellMar>
        <w:top w:w="100" w:type="dxa"/>
        <w:bottom w:w="100" w:type="dxa"/>
        <w:left w:w="100" w:type="dxa"/>
        <w:right w:w="100" w:type="dxa"/>
      </w:tblCellMar>
    </w:tblPr>
    <w:trPr/>
    <w:tcPr/>
  </w:style>
  <w:style w:type="table" w:styleId="163" w:customStyle="1">
    <w:name w:val="9"/>
    <w:basedOn w:val="11"/>
    <w:next w:val="163"/>
    <w:link w:val="0"/>
    <w:uiPriority w:val="0"/>
    <w:tblPr>
      <w:tblStyleRowBandSize w:val="1"/>
      <w:tblStyleColBandSize w:val="1"/>
      <w:tblCellMar>
        <w:top w:w="100" w:type="dxa"/>
        <w:bottom w:w="100" w:type="dxa"/>
        <w:left w:w="100" w:type="dxa"/>
        <w:right w:w="100" w:type="dxa"/>
      </w:tblCellMar>
    </w:tblPr>
    <w:trPr/>
    <w:tcPr/>
  </w:style>
  <w:style w:type="table" w:styleId="164" w:customStyle="1">
    <w:name w:val="8"/>
    <w:basedOn w:val="11"/>
    <w:next w:val="164"/>
    <w:link w:val="0"/>
    <w:uiPriority w:val="0"/>
    <w:tblPr>
      <w:tblStyleRowBandSize w:val="1"/>
      <w:tblStyleColBandSize w:val="1"/>
      <w:tblCellMar>
        <w:top w:w="100" w:type="dxa"/>
        <w:bottom w:w="100" w:type="dxa"/>
        <w:left w:w="100" w:type="dxa"/>
        <w:right w:w="100" w:type="dxa"/>
      </w:tblCellMar>
    </w:tblPr>
    <w:trPr/>
    <w:tcPr/>
  </w:style>
  <w:style w:type="table" w:styleId="165" w:customStyle="1">
    <w:name w:val="7"/>
    <w:basedOn w:val="11"/>
    <w:next w:val="165"/>
    <w:link w:val="0"/>
    <w:uiPriority w:val="0"/>
    <w:tblPr>
      <w:tblStyleRowBandSize w:val="1"/>
      <w:tblStyleColBandSize w:val="1"/>
      <w:tblCellMar>
        <w:top w:w="100" w:type="dxa"/>
        <w:bottom w:w="100" w:type="dxa"/>
        <w:left w:w="100" w:type="dxa"/>
        <w:right w:w="100" w:type="dxa"/>
      </w:tblCellMar>
    </w:tblPr>
    <w:trPr/>
    <w:tcPr/>
  </w:style>
  <w:style w:type="table" w:styleId="166" w:customStyle="1">
    <w:name w:val="6"/>
    <w:basedOn w:val="11"/>
    <w:next w:val="166"/>
    <w:link w:val="0"/>
    <w:uiPriority w:val="0"/>
    <w:tblPr>
      <w:tblStyleRowBandSize w:val="1"/>
      <w:tblStyleColBandSize w:val="1"/>
      <w:tblCellMar>
        <w:top w:w="100" w:type="dxa"/>
        <w:bottom w:w="100" w:type="dxa"/>
        <w:left w:w="100" w:type="dxa"/>
        <w:right w:w="100" w:type="dxa"/>
      </w:tblCellMar>
    </w:tblPr>
    <w:trPr/>
    <w:tcPr/>
  </w:style>
  <w:style w:type="table" w:styleId="167" w:customStyle="1">
    <w:name w:val="5"/>
    <w:basedOn w:val="11"/>
    <w:next w:val="167"/>
    <w:link w:val="0"/>
    <w:uiPriority w:val="0"/>
    <w:tblPr>
      <w:tblStyleRowBandSize w:val="1"/>
      <w:tblStyleColBandSize w:val="1"/>
      <w:tblCellMar>
        <w:top w:w="100" w:type="dxa"/>
        <w:bottom w:w="100" w:type="dxa"/>
        <w:left w:w="100" w:type="dxa"/>
        <w:right w:w="100" w:type="dxa"/>
      </w:tblCellMar>
    </w:tblPr>
    <w:trPr/>
    <w:tcPr/>
  </w:style>
  <w:style w:type="table" w:styleId="168" w:customStyle="1">
    <w:name w:val="4"/>
    <w:basedOn w:val="11"/>
    <w:next w:val="168"/>
    <w:link w:val="0"/>
    <w:uiPriority w:val="0"/>
    <w:tblPr>
      <w:tblStyleRowBandSize w:val="1"/>
      <w:tblStyleColBandSize w:val="1"/>
      <w:tblCellMar>
        <w:top w:w="100" w:type="dxa"/>
        <w:bottom w:w="100" w:type="dxa"/>
        <w:left w:w="100" w:type="dxa"/>
        <w:right w:w="100" w:type="dxa"/>
      </w:tblCellMar>
    </w:tblPr>
    <w:trPr/>
    <w:tcPr/>
  </w:style>
  <w:style w:type="table" w:styleId="169" w:customStyle="1">
    <w:name w:val="3"/>
    <w:basedOn w:val="11"/>
    <w:next w:val="169"/>
    <w:link w:val="0"/>
    <w:uiPriority w:val="0"/>
    <w:tblPr>
      <w:tblStyleRowBandSize w:val="1"/>
      <w:tblStyleColBandSize w:val="1"/>
      <w:tblCellMar>
        <w:top w:w="100" w:type="dxa"/>
        <w:bottom w:w="100" w:type="dxa"/>
        <w:left w:w="100" w:type="dxa"/>
        <w:right w:w="100" w:type="dxa"/>
      </w:tblCellMar>
    </w:tblPr>
    <w:trPr/>
    <w:tcPr/>
  </w:style>
  <w:style w:type="table" w:styleId="170" w:customStyle="1">
    <w:name w:val="2"/>
    <w:basedOn w:val="11"/>
    <w:next w:val="170"/>
    <w:link w:val="0"/>
    <w:uiPriority w:val="0"/>
    <w:tblPr>
      <w:tblStyleRowBandSize w:val="1"/>
      <w:tblStyleColBandSize w:val="1"/>
      <w:tblCellMar>
        <w:top w:w="100" w:type="dxa"/>
        <w:bottom w:w="100" w:type="dxa"/>
        <w:left w:w="100" w:type="dxa"/>
        <w:right w:w="100" w:type="dxa"/>
      </w:tblCellMar>
    </w:tblPr>
    <w:trPr/>
    <w:tcPr/>
  </w:style>
  <w:style w:type="table" w:styleId="171" w:customStyle="1">
    <w:name w:val="1"/>
    <w:basedOn w:val="11"/>
    <w:next w:val="171"/>
    <w:link w:val="0"/>
    <w:uiPriority w:val="0"/>
    <w:tblPr>
      <w:tblStyleRowBandSize w:val="1"/>
      <w:tblStyleColBandSize w:val="1"/>
      <w:tblCellMar>
        <w:top w:w="100" w:type="dxa"/>
        <w:bottom w:w="100" w:type="dxa"/>
        <w:left w:w="100" w:type="dxa"/>
        <w:right w:w="100" w:type="dxa"/>
      </w:tblCellMar>
    </w:tblPr>
    <w:trPr/>
    <w:tcPr/>
  </w:style>
  <w:style w:type="table" w:styleId="172">
    <w:name w:val="Table Grid"/>
    <w:basedOn w:val="11"/>
    <w:next w:val="172"/>
    <w:link w:val="0"/>
    <w:uiPriority w:val="0"/>
    <w:pPr>
      <w:spacing w:line="240" w:lineRule="auto"/>
    </w:pPr>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173" w:customStyle="1">
    <w:name w:val="Normal Table0"/>
    <w:basedOn w:val="11"/>
    <w:next w:val="173"/>
    <w:link w:val="0"/>
    <w:uiPriority w:val="0"/>
    <w:tblPr>
      <w:tblStyleRowBandSize w:val="1"/>
      <w:tblStyleColBandSize w:val="1"/>
      <w:tblCellMar>
        <w:left w:w="0" w:type="dxa"/>
        <w:right w:w="0" w:type="dxa"/>
      </w:tblCellMar>
    </w:tblPr>
    <w:trPr/>
    <w:tcPr/>
  </w:style>
  <w:style w:type="table" w:styleId="174" w:customStyle="1">
    <w:name w:val="169"/>
    <w:basedOn w:val="11"/>
    <w:next w:val="174"/>
    <w:link w:val="0"/>
    <w:uiPriority w:val="0"/>
    <w:rPr>
      <w:rFonts w:eastAsiaTheme="minorEastAsia"/>
    </w:rPr>
    <w:tblPr>
      <w:tblStyleRowBandSize w:val="1"/>
      <w:tblStyleColBandSize w:val="1"/>
      <w:tblCellMar>
        <w:top w:w="100" w:type="dxa"/>
        <w:bottom w:w="100" w:type="dxa"/>
        <w:left w:w="100" w:type="dxa"/>
        <w:right w:w="100"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header" Target="header1.xml" /><Relationship Id="rId7" Type="http://schemas.openxmlformats.org/officeDocument/2006/relationships/footer" Target="footer1.xml" /><Relationship Id="rId8" Type="http://schemas.openxmlformats.org/officeDocument/2006/relationships/footer" Target="footer2.xml" /><Relationship Id="rId9" Type="http://schemas.openxmlformats.org/officeDocument/2006/relationships/footer" Target="footer3.xml" /><Relationship Id="rId10" Type="http://schemas.openxmlformats.org/officeDocument/2006/relationships/image" Target="media/image1.png" /><Relationship Id="rId11" Type="http://schemas.openxmlformats.org/officeDocument/2006/relationships/header" Target="header2.xml" /><Relationship Id="rId12" Type="http://schemas.openxmlformats.org/officeDocument/2006/relationships/header" Target="header3.xml" /><Relationship Id="rId13" Type="http://schemas.openxmlformats.org/officeDocument/2006/relationships/header" Target="header4.xml" /><Relationship Id="rId14" Type="http://schemas.openxmlformats.org/officeDocument/2006/relationships/chart" Target="charts/chart1.xml" /><Relationship Id="rId15" Type="http://schemas.openxmlformats.org/officeDocument/2006/relationships/chart" Target="charts/chart2.xml" /><Relationship Id="rId16" Type="http://schemas.openxmlformats.org/officeDocument/2006/relationships/chart" Target="charts/chart3.xml" /><Relationship Id="rId17" Type="http://schemas.openxmlformats.org/officeDocument/2006/relationships/chart" Target="charts/chart4.xml" /><Relationship Id="rId18" Type="http://schemas.openxmlformats.org/officeDocument/2006/relationships/chart" Target="charts/chart5.xml" /><Relationship Id="rId19" Type="http://schemas.openxmlformats.org/officeDocument/2006/relationships/header" Target="header5.xml" /><Relationship Id="rId20" Type="http://schemas.openxmlformats.org/officeDocument/2006/relationships/header" Target="header6.xml" /><Relationship Id="rId21" Type="http://schemas.openxmlformats.org/officeDocument/2006/relationships/header" Target="header7.xml" /><Relationship Id="rId22" Type="http://schemas.openxmlformats.org/officeDocument/2006/relationships/chart" Target="charts/chart6.xml" /><Relationship Id="rId23" Type="http://schemas.openxmlformats.org/officeDocument/2006/relationships/chart" Target="charts/chart7.xml" /><Relationship Id="rId24" Type="http://schemas.openxmlformats.org/officeDocument/2006/relationships/chart" Target="charts/chart8.xml" /><Relationship Id="rId25" Type="http://schemas.openxmlformats.org/officeDocument/2006/relationships/header" Target="header8.xml" /><Relationship Id="rId26" Type="http://schemas.openxmlformats.org/officeDocument/2006/relationships/header" Target="header9.xml" /><Relationship Id="rId27" Type="http://schemas.openxmlformats.org/officeDocument/2006/relationships/image" Target="media/image4.png" /><Relationship Id="rId28" Type="http://schemas.openxmlformats.org/officeDocument/2006/relationships/chart" Target="charts/chart9.xml" /><Relationship Id="rId29" Type="http://schemas.openxmlformats.org/officeDocument/2006/relationships/chart" Target="charts/chart10.xml" /><Relationship Id="rId30" Type="http://schemas.openxmlformats.org/officeDocument/2006/relationships/chart" Target="charts/chart11.xml" /><Relationship Id="rId31" Type="http://schemas.openxmlformats.org/officeDocument/2006/relationships/chart" Target="charts/chart12.xml" /><Relationship Id="rId32" Type="http://schemas.openxmlformats.org/officeDocument/2006/relationships/chart" Target="charts/chart13.xml" /><Relationship Id="rId33" Type="http://schemas.openxmlformats.org/officeDocument/2006/relationships/chart" Target="charts/chart14.xml" /><Relationship Id="rId34" Type="http://schemas.openxmlformats.org/officeDocument/2006/relationships/chart" Target="charts/chart15.xml" /><Relationship Id="rId35" Type="http://schemas.openxmlformats.org/officeDocument/2006/relationships/chart" Target="charts/chart16.xml" /><Relationship Id="rId36" Type="http://schemas.openxmlformats.org/officeDocument/2006/relationships/chart" Target="charts/chart17.xml" /><Relationship Id="rId37" Type="http://schemas.openxmlformats.org/officeDocument/2006/relationships/chart" Target="charts/chart18.xml" /><Relationship Id="rId38" Type="http://schemas.openxmlformats.org/officeDocument/2006/relationships/chart" Target="charts/chart19.xml" /><Relationship Id="rId39" Type="http://schemas.openxmlformats.org/officeDocument/2006/relationships/chart" Target="charts/chart20.xml" /><Relationship Id="rId40" Type="http://schemas.openxmlformats.org/officeDocument/2006/relationships/chart" Target="charts/chart21.xml" /><Relationship Id="rId41" Type="http://schemas.openxmlformats.org/officeDocument/2006/relationships/chart" Target="charts/chart22.xml" /><Relationship Id="rId42" Type="http://schemas.openxmlformats.org/officeDocument/2006/relationships/chart" Target="charts/chart23.xml" /><Relationship Id="rId43" Type="http://schemas.openxmlformats.org/officeDocument/2006/relationships/chart" Target="charts/chart24.xml" /><Relationship Id="rId44" Type="http://schemas.openxmlformats.org/officeDocument/2006/relationships/chart" Target="charts/chart25.xml" /><Relationship Id="rId45" Type="http://schemas.openxmlformats.org/officeDocument/2006/relationships/chart" Target="charts/chart26.xml" /><Relationship Id="rId46" Type="http://schemas.openxmlformats.org/officeDocument/2006/relationships/chart" Target="charts/chart27.xml" /><Relationship Id="rId47" Type="http://schemas.openxmlformats.org/officeDocument/2006/relationships/chart" Target="charts/chart28.xml" /><Relationship Id="rId48" Type="http://schemas.openxmlformats.org/officeDocument/2006/relationships/chart" Target="charts/chart29.xml" /><Relationship Id="rId49" Type="http://schemas.openxmlformats.org/officeDocument/2006/relationships/chart" Target="charts/chart30.xml" /><Relationship Id="rId50" Type="http://schemas.openxmlformats.org/officeDocument/2006/relationships/chart" Target="charts/chart31.xml" /><Relationship Id="rId51" Type="http://schemas.openxmlformats.org/officeDocument/2006/relationships/chart" Target="charts/chart32.xml" /><Relationship Id="rId52" Type="http://schemas.openxmlformats.org/officeDocument/2006/relationships/chart" Target="charts/chart33.xml" /><Relationship Id="rId53" Type="http://schemas.openxmlformats.org/officeDocument/2006/relationships/chart" Target="charts/chart34.xml" /><Relationship Id="rId54" Type="http://schemas.openxmlformats.org/officeDocument/2006/relationships/chart" Target="charts/chart35.xml" /><Relationship Id="rId55" Type="http://schemas.openxmlformats.org/officeDocument/2006/relationships/chart" Target="charts/chart36.xml" /><Relationship Id="rId56" Type="http://schemas.openxmlformats.org/officeDocument/2006/relationships/chart" Target="charts/chart37.xml" /><Relationship Id="rId57" Type="http://schemas.openxmlformats.org/officeDocument/2006/relationships/chart" Target="charts/chart38.xml" /><Relationship Id="rId58" Type="http://schemas.openxmlformats.org/officeDocument/2006/relationships/chart" Target="charts/chart39.xml" /><Relationship Id="rId59" Type="http://schemas.openxmlformats.org/officeDocument/2006/relationships/chart" Target="charts/chart40.xml" /><Relationship Id="rId60" Type="http://schemas.openxmlformats.org/officeDocument/2006/relationships/chart" Target="charts/chart41.xml" /><Relationship Id="rId61" Type="http://schemas.microsoft.com/office/2011/relationships/commentsExtended" Target="commentsExtended.xml" /></Relationships>
</file>

<file path=word/_rels/header2.xml.rels><?xml version="1.0" encoding="UTF-8"?><Relationships xmlns="http://schemas.openxmlformats.org/package/2006/relationships"><Relationship Id="rId1" Type="http://schemas.openxmlformats.org/officeDocument/2006/relationships/image" Target="media/image2.png" /></Relationships>
</file>

<file path=word/_rels/header5.xml.rels><?xml version="1.0" encoding="UTF-8"?><Relationships xmlns="http://schemas.openxmlformats.org/package/2006/relationships"><Relationship Id="rId1" Type="http://schemas.openxmlformats.org/officeDocument/2006/relationships/image" Target="media/image3.png" /></Relationships>
</file>

<file path=word/charts/_rels/chart1.xml.rels><?xml version="1.0" encoding="UTF-8"?><Relationships xmlns="http://schemas.openxmlformats.org/package/2006/relationships"><Relationship Id="rId2" Type="http://schemas.openxmlformats.org/officeDocument/2006/relationships/package" Target="../embeddings/Microsoft_Excel_Worksheet.xlsx" /><Relationship Id="rId1" Type="http://schemas.openxmlformats.org/officeDocument/2006/relationships/themeOverride" Target="../theme/themeOverride1.xml" /></Relationships>
</file>

<file path=word/charts/_rels/chart10.xml.rels><?xml version="1.0" encoding="UTF-8"?><Relationships xmlns="http://schemas.openxmlformats.org/package/2006/relationships"><Relationship Id="rId3" Type="http://schemas.openxmlformats.org/officeDocument/2006/relationships/themeOverride" Target="../theme/themeOverride10.xml" /><Relationship Id="rId2" Type="http://schemas.microsoft.com/office/2011/relationships/chartColorStyle" Target="colors5.xml" /><Relationship Id="rId1" Type="http://schemas.microsoft.com/office/2011/relationships/chartStyle" Target="style5.xml" /><Relationship Id="rId4" Type="http://schemas.openxmlformats.org/officeDocument/2006/relationships/package" Target="../embeddings/Microsoft_Excel_Worksheet9.xlsx" /></Relationships>
</file>

<file path=word/charts/_rels/chart11.xml.rels><?xml version="1.0" encoding="UTF-8"?><Relationships xmlns="http://schemas.openxmlformats.org/package/2006/relationships"><Relationship Id="rId2" Type="http://schemas.openxmlformats.org/officeDocument/2006/relationships/package" Target="../embeddings/Microsoft_Excel_Worksheet10.xlsx" /><Relationship Id="rId1" Type="http://schemas.openxmlformats.org/officeDocument/2006/relationships/themeOverride" Target="../theme/themeOverride11.xml" /></Relationships>
</file>

<file path=word/charts/_rels/chart12.xml.rels><?xml version="1.0" encoding="UTF-8"?><Relationships xmlns="http://schemas.openxmlformats.org/package/2006/relationships"><Relationship Id="rId2" Type="http://schemas.openxmlformats.org/officeDocument/2006/relationships/package" Target="../embeddings/Microsoft_Excel_Worksheet11.xlsx" /><Relationship Id="rId1" Type="http://schemas.openxmlformats.org/officeDocument/2006/relationships/themeOverride" Target="../theme/themeOverride12.xml" /></Relationships>
</file>

<file path=word/charts/_rels/chart13.xml.rels><?xml version="1.0" encoding="UTF-8"?><Relationships xmlns="http://schemas.openxmlformats.org/package/2006/relationships"><Relationship Id="rId2" Type="http://schemas.openxmlformats.org/officeDocument/2006/relationships/package" Target="../embeddings/Microsoft_Excel_Worksheet12.xlsx" /><Relationship Id="rId1" Type="http://schemas.openxmlformats.org/officeDocument/2006/relationships/themeOverride" Target="../theme/themeOverride13.xml" /></Relationships>
</file>

<file path=word/charts/_rels/chart14.xml.rels><?xml version="1.0" encoding="UTF-8"?><Relationships xmlns="http://schemas.openxmlformats.org/package/2006/relationships"><Relationship Id="rId2" Type="http://schemas.openxmlformats.org/officeDocument/2006/relationships/package" Target="../embeddings/Microsoft_Excel_Worksheet13.xlsx" /><Relationship Id="rId1" Type="http://schemas.openxmlformats.org/officeDocument/2006/relationships/themeOverride" Target="../theme/themeOverride14.xml" /></Relationships>
</file>

<file path=word/charts/_rels/chart15.xml.rels><?xml version="1.0" encoding="UTF-8"?><Relationships xmlns="http://schemas.openxmlformats.org/package/2006/relationships"><Relationship Id="rId2" Type="http://schemas.openxmlformats.org/officeDocument/2006/relationships/package" Target="../embeddings/Microsoft_Excel_Worksheet14.xlsx" /><Relationship Id="rId1" Type="http://schemas.openxmlformats.org/officeDocument/2006/relationships/themeOverride" Target="../theme/themeOverride15.xml" /></Relationships>
</file>

<file path=word/charts/_rels/chart16.xml.rels><?xml version="1.0" encoding="UTF-8"?><Relationships xmlns="http://schemas.openxmlformats.org/package/2006/relationships"><Relationship Id="rId2" Type="http://schemas.openxmlformats.org/officeDocument/2006/relationships/package" Target="../embeddings/Microsoft_Excel_Worksheet15.xlsx" /><Relationship Id="rId1" Type="http://schemas.openxmlformats.org/officeDocument/2006/relationships/themeOverride" Target="../theme/themeOverride16.xml" /></Relationships>
</file>

<file path=word/charts/_rels/chart17.xml.rels><?xml version="1.0" encoding="UTF-8"?><Relationships xmlns="http://schemas.openxmlformats.org/package/2006/relationships"><Relationship Id="rId3" Type="http://schemas.openxmlformats.org/officeDocument/2006/relationships/themeOverride" Target="../theme/themeOverride17.xml" /><Relationship Id="rId2" Type="http://schemas.microsoft.com/office/2011/relationships/chartColorStyle" Target="colors6.xml" /><Relationship Id="rId1" Type="http://schemas.microsoft.com/office/2011/relationships/chartStyle" Target="style6.xml" /><Relationship Id="rId4" Type="http://schemas.openxmlformats.org/officeDocument/2006/relationships/package" Target="../embeddings/Microsoft_Excel_Worksheet16.xlsx" /></Relationships>
</file>

<file path=word/charts/_rels/chart18.xml.rels><?xml version="1.0" encoding="UTF-8"?><Relationships xmlns="http://schemas.openxmlformats.org/package/2006/relationships"><Relationship Id="rId2" Type="http://schemas.openxmlformats.org/officeDocument/2006/relationships/package" Target="../embeddings/Microsoft_Excel_Worksheet17.xlsx" /><Relationship Id="rId1" Type="http://schemas.openxmlformats.org/officeDocument/2006/relationships/themeOverride" Target="../theme/themeOverride18.xml" /></Relationships>
</file>

<file path=word/charts/_rels/chart19.xml.rels><?xml version="1.0" encoding="UTF-8"?><Relationships xmlns="http://schemas.openxmlformats.org/package/2006/relationships"><Relationship Id="rId2" Type="http://schemas.openxmlformats.org/officeDocument/2006/relationships/package" Target="../embeddings/Microsoft_Excel_Worksheet18.xlsx" /><Relationship Id="rId1" Type="http://schemas.openxmlformats.org/officeDocument/2006/relationships/themeOverride" Target="../theme/themeOverride19.xml" /></Relationships>
</file>

<file path=word/charts/_rels/chart2.xml.rels><?xml version="1.0" encoding="UTF-8"?><Relationships xmlns="http://schemas.openxmlformats.org/package/2006/relationships"><Relationship Id="rId2" Type="http://schemas.openxmlformats.org/officeDocument/2006/relationships/package" Target="../embeddings/Microsoft_Excel_Worksheet1.xlsx" /><Relationship Id="rId1" Type="http://schemas.openxmlformats.org/officeDocument/2006/relationships/themeOverride" Target="../theme/themeOverride2.xml" /></Relationships>
</file>

<file path=word/charts/_rels/chart20.xml.rels><?xml version="1.0" encoding="UTF-8"?><Relationships xmlns="http://schemas.openxmlformats.org/package/2006/relationships"><Relationship Id="rId2" Type="http://schemas.openxmlformats.org/officeDocument/2006/relationships/package" Target="../embeddings/Microsoft_Excel_Worksheet19.xlsx" /><Relationship Id="rId1" Type="http://schemas.openxmlformats.org/officeDocument/2006/relationships/themeOverride" Target="../theme/themeOverride20.xml" /></Relationships>
</file>

<file path=word/charts/_rels/chart21.xml.rels><?xml version="1.0" encoding="UTF-8"?><Relationships xmlns="http://schemas.openxmlformats.org/package/2006/relationships"><Relationship Id="rId2" Type="http://schemas.openxmlformats.org/officeDocument/2006/relationships/package" Target="../embeddings/Microsoft_Excel_Worksheet20.xlsx" /><Relationship Id="rId1" Type="http://schemas.openxmlformats.org/officeDocument/2006/relationships/themeOverride" Target="../theme/themeOverride21.xml" /></Relationships>
</file>

<file path=word/charts/_rels/chart22.xml.rels><?xml version="1.0" encoding="UTF-8"?><Relationships xmlns="http://schemas.openxmlformats.org/package/2006/relationships"><Relationship Id="rId2" Type="http://schemas.openxmlformats.org/officeDocument/2006/relationships/package" Target="../embeddings/Microsoft_Excel_Worksheet21.xlsx" /><Relationship Id="rId1" Type="http://schemas.openxmlformats.org/officeDocument/2006/relationships/themeOverride" Target="../theme/themeOverride22.xml" /></Relationships>
</file>

<file path=word/charts/_rels/chart23.xml.rels><?xml version="1.0" encoding="UTF-8"?><Relationships xmlns="http://schemas.openxmlformats.org/package/2006/relationships"><Relationship Id="rId2" Type="http://schemas.openxmlformats.org/officeDocument/2006/relationships/package" Target="../embeddings/Microsoft_Excel_Worksheet22.xlsx" /><Relationship Id="rId1" Type="http://schemas.openxmlformats.org/officeDocument/2006/relationships/themeOverride" Target="../theme/themeOverride23.xml" /></Relationships>
</file>

<file path=word/charts/_rels/chart24.xml.rels><?xml version="1.0" encoding="UTF-8"?><Relationships xmlns="http://schemas.openxmlformats.org/package/2006/relationships"><Relationship Id="rId2" Type="http://schemas.openxmlformats.org/officeDocument/2006/relationships/package" Target="../embeddings/Microsoft_Excel_Worksheet23.xlsx" /><Relationship Id="rId1" Type="http://schemas.openxmlformats.org/officeDocument/2006/relationships/themeOverride" Target="../theme/themeOverride24.xml" /></Relationships>
</file>

<file path=word/charts/_rels/chart25.xml.rels><?xml version="1.0" encoding="UTF-8"?><Relationships xmlns="http://schemas.openxmlformats.org/package/2006/relationships"><Relationship Id="rId2" Type="http://schemas.openxmlformats.org/officeDocument/2006/relationships/package" Target="../embeddings/Microsoft_Excel_Worksheet24.xlsx" /><Relationship Id="rId1" Type="http://schemas.openxmlformats.org/officeDocument/2006/relationships/themeOverride" Target="../theme/themeOverride25.xml" /></Relationships>
</file>

<file path=word/charts/_rels/chart26.xml.rels><?xml version="1.0" encoding="UTF-8"?><Relationships xmlns="http://schemas.openxmlformats.org/package/2006/relationships"><Relationship Id="rId2" Type="http://schemas.openxmlformats.org/officeDocument/2006/relationships/package" Target="../embeddings/Microsoft_Excel_Worksheet25.xlsx" /><Relationship Id="rId1" Type="http://schemas.openxmlformats.org/officeDocument/2006/relationships/themeOverride" Target="../theme/themeOverride26.xml" /></Relationships>
</file>

<file path=word/charts/_rels/chart27.xml.rels><?xml version="1.0" encoding="UTF-8"?><Relationships xmlns="http://schemas.openxmlformats.org/package/2006/relationships"><Relationship Id="rId2" Type="http://schemas.openxmlformats.org/officeDocument/2006/relationships/package" Target="../embeddings/Microsoft_Excel_Worksheet26.xlsx" /><Relationship Id="rId1" Type="http://schemas.openxmlformats.org/officeDocument/2006/relationships/themeOverride" Target="../theme/themeOverride27.xml" /></Relationships>
</file>

<file path=word/charts/_rels/chart28.xml.rels><?xml version="1.0" encoding="UTF-8"?><Relationships xmlns="http://schemas.openxmlformats.org/package/2006/relationships"><Relationship Id="rId2" Type="http://schemas.openxmlformats.org/officeDocument/2006/relationships/package" Target="../embeddings/Microsoft_Excel_Worksheet27.xlsx" /><Relationship Id="rId1" Type="http://schemas.openxmlformats.org/officeDocument/2006/relationships/themeOverride" Target="../theme/themeOverride28.xml" /></Relationships>
</file>

<file path=word/charts/_rels/chart29.xml.rels><?xml version="1.0" encoding="UTF-8"?><Relationships xmlns="http://schemas.openxmlformats.org/package/2006/relationships"><Relationship Id="rId2" Type="http://schemas.openxmlformats.org/officeDocument/2006/relationships/package" Target="../embeddings/Microsoft_Excel_Worksheet28.xlsx" /><Relationship Id="rId1" Type="http://schemas.openxmlformats.org/officeDocument/2006/relationships/themeOverride" Target="../theme/themeOverride29.xml" /></Relationships>
</file>

<file path=word/charts/_rels/chart3.xml.rels><?xml version="1.0" encoding="UTF-8"?><Relationships xmlns="http://schemas.openxmlformats.org/package/2006/relationships"><Relationship Id="rId3" Type="http://schemas.openxmlformats.org/officeDocument/2006/relationships/themeOverride" Target="../theme/themeOverride3.xml" /><Relationship Id="rId2" Type="http://schemas.microsoft.com/office/2011/relationships/chartColorStyle" Target="colors1.xml" /><Relationship Id="rId1" Type="http://schemas.microsoft.com/office/2011/relationships/chartStyle" Target="style1.xml" /><Relationship Id="rId4" Type="http://schemas.openxmlformats.org/officeDocument/2006/relationships/package" Target="../embeddings/Microsoft_Excel_Worksheet2.xlsx" /></Relationships>
</file>

<file path=word/charts/_rels/chart30.xml.rels><?xml version="1.0" encoding="UTF-8"?><Relationships xmlns="http://schemas.openxmlformats.org/package/2006/relationships"><Relationship Id="rId2" Type="http://schemas.openxmlformats.org/officeDocument/2006/relationships/package" Target="../embeddings/Microsoft_Excel_Worksheet29.xlsx" /><Relationship Id="rId1" Type="http://schemas.openxmlformats.org/officeDocument/2006/relationships/themeOverride" Target="../theme/themeOverride30.xml" /></Relationships>
</file>

<file path=word/charts/_rels/chart31.xml.rels><?xml version="1.0" encoding="UTF-8"?><Relationships xmlns="http://schemas.openxmlformats.org/package/2006/relationships"><Relationship Id="rId2" Type="http://schemas.openxmlformats.org/officeDocument/2006/relationships/package" Target="../embeddings/Microsoft_Excel_Worksheet30.xlsx" /><Relationship Id="rId1" Type="http://schemas.openxmlformats.org/officeDocument/2006/relationships/themeOverride" Target="../theme/themeOverride31.xml" /></Relationships>
</file>

<file path=word/charts/_rels/chart32.xml.rels><?xml version="1.0" encoding="UTF-8"?><Relationships xmlns="http://schemas.openxmlformats.org/package/2006/relationships"><Relationship Id="rId2" Type="http://schemas.openxmlformats.org/officeDocument/2006/relationships/package" Target="../embeddings/Microsoft_Excel_Worksheet31.xlsx" /><Relationship Id="rId1" Type="http://schemas.openxmlformats.org/officeDocument/2006/relationships/themeOverride" Target="../theme/themeOverride32.xml" /></Relationships>
</file>

<file path=word/charts/_rels/chart33.xml.rels><?xml version="1.0" encoding="UTF-8"?><Relationships xmlns="http://schemas.openxmlformats.org/package/2006/relationships"><Relationship Id="rId2" Type="http://schemas.openxmlformats.org/officeDocument/2006/relationships/package" Target="../embeddings/Microsoft_Excel_Worksheet32.xlsx" /><Relationship Id="rId1" Type="http://schemas.openxmlformats.org/officeDocument/2006/relationships/themeOverride" Target="../theme/themeOverride33.xml" /></Relationships>
</file>

<file path=word/charts/_rels/chart34.xml.rels><?xml version="1.0" encoding="UTF-8"?><Relationships xmlns="http://schemas.openxmlformats.org/package/2006/relationships"><Relationship Id="rId2" Type="http://schemas.openxmlformats.org/officeDocument/2006/relationships/package" Target="../embeddings/Microsoft_Excel_Worksheet33.xlsx" /><Relationship Id="rId1" Type="http://schemas.openxmlformats.org/officeDocument/2006/relationships/themeOverride" Target="../theme/themeOverride34.xml" /></Relationships>
</file>

<file path=word/charts/_rels/chart35.xml.rels><?xml version="1.0" encoding="UTF-8"?><Relationships xmlns="http://schemas.openxmlformats.org/package/2006/relationships"><Relationship Id="rId2" Type="http://schemas.openxmlformats.org/officeDocument/2006/relationships/package" Target="../embeddings/Microsoft_Excel_Worksheet34.xlsx" /><Relationship Id="rId1" Type="http://schemas.openxmlformats.org/officeDocument/2006/relationships/themeOverride" Target="../theme/themeOverride35.xml" /></Relationships>
</file>

<file path=word/charts/_rels/chart36.xml.rels><?xml version="1.0" encoding="UTF-8"?><Relationships xmlns="http://schemas.openxmlformats.org/package/2006/relationships"><Relationship Id="rId2" Type="http://schemas.openxmlformats.org/officeDocument/2006/relationships/package" Target="../embeddings/Microsoft_Excel_Worksheet35.xlsx" /><Relationship Id="rId1" Type="http://schemas.openxmlformats.org/officeDocument/2006/relationships/themeOverride" Target="../theme/themeOverride36.xml" /></Relationships>
</file>

<file path=word/charts/_rels/chart37.xml.rels><?xml version="1.0" encoding="UTF-8"?><Relationships xmlns="http://schemas.openxmlformats.org/package/2006/relationships"><Relationship Id="rId3" Type="http://schemas.openxmlformats.org/officeDocument/2006/relationships/themeOverride" Target="../theme/themeOverride37.xml" /><Relationship Id="rId2" Type="http://schemas.microsoft.com/office/2011/relationships/chartColorStyle" Target="colors7.xml" /><Relationship Id="rId1" Type="http://schemas.microsoft.com/office/2011/relationships/chartStyle" Target="style7.xml" /><Relationship Id="rId4" Type="http://schemas.openxmlformats.org/officeDocument/2006/relationships/package" Target="../embeddings/Microsoft_Excel_Worksheet36.xlsx" /></Relationships>
</file>

<file path=word/charts/_rels/chart38.xml.rels><?xml version="1.0" encoding="UTF-8"?><Relationships xmlns="http://schemas.openxmlformats.org/package/2006/relationships"><Relationship Id="rId3" Type="http://schemas.openxmlformats.org/officeDocument/2006/relationships/themeOverride" Target="../theme/themeOverride38.xml" /><Relationship Id="rId2" Type="http://schemas.microsoft.com/office/2011/relationships/chartColorStyle" Target="colors8.xml" /><Relationship Id="rId1" Type="http://schemas.microsoft.com/office/2011/relationships/chartStyle" Target="style8.xml" /><Relationship Id="rId4" Type="http://schemas.openxmlformats.org/officeDocument/2006/relationships/package" Target="../embeddings/Microsoft_Excel_Worksheet37.xlsx" /></Relationships>
</file>

<file path=word/charts/_rels/chart39.xml.rels><?xml version="1.0" encoding="UTF-8"?><Relationships xmlns="http://schemas.openxmlformats.org/package/2006/relationships"><Relationship Id="rId2" Type="http://schemas.openxmlformats.org/officeDocument/2006/relationships/package" Target="../embeddings/Microsoft_Excel_Worksheet38.xlsx" /><Relationship Id="rId1" Type="http://schemas.openxmlformats.org/officeDocument/2006/relationships/themeOverride" Target="../theme/themeOverride39.xml" /></Relationships>
</file>

<file path=word/charts/_rels/chart4.xml.rels><?xml version="1.0" encoding="UTF-8"?><Relationships xmlns="http://schemas.openxmlformats.org/package/2006/relationships"><Relationship Id="rId3" Type="http://schemas.openxmlformats.org/officeDocument/2006/relationships/themeOverride" Target="../theme/themeOverride4.xml" /><Relationship Id="rId2" Type="http://schemas.microsoft.com/office/2011/relationships/chartColorStyle" Target="colors2.xml" /><Relationship Id="rId1" Type="http://schemas.microsoft.com/office/2011/relationships/chartStyle" Target="style2.xml" /><Relationship Id="rId4" Type="http://schemas.openxmlformats.org/officeDocument/2006/relationships/package" Target="../embeddings/Microsoft_Excel_Worksheet3.xlsx" /></Relationships>
</file>

<file path=word/charts/_rels/chart40.xml.rels><?xml version="1.0" encoding="UTF-8"?><Relationships xmlns="http://schemas.openxmlformats.org/package/2006/relationships"><Relationship Id="rId2" Type="http://schemas.openxmlformats.org/officeDocument/2006/relationships/package" Target="../embeddings/Microsoft_Excel_Worksheet39.xlsx" /><Relationship Id="rId1" Type="http://schemas.openxmlformats.org/officeDocument/2006/relationships/themeOverride" Target="../theme/themeOverride40.xml" /></Relationships>
</file>

<file path=word/charts/_rels/chart41.xml.rels><?xml version="1.0" encoding="UTF-8"?><Relationships xmlns="http://schemas.openxmlformats.org/package/2006/relationships"><Relationship Id="rId2" Type="http://schemas.openxmlformats.org/officeDocument/2006/relationships/package" Target="../embeddings/Microsoft_Excel_Worksheet40.xlsx" /><Relationship Id="rId1" Type="http://schemas.openxmlformats.org/officeDocument/2006/relationships/themeOverride" Target="../theme/themeOverride41.xml" /></Relationships>
</file>

<file path=word/charts/_rels/chart5.xml.rels><?xml version="1.0" encoding="UTF-8"?><Relationships xmlns="http://schemas.openxmlformats.org/package/2006/relationships"><Relationship Id="rId3" Type="http://schemas.openxmlformats.org/officeDocument/2006/relationships/themeOverride" Target="../theme/themeOverride5.xml" /><Relationship Id="rId2" Type="http://schemas.microsoft.com/office/2011/relationships/chartColorStyle" Target="colors3.xml" /><Relationship Id="rId1" Type="http://schemas.microsoft.com/office/2011/relationships/chartStyle" Target="style3.xml" /><Relationship Id="rId4" Type="http://schemas.openxmlformats.org/officeDocument/2006/relationships/package" Target="../embeddings/Microsoft_Excel_Worksheet4.xlsx" /></Relationships>
</file>

<file path=word/charts/_rels/chart6.xml.rels><?xml version="1.0" encoding="UTF-8"?><Relationships xmlns="http://schemas.openxmlformats.org/package/2006/relationships"><Relationship Id="rId3" Type="http://schemas.openxmlformats.org/officeDocument/2006/relationships/themeOverride" Target="../theme/themeOverride6.xml" /><Relationship Id="rId2" Type="http://schemas.microsoft.com/office/2011/relationships/chartColorStyle" Target="colors4.xml" /><Relationship Id="rId1" Type="http://schemas.microsoft.com/office/2011/relationships/chartStyle" Target="style4.xml" /><Relationship Id="rId4" Type="http://schemas.openxmlformats.org/officeDocument/2006/relationships/package" Target="../embeddings/Microsoft_Excel_Worksheet5.xlsx" /></Relationships>
</file>

<file path=word/charts/_rels/chart7.xml.rels><?xml version="1.0" encoding="UTF-8"?><Relationships xmlns="http://schemas.openxmlformats.org/package/2006/relationships"><Relationship Id="rId2" Type="http://schemas.openxmlformats.org/officeDocument/2006/relationships/package" Target="../embeddings/Microsoft_Excel_Worksheet6.xlsx" /><Relationship Id="rId1" Type="http://schemas.openxmlformats.org/officeDocument/2006/relationships/themeOverride" Target="../theme/themeOverride7.xml" /></Relationships>
</file>

<file path=word/charts/_rels/chart8.xml.rels><?xml version="1.0" encoding="UTF-8"?><Relationships xmlns="http://schemas.openxmlformats.org/package/2006/relationships"><Relationship Id="rId2" Type="http://schemas.openxmlformats.org/officeDocument/2006/relationships/package" Target="../embeddings/Microsoft_Excel_Worksheet7.xlsx" /><Relationship Id="rId1" Type="http://schemas.openxmlformats.org/officeDocument/2006/relationships/themeOverride" Target="../theme/themeOverride8.xml" /></Relationships>
</file>

<file path=word/charts/_rels/chart9.xml.rels><?xml version="1.0" encoding="UTF-8"?><Relationships xmlns="http://schemas.openxmlformats.org/package/2006/relationships"><Relationship Id="rId2" Type="http://schemas.openxmlformats.org/officeDocument/2006/relationships/package" Target="../embeddings/Microsoft_Excel_Worksheet8.xlsx" /><Relationship Id="rId1" Type="http://schemas.openxmlformats.org/officeDocument/2006/relationships/themeOverride" Target="../theme/themeOverride9.xml"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1944281894207"/>
          <c:y val="0.26341463414634148"/>
          <c:w val="0.77557240316738385"/>
          <c:h val="0.64953344750470998"/>
        </c:manualLayout>
      </c:layout>
      <c:barChart>
        <c:barDir val="col"/>
        <c:grouping val="stacked"/>
        <c:varyColors val="0"/>
        <c:ser>
          <c:idx val="0"/>
          <c:order val="0"/>
          <c:tx>
            <c:strRef>
              <c:f>Sheet1!$A$2</c:f>
              <c:strCache>
                <c:ptCount val="1"/>
                <c:pt idx="0">
                  <c:v>0-39歳</c:v>
                </c:pt>
              </c:strCache>
            </c:strRef>
          </c:tx>
          <c:spPr>
            <a:solidFill>
              <a:srgbClr val="264399"/>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#,##0_);[Red]\(#,##0\)</c:formatCode>
                <c:ptCount val="4"/>
                <c:pt idx="0">
                  <c:v>23488</c:v>
                </c:pt>
                <c:pt idx="1">
                  <c:v>22654</c:v>
                </c:pt>
                <c:pt idx="2">
                  <c:v>21849</c:v>
                </c:pt>
                <c:pt idx="3">
                  <c:v>21599</c:v>
                </c:pt>
              </c:numCache>
            </c:numRef>
          </c:val>
          <c:extLst>
            <c:ext xmlns:c16="http://schemas.microsoft.com/office/drawing/2014/chart" uri="{C3380CC4-5D6E-409C-BE32-E72D297353CC}">
              <c16:uniqueId val="{00000000-4156-48DE-9A2F-F2B29941A926}"/>
            </c:ext>
          </c:extLst>
        </c:ser>
        <c:ser>
          <c:idx val="1"/>
          <c:order val="1"/>
          <c:tx>
            <c:strRef>
              <c:f>Sheet1!$A$3</c:f>
              <c:strCache>
                <c:ptCount val="1"/>
                <c:pt idx="0">
                  <c:v>40-64歳</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#,##0_);[Red]\(#,##0\)</c:formatCode>
                <c:ptCount val="4"/>
                <c:pt idx="0">
                  <c:v>24828</c:v>
                </c:pt>
                <c:pt idx="1">
                  <c:v>24421</c:v>
                </c:pt>
                <c:pt idx="2">
                  <c:v>23999</c:v>
                </c:pt>
                <c:pt idx="3">
                  <c:v>23755</c:v>
                </c:pt>
              </c:numCache>
            </c:numRef>
          </c:val>
          <c:extLst>
            <c:ext xmlns:c16="http://schemas.microsoft.com/office/drawing/2014/chart" uri="{C3380CC4-5D6E-409C-BE32-E72D297353CC}">
              <c16:uniqueId val="{00000001-4156-48DE-9A2F-F2B29941A926}"/>
            </c:ext>
          </c:extLst>
        </c:ser>
        <c:ser>
          <c:idx val="2"/>
          <c:order val="2"/>
          <c:tx>
            <c:strRef>
              <c:f>Sheet1!$A$4</c:f>
              <c:strCache>
                <c:ptCount val="1"/>
                <c:pt idx="0">
                  <c:v>65-74歳</c:v>
                </c:pt>
              </c:strCache>
            </c:strRef>
          </c:tx>
          <c:spPr>
            <a:solidFill>
              <a:srgbClr val="99AC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Sheet1!$B$4:$E$4</c:f>
              <c:numCache>
                <c:formatCode>#,##0_);[Red]\(#,##0\)</c:formatCode>
                <c:ptCount val="4"/>
                <c:pt idx="0">
                  <c:v>11775</c:v>
                </c:pt>
                <c:pt idx="1">
                  <c:v>12041</c:v>
                </c:pt>
                <c:pt idx="2">
                  <c:v>11932</c:v>
                </c:pt>
                <c:pt idx="3">
                  <c:v>11497</c:v>
                </c:pt>
              </c:numCache>
            </c:numRef>
          </c:val>
          <c:extLst>
            <c:ext xmlns:c16="http://schemas.microsoft.com/office/drawing/2014/chart" uri="{C3380CC4-5D6E-409C-BE32-E72D297353CC}">
              <c16:uniqueId val="{00000002-4156-48DE-9A2F-F2B29941A926}"/>
            </c:ext>
          </c:extLst>
        </c:ser>
        <c:ser>
          <c:idx val="3"/>
          <c:order val="3"/>
          <c:tx>
            <c:strRef>
              <c:f>Sheet1!$A$5</c:f>
              <c:strCache>
                <c:ptCount val="1"/>
                <c:pt idx="0">
                  <c:v>75歳以上</c:v>
                </c:pt>
              </c:strCache>
            </c:strRef>
          </c:tx>
          <c:spPr>
            <a:solidFill>
              <a:srgbClr val="CCD6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Sheet1!$B$5:$E$5</c:f>
              <c:numCache>
                <c:formatCode>#,##0_);[Red]\(#,##0\)</c:formatCode>
                <c:ptCount val="4"/>
                <c:pt idx="0">
                  <c:v>9078</c:v>
                </c:pt>
                <c:pt idx="1">
                  <c:v>9185</c:v>
                </c:pt>
                <c:pt idx="2">
                  <c:v>9681</c:v>
                </c:pt>
                <c:pt idx="3">
                  <c:v>10303</c:v>
                </c:pt>
              </c:numCache>
            </c:numRef>
          </c:val>
          <c:extLst>
            <c:ext xmlns:c16="http://schemas.microsoft.com/office/drawing/2014/chart" uri="{C3380CC4-5D6E-409C-BE32-E72D297353CC}">
              <c16:uniqueId val="{00000003-4156-48DE-9A2F-F2B29941A926}"/>
            </c:ext>
          </c:extLst>
        </c:ser>
        <c:dLbls>
          <c:showLegendKey val="0"/>
          <c:showVal val="0"/>
          <c:showCatName val="0"/>
          <c:showSerName val="0"/>
          <c:showPercent val="0"/>
          <c:showBubbleSize val="0"/>
        </c:dLbls>
        <c:gapWidth val="219"/>
        <c:overlap val="100"/>
        <c:axId val="1"/>
        <c:axId val="2"/>
      </c:barChart>
      <c:lineChart>
        <c:grouping val="standard"/>
        <c:varyColors val="0"/>
        <c:dLbls>
          <c:showLegendKey val="0"/>
          <c:showVal val="0"/>
          <c:showCatName val="0"/>
          <c:showSerName val="0"/>
          <c:showPercent val="0"/>
          <c:showBubbleSize val="0"/>
        </c:dLbls>
        <c:marker val="1"/>
        <c:smooth val="0"/>
        <c:axId val="1"/>
        <c:axId val="2"/>
        <c:extLst>
          <c:ext xmlns:c15="http://schemas.microsoft.com/office/drawing/2012/chart" uri="{02D57815-91ED-43cb-92C2-25804820EDAC}">
            <c15:filteredLineSeries>
              <c15:ser>
                <c:idx val="4"/>
                <c:order val="4"/>
                <c:tx>
                  <c:strRef>
                    <c:extLst>
                      <c:ext uri="{02D57815-91ED-43cb-92C2-25804820EDAC}">
                        <c15:formulaRef>
                          <c15:sqref>Sheet1!$A$6</c15:sqref>
                        </c15:formulaRef>
                      </c:ext>
                    </c:extLst>
                    <c:strCache>
                      <c:ptCount val="1"/>
                      <c:pt idx="0">
                        <c:v>合計</c:v>
                      </c:pt>
                    </c:strCache>
                  </c:strRef>
                </c:tx>
                <c:spPr>
                  <a:ln w="28575" cap="rnd">
                    <a:solidFill>
                      <a:schemeClr val="accent5"/>
                    </a:solidFill>
                    <a:round/>
                  </a:ln>
                  <a:effectLst/>
                </c:spPr>
                <c:marker>
                  <c:symbol val="none"/>
                </c:marker>
                <c:cat>
                  <c:strRef>
                    <c:extLst>
                      <c:ext uri="{02D57815-91ED-43cb-92C2-25804820EDAC}">
                        <c15:formulaRef>
                          <c15:sqref>Sheet1!$B$1:$E$1</c15:sqref>
                        </c15:formulaRef>
                      </c:ext>
                    </c:extLst>
                    <c:strCache>
                      <c:ptCount val="4"/>
                      <c:pt idx="0">
                        <c:v>令和1年度</c:v>
                      </c:pt>
                      <c:pt idx="1">
                        <c:v>令和2年度</c:v>
                      </c:pt>
                      <c:pt idx="2">
                        <c:v>令和3年度</c:v>
                      </c:pt>
                      <c:pt idx="3">
                        <c:v>令和4年度</c:v>
                      </c:pt>
                    </c:strCache>
                  </c:strRef>
                </c:cat>
                <c:val>
                  <c:numRef>
                    <c:extLst>
                      <c:ext uri="{02D57815-91ED-43cb-92C2-25804820EDAC}">
                        <c15:formulaRef>
                          <c15:sqref>Sheet1!$B$6:$E$6</c15:sqref>
                        </c15:formulaRef>
                      </c:ext>
                    </c:extLst>
                    <c:numCache>
                      <c:formatCode>#,##0_);[Red]\(#,##0\)</c:formatCode>
                      <c:ptCount val="4"/>
                      <c:pt idx="0">
                        <c:v>77.7</c:v>
                      </c:pt>
                      <c:pt idx="1">
                        <c:v>77.7</c:v>
                      </c:pt>
                      <c:pt idx="2">
                        <c:v>77.7</c:v>
                      </c:pt>
                      <c:pt idx="3">
                        <c:v>77.7</c:v>
                      </c:pt>
                    </c:numCache>
                  </c:numRef>
                </c:val>
                <c:smooth val="0"/>
                <c:extLst>
                  <c:ext xmlns:c16="http://schemas.microsoft.com/office/drawing/2014/chart" uri="{C3380CC4-5D6E-409C-BE32-E72D297353CC}">
                    <c16:uniqueId val="{00000007-4156-48DE-9A2F-F2B29941A926}"/>
                  </c:ext>
                </c:extLst>
              </c15:ser>
            </c15:filteredLineSeries>
          </c:ext>
        </c:extLst>
      </c:lineChart>
      <c:lineChart>
        <c:grouping val="standard"/>
        <c:varyColors val="0"/>
        <c:ser>
          <c:idx val="5"/>
          <c:order val="5"/>
          <c:tx>
            <c:strRef>
              <c:f>Sheet1!$A$7</c:f>
              <c:strCache>
                <c:ptCount val="1"/>
                <c:pt idx="0">
                  <c:v>八街市_高齢化率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7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Sheet1!$B$7:$E$7</c:f>
              <c:numCache>
                <c:formatCode>0.0%</c:formatCode>
                <c:ptCount val="4"/>
                <c:pt idx="0">
                  <c:v>0.30147899</c:v>
                </c:pt>
                <c:pt idx="1">
                  <c:v>0.31077144000000001</c:v>
                </c:pt>
                <c:pt idx="2">
                  <c:v>0.32037769999999999</c:v>
                </c:pt>
                <c:pt idx="3">
                  <c:v>0.32462698000000001</c:v>
                </c:pt>
              </c:numCache>
            </c:numRef>
          </c:val>
          <c:smooth val="0"/>
          <c:extLst>
            <c:ext xmlns:c16="http://schemas.microsoft.com/office/drawing/2014/chart" uri="{C3380CC4-5D6E-409C-BE32-E72D297353CC}">
              <c16:uniqueId val="{00000004-4156-48DE-9A2F-F2B29941A926}"/>
            </c:ext>
          </c:extLst>
        </c:ser>
        <c:ser>
          <c:idx val="6"/>
          <c:order val="6"/>
          <c:tx>
            <c:strRef>
              <c:f>Sheet1!$A$8</c:f>
              <c:strCache>
                <c:ptCount val="1"/>
                <c:pt idx="0">
                  <c:v>国_高齢化率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Sheet1!$B$8:$E$8</c:f>
              <c:numCache>
                <c:formatCode>0.0%</c:formatCode>
                <c:ptCount val="4"/>
                <c:pt idx="0">
                  <c:v>0.27912035574752048</c:v>
                </c:pt>
                <c:pt idx="1">
                  <c:v>0.282410615470572</c:v>
                </c:pt>
                <c:pt idx="2">
                  <c:v>0.28531714123213137</c:v>
                </c:pt>
                <c:pt idx="3">
                  <c:v>0.28615723703596924</c:v>
                </c:pt>
              </c:numCache>
            </c:numRef>
          </c:val>
          <c:smooth val="0"/>
          <c:extLst>
            <c:ext xmlns:c16="http://schemas.microsoft.com/office/drawing/2014/chart" uri="{C3380CC4-5D6E-409C-BE32-E72D297353CC}">
              <c16:uniqueId val="{00000005-4156-48DE-9A2F-F2B29941A926}"/>
            </c:ext>
          </c:extLst>
        </c:ser>
        <c:ser>
          <c:idx val="7"/>
          <c:order val="7"/>
          <c:tx>
            <c:strRef>
              <c:f>Sheet1!$A$9</c:f>
              <c:strCache>
                <c:ptCount val="1"/>
                <c:pt idx="0">
                  <c:v>県_高齢化率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Sheet1!$B$9:$E$9</c:f>
              <c:numCache>
                <c:formatCode>0.0%</c:formatCode>
                <c:ptCount val="4"/>
                <c:pt idx="0">
                  <c:v>0.26941430798452853</c:v>
                </c:pt>
                <c:pt idx="1">
                  <c:v>0.27231204303976486</c:v>
                </c:pt>
                <c:pt idx="2">
                  <c:v>0.27483082773783352</c:v>
                </c:pt>
                <c:pt idx="3">
                  <c:v>0.27529672785188763</c:v>
                </c:pt>
              </c:numCache>
            </c:numRef>
          </c:val>
          <c:smooth val="0"/>
          <c:extLst>
            <c:ext xmlns:c16="http://schemas.microsoft.com/office/drawing/2014/chart" uri="{C3380CC4-5D6E-409C-BE32-E72D297353CC}">
              <c16:uniqueId val="{00000006-4156-48DE-9A2F-F2B29941A926}"/>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2.3517666449487272E-3"/>
              <c:y val="0.47530059293856186"/>
            </c:manualLayout>
          </c:layout>
          <c:overlay val="0"/>
          <c:spPr>
            <a:noFill/>
            <a:ln>
              <a:noFill/>
            </a:ln>
            <a:effectLst/>
          </c:spPr>
        </c:title>
        <c:numFmt formatCode="#,##0_);[Red]\(#,##0\)"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majorUnit val="0.1"/>
      </c:valAx>
      <c:spPr>
        <a:noFill/>
        <a:ln>
          <a:noFill/>
        </a:ln>
        <a:effectLst/>
      </c:spPr>
    </c:plotArea>
    <c:legend>
      <c:legendPos val="t"/>
      <c:layout>
        <c:manualLayout>
          <c:xMode val="edge"/>
          <c:yMode val="edge"/>
          <c:x val="1.3123236124176853E-2"/>
          <c:y val="2.4188671638782504E-2"/>
          <c:w val="0.96904985888993411"/>
          <c:h val="0.17407780689377142"/>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Sheet1!$A$3</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Sheet1!$B$1:$N$1</c:f>
              <c:strCache>
                <c:ptCount val="13"/>
                <c:pt idx="0">
                  <c:v>ＢＭＩ</c:v>
                </c:pt>
                <c:pt idx="1">
                  <c:v>腹囲</c:v>
                </c:pt>
                <c:pt idx="2">
                  <c:v>空腹時血糖</c:v>
                </c:pt>
                <c:pt idx="3">
                  <c:v>ＨｂＡ1ｃ</c:v>
                </c:pt>
                <c:pt idx="4">
                  <c:v>収縮期血圧</c:v>
                </c:pt>
                <c:pt idx="5">
                  <c:v>拡張期血圧</c:v>
                </c:pt>
                <c:pt idx="6">
                  <c:v>中性脂肪</c:v>
                </c:pt>
                <c:pt idx="7">
                  <c:v>ＨＤＬ-C</c:v>
                </c:pt>
                <c:pt idx="8">
                  <c:v>ＬＤＬ-C</c:v>
                </c:pt>
                <c:pt idx="9">
                  <c:v>ALT</c:v>
                </c:pt>
                <c:pt idx="10">
                  <c:v>尿酸</c:v>
                </c:pt>
                <c:pt idx="11">
                  <c:v>血清クレアチニン</c:v>
                </c:pt>
                <c:pt idx="12">
                  <c:v>ｅＧＦＲ</c:v>
                </c:pt>
              </c:strCache>
            </c:strRef>
          </c:cat>
          <c:val>
            <c:numRef>
              <c:f>Sheet1!$B$3:$N$3</c:f>
              <c:numCache>
                <c:formatCode>0.0%</c:formatCode>
                <c:ptCount val="13"/>
                <c:pt idx="0">
                  <c:v>0.29799999999999999</c:v>
                </c:pt>
                <c:pt idx="1">
                  <c:v>0.372</c:v>
                </c:pt>
                <c:pt idx="2">
                  <c:v>7.8E-2</c:v>
                </c:pt>
                <c:pt idx="3">
                  <c:v>0.51400000000000001</c:v>
                </c:pt>
                <c:pt idx="4">
                  <c:v>0.27600000000000002</c:v>
                </c:pt>
                <c:pt idx="5">
                  <c:v>8.6999999999999994E-2</c:v>
                </c:pt>
                <c:pt idx="6">
                  <c:v>0.28899999999999998</c:v>
                </c:pt>
                <c:pt idx="7">
                  <c:v>3.7999999999999999E-2</c:v>
                </c:pt>
                <c:pt idx="8">
                  <c:v>0.52700000000000002</c:v>
                </c:pt>
                <c:pt idx="9">
                  <c:v>0.14000000000000001</c:v>
                </c:pt>
                <c:pt idx="10">
                  <c:v>1E-3</c:v>
                </c:pt>
                <c:pt idx="11">
                  <c:v>8.9999999999999993E-3</c:v>
                </c:pt>
                <c:pt idx="12">
                  <c:v>0.17799999999999999</c:v>
                </c:pt>
              </c:numCache>
            </c:numRef>
          </c:val>
          <c:extLst>
            <c:ext xmlns:c16="http://schemas.microsoft.com/office/drawing/2014/chart" uri="{C3380CC4-5D6E-409C-BE32-E72D297353CC}">
              <c16:uniqueId val="{00000000-17E9-4EBA-81D0-3791A65504C9}"/>
            </c:ext>
          </c:extLst>
        </c:ser>
        <c:ser>
          <c:idx val="2"/>
          <c:order val="2"/>
          <c:tx>
            <c:strRef>
              <c:f>Sheet1!$A$4</c:f>
              <c:strCache>
                <c:ptCount val="1"/>
                <c:pt idx="0">
                  <c:v>国</c:v>
                </c:pt>
              </c:strCache>
            </c:strRef>
          </c:tx>
          <c:spPr>
            <a:solidFill>
              <a:srgbClr val="5575FF"/>
            </a:solidFill>
            <a:ln>
              <a:noFill/>
            </a:ln>
            <a:effectLst/>
          </c:spPr>
          <c:invertIfNegative val="0"/>
          <c:cat>
            <c:strRef>
              <c:f>Sheet1!$B$1:$N$1</c:f>
              <c:strCache>
                <c:ptCount val="13"/>
                <c:pt idx="0">
                  <c:v>ＢＭＩ</c:v>
                </c:pt>
                <c:pt idx="1">
                  <c:v>腹囲</c:v>
                </c:pt>
                <c:pt idx="2">
                  <c:v>空腹時血糖</c:v>
                </c:pt>
                <c:pt idx="3">
                  <c:v>ＨｂＡ1ｃ</c:v>
                </c:pt>
                <c:pt idx="4">
                  <c:v>収縮期血圧</c:v>
                </c:pt>
                <c:pt idx="5">
                  <c:v>拡張期血圧</c:v>
                </c:pt>
                <c:pt idx="6">
                  <c:v>中性脂肪</c:v>
                </c:pt>
                <c:pt idx="7">
                  <c:v>ＨＤＬ-C</c:v>
                </c:pt>
                <c:pt idx="8">
                  <c:v>ＬＤＬ-C</c:v>
                </c:pt>
                <c:pt idx="9">
                  <c:v>ALT</c:v>
                </c:pt>
                <c:pt idx="10">
                  <c:v>尿酸</c:v>
                </c:pt>
                <c:pt idx="11">
                  <c:v>血清クレアチニン</c:v>
                </c:pt>
                <c:pt idx="12">
                  <c:v>ｅＧＦＲ</c:v>
                </c:pt>
              </c:strCache>
            </c:strRef>
          </c:cat>
          <c:val>
            <c:numRef>
              <c:f>Sheet1!$B$4:$N$4</c:f>
              <c:numCache>
                <c:formatCode>0.0%</c:formatCode>
                <c:ptCount val="13"/>
                <c:pt idx="0">
                  <c:v>0.26900000000000002</c:v>
                </c:pt>
                <c:pt idx="1">
                  <c:v>0.34899999999999998</c:v>
                </c:pt>
                <c:pt idx="2">
                  <c:v>0.249</c:v>
                </c:pt>
                <c:pt idx="3">
                  <c:v>0.58199999999999996</c:v>
                </c:pt>
                <c:pt idx="4">
                  <c:v>0.48299999999999998</c:v>
                </c:pt>
                <c:pt idx="5">
                  <c:v>0.20699999999999999</c:v>
                </c:pt>
                <c:pt idx="6">
                  <c:v>0.21099999999999999</c:v>
                </c:pt>
                <c:pt idx="7">
                  <c:v>3.7999999999999999E-2</c:v>
                </c:pt>
                <c:pt idx="8">
                  <c:v>0.501</c:v>
                </c:pt>
                <c:pt idx="9">
                  <c:v>0.14000000000000001</c:v>
                </c:pt>
                <c:pt idx="10">
                  <c:v>6.6000000000000003E-2</c:v>
                </c:pt>
                <c:pt idx="11">
                  <c:v>1.2999999999999999E-2</c:v>
                </c:pt>
                <c:pt idx="12">
                  <c:v>0.218</c:v>
                </c:pt>
              </c:numCache>
            </c:numRef>
          </c:val>
          <c:extLst>
            <c:ext xmlns:c16="http://schemas.microsoft.com/office/drawing/2014/chart" uri="{C3380CC4-5D6E-409C-BE32-E72D297353CC}">
              <c16:uniqueId val="{00000001-17E9-4EBA-81D0-3791A65504C9}"/>
            </c:ext>
          </c:extLst>
        </c:ser>
        <c:ser>
          <c:idx val="3"/>
          <c:order val="3"/>
          <c:tx>
            <c:strRef>
              <c:f>Sheet1!$A$5</c:f>
              <c:strCache>
                <c:ptCount val="1"/>
                <c:pt idx="0">
                  <c:v>県</c:v>
                </c:pt>
              </c:strCache>
            </c:strRef>
          </c:tx>
          <c:spPr>
            <a:solidFill>
              <a:srgbClr val="99ACFF"/>
            </a:solidFill>
            <a:ln>
              <a:noFill/>
            </a:ln>
            <a:effectLst/>
          </c:spPr>
          <c:invertIfNegative val="0"/>
          <c:cat>
            <c:strRef>
              <c:f>Sheet1!$B$1:$N$1</c:f>
              <c:strCache>
                <c:ptCount val="13"/>
                <c:pt idx="0">
                  <c:v>ＢＭＩ</c:v>
                </c:pt>
                <c:pt idx="1">
                  <c:v>腹囲</c:v>
                </c:pt>
                <c:pt idx="2">
                  <c:v>空腹時血糖</c:v>
                </c:pt>
                <c:pt idx="3">
                  <c:v>ＨｂＡ1ｃ</c:v>
                </c:pt>
                <c:pt idx="4">
                  <c:v>収縮期血圧</c:v>
                </c:pt>
                <c:pt idx="5">
                  <c:v>拡張期血圧</c:v>
                </c:pt>
                <c:pt idx="6">
                  <c:v>中性脂肪</c:v>
                </c:pt>
                <c:pt idx="7">
                  <c:v>ＨＤＬ-C</c:v>
                </c:pt>
                <c:pt idx="8">
                  <c:v>ＬＤＬ-C</c:v>
                </c:pt>
                <c:pt idx="9">
                  <c:v>ALT</c:v>
                </c:pt>
                <c:pt idx="10">
                  <c:v>尿酸</c:v>
                </c:pt>
                <c:pt idx="11">
                  <c:v>血清クレアチニン</c:v>
                </c:pt>
                <c:pt idx="12">
                  <c:v>ｅＧＦＲ</c:v>
                </c:pt>
              </c:strCache>
            </c:strRef>
          </c:cat>
          <c:val>
            <c:numRef>
              <c:f>Sheet1!$B$5:$N$5</c:f>
              <c:numCache>
                <c:formatCode>0.0%</c:formatCode>
                <c:ptCount val="13"/>
                <c:pt idx="0">
                  <c:v>0.27100000000000002</c:v>
                </c:pt>
                <c:pt idx="1">
                  <c:v>0.35099999999999998</c:v>
                </c:pt>
                <c:pt idx="2">
                  <c:v>0.22</c:v>
                </c:pt>
                <c:pt idx="3">
                  <c:v>0.58899999999999997</c:v>
                </c:pt>
                <c:pt idx="4">
                  <c:v>0.47899999999999998</c:v>
                </c:pt>
                <c:pt idx="5">
                  <c:v>0.20100000000000001</c:v>
                </c:pt>
                <c:pt idx="6">
                  <c:v>0.20699999999999999</c:v>
                </c:pt>
                <c:pt idx="7">
                  <c:v>3.5000000000000003E-2</c:v>
                </c:pt>
                <c:pt idx="8">
                  <c:v>0.51500000000000001</c:v>
                </c:pt>
                <c:pt idx="9">
                  <c:v>0.13900000000000001</c:v>
                </c:pt>
                <c:pt idx="10">
                  <c:v>4.8000000000000001E-2</c:v>
                </c:pt>
                <c:pt idx="11">
                  <c:v>1.2E-2</c:v>
                </c:pt>
                <c:pt idx="12">
                  <c:v>0.20200000000000001</c:v>
                </c:pt>
              </c:numCache>
            </c:numRef>
          </c:val>
          <c:extLst>
            <c:ext xmlns:c16="http://schemas.microsoft.com/office/drawing/2014/chart" uri="{C3380CC4-5D6E-409C-BE32-E72D297353CC}">
              <c16:uniqueId val="{00000002-17E9-4EBA-81D0-3791A65504C9}"/>
            </c:ext>
          </c:extLst>
        </c:ser>
        <c:dLbls>
          <c:showLegendKey val="0"/>
          <c:showVal val="0"/>
          <c:showCatName val="0"/>
          <c:showSerName val="0"/>
          <c:showPercent val="0"/>
          <c:showBubbleSize val="0"/>
        </c:dLbls>
        <c:gapWidth val="219"/>
        <c:axId val="1"/>
        <c:axId val="2"/>
        <c:extLst>
          <c:ext xmlns:c15="http://schemas.microsoft.com/office/drawing/2012/chart" uri="{02D57815-91ED-43cb-92C2-25804820EDAC}">
            <c15:filteredBarSeries>
              <c15:ser>
                <c:idx val="0"/>
                <c:order val="0"/>
                <c:tx>
                  <c:strRef>
                    <c:extLst>
                      <c:ext uri="{02D57815-91ED-43cb-92C2-25804820EDAC}">
                        <c15:formulaRef>
                          <c15:sqref>Sheet1!$A$2</c15:sqref>
                        </c15:formulaRef>
                      </c:ext>
                    </c:extLst>
                    <c:strCache>
                      <c:ptCount val="1"/>
                      <c:pt idx="0">
                        <c:v>{{市区町村名}}_人数</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Sheet1!$B$1:$N$1</c15:sqref>
                        </c15:formulaRef>
                      </c:ext>
                    </c:extLst>
                    <c:strCache>
                      <c:ptCount val="13"/>
                      <c:pt idx="0">
                        <c:v>ＢＭＩ</c:v>
                      </c:pt>
                      <c:pt idx="1">
                        <c:v>腹囲</c:v>
                      </c:pt>
                      <c:pt idx="2">
                        <c:v>空腹時血糖</c:v>
                      </c:pt>
                      <c:pt idx="3">
                        <c:v>ＨｂＡ1ｃ</c:v>
                      </c:pt>
                      <c:pt idx="4">
                        <c:v>収縮期血圧</c:v>
                      </c:pt>
                      <c:pt idx="5">
                        <c:v>拡張期血圧</c:v>
                      </c:pt>
                      <c:pt idx="6">
                        <c:v>中性脂肪</c:v>
                      </c:pt>
                      <c:pt idx="7">
                        <c:v>ＨＤＬ-C</c:v>
                      </c:pt>
                      <c:pt idx="8">
                        <c:v>ＬＤＬ-C</c:v>
                      </c:pt>
                      <c:pt idx="9">
                        <c:v>ALT</c:v>
                      </c:pt>
                      <c:pt idx="10">
                        <c:v>尿酸</c:v>
                      </c:pt>
                      <c:pt idx="11">
                        <c:v>血清クレアチニン</c:v>
                      </c:pt>
                      <c:pt idx="12">
                        <c:v>ｅＧＦＲ</c:v>
                      </c:pt>
                    </c:strCache>
                  </c:strRef>
                </c:cat>
                <c:val>
                  <c:numRef>
                    <c:extLst>
                      <c:ext uri="{02D57815-91ED-43cb-92C2-25804820EDAC}">
                        <c15:formulaRef>
                          <c15:sqref>Sheet1!$B$2:$N$2</c15:sqref>
                        </c15:formulaRef>
                      </c:ext>
                    </c:extLst>
                    <c:numCache>
                      <c:formatCode>#,##0_ </c:formatCode>
                      <c:ptCount val="13"/>
                      <c:pt idx="0">
                        <c:v>77.7</c:v>
                      </c:pt>
                      <c:pt idx="1">
                        <c:v>77.7</c:v>
                      </c:pt>
                      <c:pt idx="2">
                        <c:v>77.7</c:v>
                      </c:pt>
                      <c:pt idx="3">
                        <c:v>77.7</c:v>
                      </c:pt>
                      <c:pt idx="4">
                        <c:v>77.7</c:v>
                      </c:pt>
                      <c:pt idx="5">
                        <c:v>77.7</c:v>
                      </c:pt>
                      <c:pt idx="6">
                        <c:v>77.7</c:v>
                      </c:pt>
                      <c:pt idx="7">
                        <c:v>77.7</c:v>
                      </c:pt>
                      <c:pt idx="8">
                        <c:v>77.7</c:v>
                      </c:pt>
                      <c:pt idx="9">
                        <c:v>77.7</c:v>
                      </c:pt>
                      <c:pt idx="10">
                        <c:v>77.7</c:v>
                      </c:pt>
                      <c:pt idx="11">
                        <c:v>77.7</c:v>
                      </c:pt>
                      <c:pt idx="12">
                        <c:v>77.7</c:v>
                      </c:pt>
                    </c:numCache>
                  </c:numRef>
                </c:val>
                <c:extLst>
                  <c:ext xmlns:c16="http://schemas.microsoft.com/office/drawing/2014/chart" uri="{C3380CC4-5D6E-409C-BE32-E72D297353CC}">
                    <c16:uniqueId val="{00000003-17E9-4EBA-81D0-3791A65504C9}"/>
                  </c:ext>
                </c:extLst>
              </c15:ser>
            </c15:filteredBarSeries>
          </c:ext>
        </c:extLst>
      </c:bar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numFmt formatCode="0.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4">
    <c:autoUpdate val="0"/>
  </c:externalData>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8172936716245"/>
          <c:y val="0.14035197603888033"/>
          <c:w val="0.78984580052493425"/>
          <c:h val="0.62047950495422521"/>
        </c:manualLayout>
      </c:layout>
      <c:barChart>
        <c:barDir val="col"/>
        <c:grouping val="clustered"/>
        <c:varyColors val="0"/>
        <c:ser>
          <c:idx val="0"/>
          <c:order val="0"/>
          <c:tx>
            <c:strRef>
              <c:f>Sheet1!$A$2</c:f>
              <c:strCache>
                <c:ptCount val="1"/>
                <c:pt idx="0">
                  <c:v>構成割合（40-64歳）</c:v>
                </c:pt>
              </c:strCache>
            </c:strRef>
          </c:tx>
          <c:spPr>
            <a:solidFill>
              <a:srgbClr val="00B0F0"/>
            </a:solidFill>
            <a:ln>
              <a:noFill/>
            </a:ln>
            <a:effectLst/>
          </c:spPr>
          <c:invertIfNegative val="0"/>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Sheet1!$B$2:$M$2</c:f>
              <c:numCache>
                <c:formatCode>0.0%</c:formatCode>
                <c:ptCount val="12"/>
                <c:pt idx="0">
                  <c:v>0.41846758349705299</c:v>
                </c:pt>
                <c:pt idx="1">
                  <c:v>0.51866404715127701</c:v>
                </c:pt>
                <c:pt idx="2">
                  <c:v>6.2868369351669937E-2</c:v>
                </c:pt>
                <c:pt idx="3">
                  <c:v>0.3909626719056975</c:v>
                </c:pt>
                <c:pt idx="4">
                  <c:v>0.22396856581532412</c:v>
                </c:pt>
                <c:pt idx="5">
                  <c:v>0.14145383104125736</c:v>
                </c:pt>
                <c:pt idx="6">
                  <c:v>0.3909626719056975</c:v>
                </c:pt>
                <c:pt idx="7">
                  <c:v>5.50098231827112E-2</c:v>
                </c:pt>
                <c:pt idx="8">
                  <c:v>0.5245579567779961</c:v>
                </c:pt>
                <c:pt idx="9">
                  <c:v>0.25736738703339884</c:v>
                </c:pt>
                <c:pt idx="10">
                  <c:v>5.893909626719057E-3</c:v>
                </c:pt>
                <c:pt idx="11">
                  <c:v>1.37524557956778E-2</c:v>
                </c:pt>
              </c:numCache>
            </c:numRef>
          </c:val>
          <c:extLst>
            <c:ext xmlns:c16="http://schemas.microsoft.com/office/drawing/2014/chart" uri="{C3380CC4-5D6E-409C-BE32-E72D297353CC}">
              <c16:uniqueId val="{00000000-B31B-4586-A089-9496F6283130}"/>
            </c:ext>
          </c:extLst>
        </c:ser>
        <c:ser>
          <c:idx val="2"/>
          <c:order val="2"/>
          <c:tx>
            <c:strRef>
              <c:f>Sheet1!$A$4</c:f>
              <c:strCache>
                <c:ptCount val="1"/>
                <c:pt idx="0">
                  <c:v>構成割合（65-74歳）</c:v>
                </c:pt>
              </c:strCache>
            </c:strRef>
          </c:tx>
          <c:spPr>
            <a:solidFill>
              <a:srgbClr val="5575FF"/>
            </a:solidFill>
            <a:ln>
              <a:noFill/>
            </a:ln>
            <a:effectLst/>
          </c:spPr>
          <c:invertIfNegative val="0"/>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Sheet1!$B$4:$M$4</c:f>
              <c:numCache>
                <c:formatCode>0.0%</c:formatCode>
                <c:ptCount val="12"/>
                <c:pt idx="0">
                  <c:v>0.33762886597938147</c:v>
                </c:pt>
                <c:pt idx="1">
                  <c:v>0.58075601374570451</c:v>
                </c:pt>
                <c:pt idx="2">
                  <c:v>0.11254295532646048</c:v>
                </c:pt>
                <c:pt idx="3">
                  <c:v>0.57817869415807566</c:v>
                </c:pt>
                <c:pt idx="4">
                  <c:v>0.31099656357388322</c:v>
                </c:pt>
                <c:pt idx="5">
                  <c:v>9.192439862542956E-2</c:v>
                </c:pt>
                <c:pt idx="6">
                  <c:v>0.35051546391752569</c:v>
                </c:pt>
                <c:pt idx="7">
                  <c:v>7.9896907216494839E-2</c:v>
                </c:pt>
                <c:pt idx="8">
                  <c:v>0.45189003436426117</c:v>
                </c:pt>
                <c:pt idx="9">
                  <c:v>0.16752577319587628</c:v>
                </c:pt>
                <c:pt idx="10">
                  <c:v>0</c:v>
                </c:pt>
                <c:pt idx="11">
                  <c:v>1.804123711340206E-2</c:v>
                </c:pt>
              </c:numCache>
            </c:numRef>
          </c:val>
          <c:extLst>
            <c:ext xmlns:c16="http://schemas.microsoft.com/office/drawing/2014/chart" uri="{C3380CC4-5D6E-409C-BE32-E72D297353CC}">
              <c16:uniqueId val="{00000001-B31B-4586-A089-9496F6283130}"/>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Sheet1!$A$3</c:f>
              <c:strCache>
                <c:ptCount val="1"/>
                <c:pt idx="0">
                  <c:v>標準化比（40-64歳）</c:v>
                </c:pt>
              </c:strCache>
            </c:strRef>
          </c:tx>
          <c:spPr>
            <a:ln w="25400" cap="rnd">
              <a:solidFill>
                <a:srgbClr val="00B0F0"/>
              </a:solidFill>
              <a:round/>
            </a:ln>
            <a:effectLst/>
          </c:spPr>
          <c:marker>
            <c:symbol val="circle"/>
            <c:size val="5"/>
            <c:spPr>
              <a:solidFill>
                <a:srgbClr val="00B0F0"/>
              </a:solidFill>
              <a:ln w="9525">
                <a:solidFill>
                  <a:srgbClr val="00B0F0"/>
                </a:solidFill>
              </a:ln>
              <a:effectLst/>
            </c:spPr>
          </c:marker>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Sheet1!$B$3:$M$3</c:f>
              <c:numCache>
                <c:formatCode>#,##0.0_ </c:formatCode>
                <c:ptCount val="12"/>
                <c:pt idx="0">
                  <c:v>107.48226156518135</c:v>
                </c:pt>
                <c:pt idx="1">
                  <c:v>95.321478376241174</c:v>
                </c:pt>
                <c:pt idx="2">
                  <c:v>25.355917808485067</c:v>
                </c:pt>
                <c:pt idx="3">
                  <c:v>83.940771357187259</c:v>
                </c:pt>
                <c:pt idx="4">
                  <c:v>57.011703190975581</c:v>
                </c:pt>
                <c:pt idx="5">
                  <c:v>47.347523960500311</c:v>
                </c:pt>
                <c:pt idx="6">
                  <c:v>123.22265321213968</c:v>
                </c:pt>
                <c:pt idx="7">
                  <c:v>70.491705714772053</c:v>
                </c:pt>
                <c:pt idx="8">
                  <c:v>102.15206756863805</c:v>
                </c:pt>
                <c:pt idx="9">
                  <c:v>87.340408593917417</c:v>
                </c:pt>
                <c:pt idx="10">
                  <c:v>3.6531711886640172</c:v>
                </c:pt>
                <c:pt idx="11">
                  <c:v>111.63850994665985</c:v>
                </c:pt>
              </c:numCache>
            </c:numRef>
          </c:val>
          <c:smooth val="0"/>
          <c:extLst>
            <c:ext xmlns:c16="http://schemas.microsoft.com/office/drawing/2014/chart" uri="{C3380CC4-5D6E-409C-BE32-E72D297353CC}">
              <c16:uniqueId val="{00000002-B31B-4586-A089-9496F6283130}"/>
            </c:ext>
          </c:extLst>
        </c:ser>
        <c:ser>
          <c:idx val="3"/>
          <c:order val="3"/>
          <c:tx>
            <c:strRef>
              <c:f>Sheet1!$A$5</c:f>
              <c:strCache>
                <c:ptCount val="1"/>
                <c:pt idx="0">
                  <c:v>標準化比（65-74歳）</c:v>
                </c:pt>
              </c:strCache>
            </c:strRef>
          </c:tx>
          <c:spPr>
            <a:ln w="25400" cap="rnd">
              <a:solidFill>
                <a:srgbClr val="5575FF"/>
              </a:solidFill>
              <a:round/>
            </a:ln>
            <a:effectLst/>
          </c:spPr>
          <c:marker>
            <c:symbol val="circle"/>
            <c:size val="5"/>
            <c:spPr>
              <a:solidFill>
                <a:srgbClr val="5575FF"/>
              </a:solidFill>
              <a:ln w="9525">
                <a:solidFill>
                  <a:srgbClr val="5575FF"/>
                </a:solidFill>
              </a:ln>
              <a:effectLst/>
            </c:spPr>
          </c:marker>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Sheet1!$B$5:$M$5</c:f>
              <c:numCache>
                <c:formatCode>#,##0.0_ </c:formatCode>
                <c:ptCount val="12"/>
                <c:pt idx="0">
                  <c:v>105.69789239967811</c:v>
                </c:pt>
                <c:pt idx="1">
                  <c:v>103.10289848724896</c:v>
                </c:pt>
                <c:pt idx="2">
                  <c:v>32.828617151142815</c:v>
                </c:pt>
                <c:pt idx="3">
                  <c:v>90.25514156211608</c:v>
                </c:pt>
                <c:pt idx="4">
                  <c:v>56.144270950465156</c:v>
                </c:pt>
                <c:pt idx="5">
                  <c:v>37.941007969481873</c:v>
                </c:pt>
                <c:pt idx="6">
                  <c:v>131.67992182274239</c:v>
                </c:pt>
                <c:pt idx="7">
                  <c:v>114.30826963704487</c:v>
                </c:pt>
                <c:pt idx="8">
                  <c:v>106.7295931683977</c:v>
                </c:pt>
                <c:pt idx="9">
                  <c:v>97.208132782782357</c:v>
                </c:pt>
                <c:pt idx="10">
                  <c:v>0</c:v>
                </c:pt>
                <c:pt idx="11">
                  <c:v>55.615251046002591</c:v>
                </c:pt>
              </c:numCache>
            </c:numRef>
          </c:val>
          <c:smooth val="0"/>
          <c:extLst>
            <c:ext xmlns:c16="http://schemas.microsoft.com/office/drawing/2014/chart" uri="{C3380CC4-5D6E-409C-BE32-E72D297353CC}">
              <c16:uniqueId val="{00000003-B31B-4586-A089-9496F6283130}"/>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layout>
            <c:manualLayout>
              <c:xMode val="edge"/>
              <c:yMode val="edge"/>
              <c:x val="9.2592499061414629E-3"/>
              <c:y val="0.44165975963530874"/>
            </c:manualLayout>
          </c:layout>
          <c:overlay val="0"/>
          <c:spPr>
            <a:noFill/>
            <a:ln>
              <a:noFill/>
            </a:ln>
            <a:effectLst/>
          </c:spPr>
        </c:title>
        <c:numFmt formatCode="0.0%"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layout>
            <c:manualLayout>
              <c:xMode val="edge"/>
              <c:yMode val="edge"/>
              <c:x val="0.96431708865128229"/>
              <c:y val="0.3355371472704668"/>
            </c:manualLayout>
          </c:layout>
          <c:overlay val="0"/>
          <c:spPr>
            <a:noFill/>
            <a:ln>
              <a:noFill/>
            </a:ln>
            <a:effectLst/>
          </c:spPr>
        </c:title>
        <c:numFmt formatCode="#,##0" sourceLinked="0"/>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layout>
        <c:manualLayout>
          <c:xMode val="edge"/>
          <c:yMode val="edge"/>
          <c:x val="2.046301300214317E-2"/>
          <c:y val="3.5771201446709117E-2"/>
          <c:w val="0.96833333333333316"/>
          <c:h val="6.087301587301587E-2"/>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8172936716245"/>
          <c:y val="0.14633283728289945"/>
          <c:w val="0.78984580052493425"/>
          <c:h val="0.61449864371020613"/>
        </c:manualLayout>
      </c:layout>
      <c:barChart>
        <c:barDir val="col"/>
        <c:grouping val="clustered"/>
        <c:varyColors val="0"/>
        <c:ser>
          <c:idx val="0"/>
          <c:order val="0"/>
          <c:tx>
            <c:strRef>
              <c:f>Sheet1!$A$2</c:f>
              <c:strCache>
                <c:ptCount val="1"/>
                <c:pt idx="0">
                  <c:v>構成割合（40-64歳）</c:v>
                </c:pt>
              </c:strCache>
            </c:strRef>
          </c:tx>
          <c:spPr>
            <a:solidFill>
              <a:srgbClr val="FFC000"/>
            </a:solidFill>
            <a:ln>
              <a:noFill/>
            </a:ln>
            <a:effectLst/>
          </c:spPr>
          <c:invertIfNegative val="0"/>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Sheet1!$B$2:$M$2</c:f>
              <c:numCache>
                <c:formatCode>0.0%</c:formatCode>
                <c:ptCount val="12"/>
                <c:pt idx="0">
                  <c:v>0.28459119496855345</c:v>
                </c:pt>
                <c:pt idx="1">
                  <c:v>0.22484276729559749</c:v>
                </c:pt>
                <c:pt idx="2">
                  <c:v>4.8742138364779877E-2</c:v>
                </c:pt>
                <c:pt idx="3">
                  <c:v>0.41037735849056606</c:v>
                </c:pt>
                <c:pt idx="4">
                  <c:v>0.18081761006289307</c:v>
                </c:pt>
                <c:pt idx="5">
                  <c:v>7.8616352201257858E-2</c:v>
                </c:pt>
                <c:pt idx="6">
                  <c:v>0.2279874213836478</c:v>
                </c:pt>
                <c:pt idx="7">
                  <c:v>9.433962264150943E-3</c:v>
                </c:pt>
                <c:pt idx="8">
                  <c:v>0.55660377358490565</c:v>
                </c:pt>
                <c:pt idx="9">
                  <c:v>0.10377358490566038</c:v>
                </c:pt>
                <c:pt idx="10">
                  <c:v>0</c:v>
                </c:pt>
                <c:pt idx="11">
                  <c:v>1.5723270440251573E-3</c:v>
                </c:pt>
              </c:numCache>
            </c:numRef>
          </c:val>
          <c:extLst>
            <c:ext xmlns:c16="http://schemas.microsoft.com/office/drawing/2014/chart" uri="{C3380CC4-5D6E-409C-BE32-E72D297353CC}">
              <c16:uniqueId val="{00000000-9094-472C-8E81-59B3B81953ED}"/>
            </c:ext>
          </c:extLst>
        </c:ser>
        <c:ser>
          <c:idx val="2"/>
          <c:order val="2"/>
          <c:tx>
            <c:strRef>
              <c:f>Sheet1!$A$4</c:f>
              <c:strCache>
                <c:ptCount val="1"/>
                <c:pt idx="0">
                  <c:v>構成割合（65-74歳）</c:v>
                </c:pt>
              </c:strCache>
            </c:strRef>
          </c:tx>
          <c:spPr>
            <a:solidFill>
              <a:srgbClr val="FFAA99"/>
            </a:solidFill>
            <a:ln>
              <a:noFill/>
            </a:ln>
            <a:effectLst/>
          </c:spPr>
          <c:invertIfNegative val="0"/>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Sheet1!$B$4:$M$4</c:f>
              <c:numCache>
                <c:formatCode>0.0%</c:formatCode>
                <c:ptCount val="12"/>
                <c:pt idx="0">
                  <c:v>0.22119815668202769</c:v>
                </c:pt>
                <c:pt idx="1">
                  <c:v>0.20046082949308755</c:v>
                </c:pt>
                <c:pt idx="2">
                  <c:v>6.6052227342549924E-2</c:v>
                </c:pt>
                <c:pt idx="3">
                  <c:v>0.5552995391705069</c:v>
                </c:pt>
                <c:pt idx="4">
                  <c:v>0.31029185867895548</c:v>
                </c:pt>
                <c:pt idx="5">
                  <c:v>6.6052227342549924E-2</c:v>
                </c:pt>
                <c:pt idx="6">
                  <c:v>0.2250384024577573</c:v>
                </c:pt>
                <c:pt idx="7">
                  <c:v>9.2165898617511521E-3</c:v>
                </c:pt>
                <c:pt idx="8">
                  <c:v>0.58064516129032251</c:v>
                </c:pt>
                <c:pt idx="9">
                  <c:v>8.755760368663594E-2</c:v>
                </c:pt>
                <c:pt idx="10">
                  <c:v>0</c:v>
                </c:pt>
                <c:pt idx="11">
                  <c:v>3.0721966205837174E-3</c:v>
                </c:pt>
              </c:numCache>
            </c:numRef>
          </c:val>
          <c:extLst>
            <c:ext xmlns:c16="http://schemas.microsoft.com/office/drawing/2014/chart" uri="{C3380CC4-5D6E-409C-BE32-E72D297353CC}">
              <c16:uniqueId val="{00000001-9094-472C-8E81-59B3B81953ED}"/>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Sheet1!$A$3</c:f>
              <c:strCache>
                <c:ptCount val="1"/>
                <c:pt idx="0">
                  <c:v>標準化比（40-64歳）</c:v>
                </c:pt>
              </c:strCache>
            </c:strRef>
          </c:tx>
          <c:spPr>
            <a:ln w="25400" cap="rnd">
              <a:solidFill>
                <a:srgbClr val="FFC000"/>
              </a:solidFill>
              <a:round/>
            </a:ln>
            <a:effectLst/>
          </c:spPr>
          <c:marker>
            <c:symbol val="circle"/>
            <c:size val="5"/>
            <c:spPr>
              <a:solidFill>
                <a:srgbClr val="FFC000"/>
              </a:solidFill>
              <a:ln w="9525">
                <a:solidFill>
                  <a:srgbClr val="FFC000"/>
                </a:solidFill>
              </a:ln>
              <a:effectLst/>
            </c:spPr>
          </c:marker>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Sheet1!$B$3:$M$3</c:f>
              <c:numCache>
                <c:formatCode>#,##0.0_ </c:formatCode>
                <c:ptCount val="12"/>
                <c:pt idx="0">
                  <c:v>134.9272810815728</c:v>
                </c:pt>
                <c:pt idx="1">
                  <c:v>134.38467590089766</c:v>
                </c:pt>
                <c:pt idx="2">
                  <c:v>35.420262902546803</c:v>
                </c:pt>
                <c:pt idx="3">
                  <c:v>94.185510904435219</c:v>
                </c:pt>
                <c:pt idx="4">
                  <c:v>61.616653329402823</c:v>
                </c:pt>
                <c:pt idx="5">
                  <c:v>48.481108673977687</c:v>
                </c:pt>
                <c:pt idx="6">
                  <c:v>166.13982945268435</c:v>
                </c:pt>
                <c:pt idx="7">
                  <c:v>79.812312735351981</c:v>
                </c:pt>
                <c:pt idx="8">
                  <c:v>103.07682312019008</c:v>
                </c:pt>
                <c:pt idx="9">
                  <c:v>102.92554931519902</c:v>
                </c:pt>
                <c:pt idx="10">
                  <c:v>0</c:v>
                </c:pt>
                <c:pt idx="11">
                  <c:v>94.646004611946395</c:v>
                </c:pt>
              </c:numCache>
            </c:numRef>
          </c:val>
          <c:smooth val="0"/>
          <c:extLst>
            <c:ext xmlns:c16="http://schemas.microsoft.com/office/drawing/2014/chart" uri="{C3380CC4-5D6E-409C-BE32-E72D297353CC}">
              <c16:uniqueId val="{00000002-9094-472C-8E81-59B3B81953ED}"/>
            </c:ext>
          </c:extLst>
        </c:ser>
        <c:ser>
          <c:idx val="3"/>
          <c:order val="3"/>
          <c:tx>
            <c:strRef>
              <c:f>Sheet1!$A$5</c:f>
              <c:strCache>
                <c:ptCount val="1"/>
                <c:pt idx="0">
                  <c:v>標準化比（65-74歳）</c:v>
                </c:pt>
              </c:strCache>
            </c:strRef>
          </c:tx>
          <c:spPr>
            <a:ln w="25400" cap="rnd">
              <a:solidFill>
                <a:srgbClr val="FFAA99"/>
              </a:solidFill>
              <a:round/>
            </a:ln>
            <a:effectLst/>
          </c:spPr>
          <c:marker>
            <c:symbol val="circle"/>
            <c:size val="5"/>
            <c:spPr>
              <a:solidFill>
                <a:srgbClr val="FFAA99"/>
              </a:solidFill>
              <a:ln w="9525">
                <a:solidFill>
                  <a:srgbClr val="FFAA99"/>
                </a:solidFill>
              </a:ln>
              <a:effectLst/>
            </c:spPr>
          </c:marker>
          <c:cat>
            <c:strRef>
              <c:f>Sheet1!$B$1:$M$1</c:f>
              <c:strCache>
                <c:ptCount val="12"/>
                <c:pt idx="0">
                  <c:v>BMI</c:v>
                </c:pt>
                <c:pt idx="1">
                  <c:v>腹囲</c:v>
                </c:pt>
                <c:pt idx="2">
                  <c:v>空腹時血糖</c:v>
                </c:pt>
                <c:pt idx="3">
                  <c:v>HbA1c</c:v>
                </c:pt>
                <c:pt idx="4">
                  <c:v>収縮期血圧</c:v>
                </c:pt>
                <c:pt idx="5">
                  <c:v>拡張期血圧</c:v>
                </c:pt>
                <c:pt idx="6">
                  <c:v>中性脂肪</c:v>
                </c:pt>
                <c:pt idx="7">
                  <c:v>HDL-C</c:v>
                </c:pt>
                <c:pt idx="8">
                  <c:v>LDL-C</c:v>
                </c:pt>
                <c:pt idx="9">
                  <c:v>ALT</c:v>
                </c:pt>
                <c:pt idx="10">
                  <c:v>尿酸</c:v>
                </c:pt>
                <c:pt idx="11">
                  <c:v>血清クレアチニン</c:v>
                </c:pt>
              </c:strCache>
            </c:strRef>
          </c:cat>
          <c:val>
            <c:numRef>
              <c:f>Sheet1!$B$5:$M$5</c:f>
              <c:numCache>
                <c:formatCode>#,##0.0_ </c:formatCode>
                <c:ptCount val="12"/>
                <c:pt idx="0">
                  <c:v>101.97045487860872</c:v>
                </c:pt>
                <c:pt idx="1">
                  <c:v>100.1629091788176</c:v>
                </c:pt>
                <c:pt idx="2">
                  <c:v>29.696386765091798</c:v>
                </c:pt>
                <c:pt idx="3">
                  <c:v>88.289277800043237</c:v>
                </c:pt>
                <c:pt idx="4">
                  <c:v>58.722757364439637</c:v>
                </c:pt>
                <c:pt idx="5">
                  <c:v>38.404270002323813</c:v>
                </c:pt>
                <c:pt idx="6">
                  <c:v>134.83726129125867</c:v>
                </c:pt>
                <c:pt idx="7">
                  <c:v>71.422850442001717</c:v>
                </c:pt>
                <c:pt idx="8">
                  <c:v>107.48285678514688</c:v>
                </c:pt>
                <c:pt idx="9">
                  <c:v>103.05565234257024</c:v>
                </c:pt>
                <c:pt idx="10">
                  <c:v>0</c:v>
                </c:pt>
                <c:pt idx="11">
                  <c:v>97.206198249376769</c:v>
                </c:pt>
              </c:numCache>
            </c:numRef>
          </c:val>
          <c:smooth val="0"/>
          <c:extLst>
            <c:ext xmlns:c16="http://schemas.microsoft.com/office/drawing/2014/chart" uri="{C3380CC4-5D6E-409C-BE32-E72D297353CC}">
              <c16:uniqueId val="{00000003-9094-472C-8E81-59B3B81953ED}"/>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layout>
            <c:manualLayout>
              <c:xMode val="edge"/>
              <c:yMode val="edge"/>
              <c:x val="9.2592499061414629E-3"/>
              <c:y val="0.44165928870135251"/>
            </c:manualLayout>
          </c:layout>
          <c:overlay val="0"/>
          <c:spPr>
            <a:noFill/>
            <a:ln>
              <a:noFill/>
            </a:ln>
            <a:effectLst/>
          </c:spPr>
        </c:title>
        <c:numFmt formatCode="0.0%"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layout>
            <c:manualLayout>
              <c:xMode val="edge"/>
              <c:yMode val="edge"/>
              <c:x val="0.96414351349121774"/>
              <c:y val="0.3355371472704668"/>
            </c:manualLayout>
          </c:layout>
          <c:overlay val="0"/>
          <c:spPr>
            <a:noFill/>
            <a:ln>
              <a:noFill/>
            </a:ln>
            <a:effectLst/>
          </c:spPr>
        </c:title>
        <c:numFmt formatCode="#,##0" sourceLinked="0"/>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layout>
        <c:manualLayout>
          <c:xMode val="edge"/>
          <c:yMode val="edge"/>
          <c:x val="2.046301300214317E-2"/>
          <c:y val="2.9790340202689974E-2"/>
          <c:w val="0.96833333333333316"/>
          <c:h val="6.087301587301587E-2"/>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7198412698412699"/>
          <c:w val="0.7752161708953047"/>
          <c:h val="0.74232845894263211"/>
        </c:manualLayout>
      </c:layout>
      <c:barChart>
        <c:barDir val="col"/>
        <c:grouping val="clustered"/>
        <c:varyColors val="0"/>
        <c:ser>
          <c:idx val="0"/>
          <c:order val="0"/>
          <c:tx>
            <c:strRef>
              <c:f>Sheet1!$A$2</c:f>
              <c:strCache>
                <c:ptCount val="1"/>
                <c:pt idx="0">
                  <c:v>メタボ該当者数</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#,##0_);[Red]\(#,##0\)</c:formatCode>
                <c:ptCount val="4"/>
                <c:pt idx="0">
                  <c:v>846</c:v>
                </c:pt>
                <c:pt idx="1">
                  <c:v>478</c:v>
                </c:pt>
                <c:pt idx="2">
                  <c:v>730</c:v>
                </c:pt>
                <c:pt idx="3">
                  <c:v>676</c:v>
                </c:pt>
              </c:numCache>
            </c:numRef>
          </c:val>
          <c:extLst>
            <c:ext xmlns:c16="http://schemas.microsoft.com/office/drawing/2014/chart" uri="{C3380CC4-5D6E-409C-BE32-E72D297353CC}">
              <c16:uniqueId val="{00000000-2B7F-41B7-AFA7-FC2FB9D4E488}"/>
            </c:ext>
          </c:extLst>
        </c:ser>
        <c:ser>
          <c:idx val="2"/>
          <c:order val="2"/>
          <c:tx>
            <c:strRef>
              <c:f>Sheet1!$A$4</c:f>
              <c:strCache>
                <c:ptCount val="1"/>
                <c:pt idx="0">
                  <c:v>予備群数</c:v>
                </c:pt>
              </c:strCache>
            </c:strRef>
          </c:tx>
          <c:spPr>
            <a:solidFill>
              <a:srgbClr val="FF7463"/>
            </a:solidFill>
            <a:ln w="25400">
              <a:noFill/>
            </a:ln>
            <a:effectLst/>
          </c:spPr>
          <c:invertIfNegative val="0"/>
          <c:cat>
            <c:strRef>
              <c:f>Sheet1!$B$1:$E$1</c:f>
              <c:strCache>
                <c:ptCount val="4"/>
                <c:pt idx="0">
                  <c:v>令和1年度</c:v>
                </c:pt>
                <c:pt idx="1">
                  <c:v>令和2年度</c:v>
                </c:pt>
                <c:pt idx="2">
                  <c:v>令和3年度</c:v>
                </c:pt>
                <c:pt idx="3">
                  <c:v>令和4年度</c:v>
                </c:pt>
              </c:strCache>
            </c:strRef>
          </c:cat>
          <c:val>
            <c:numRef>
              <c:f>Sheet1!$B$4:$E$4</c:f>
              <c:numCache>
                <c:formatCode>#,##0_);[Red]\(#,##0\)</c:formatCode>
                <c:ptCount val="4"/>
                <c:pt idx="0">
                  <c:v>633</c:v>
                </c:pt>
                <c:pt idx="1">
                  <c:v>379</c:v>
                </c:pt>
                <c:pt idx="2">
                  <c:v>546</c:v>
                </c:pt>
                <c:pt idx="3">
                  <c:v>452</c:v>
                </c:pt>
              </c:numCache>
            </c:numRef>
          </c:val>
          <c:extLst>
            <c:ext xmlns:c16="http://schemas.microsoft.com/office/drawing/2014/chart" uri="{C3380CC4-5D6E-409C-BE32-E72D297353CC}">
              <c16:uniqueId val="{00000001-2B7F-41B7-AFA7-FC2FB9D4E488}"/>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Sheet1!$A$3</c:f>
              <c:strCache>
                <c:ptCount val="1"/>
                <c:pt idx="0">
                  <c:v>メタボ該当者割合</c:v>
                </c:pt>
              </c:strCache>
            </c:strRef>
          </c:tx>
          <c:spPr>
            <a:ln w="25400" cap="rnd">
              <a:solidFill>
                <a:srgbClr val="5575FF"/>
              </a:solidFill>
              <a:round/>
            </a:ln>
            <a:effectLst/>
          </c:spPr>
          <c:marker>
            <c:symbol val="circle"/>
            <c:size val="5"/>
            <c:spPr>
              <a:solidFill>
                <a:srgbClr val="5575FF"/>
              </a:solidFill>
              <a:ln w="9525">
                <a:solidFill>
                  <a:srgbClr val="5575FF"/>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Sheet1!$B$3:$E$3</c:f>
              <c:numCache>
                <c:formatCode>0.0%</c:formatCode>
                <c:ptCount val="4"/>
                <c:pt idx="0">
                  <c:v>0.17199999999999999</c:v>
                </c:pt>
                <c:pt idx="1">
                  <c:v>0.18099999999999999</c:v>
                </c:pt>
                <c:pt idx="2">
                  <c:v>0.193</c:v>
                </c:pt>
                <c:pt idx="3">
                  <c:v>0.187</c:v>
                </c:pt>
              </c:numCache>
            </c:numRef>
          </c:val>
          <c:smooth val="0"/>
          <c:extLst>
            <c:ext xmlns:c16="http://schemas.microsoft.com/office/drawing/2014/chart" uri="{C3380CC4-5D6E-409C-BE32-E72D297353CC}">
              <c16:uniqueId val="{00000002-2B7F-41B7-AFA7-FC2FB9D4E488}"/>
            </c:ext>
          </c:extLst>
        </c:ser>
        <c:ser>
          <c:idx val="3"/>
          <c:order val="3"/>
          <c:tx>
            <c:strRef>
              <c:f>Sheet1!$A$5</c:f>
              <c:strCache>
                <c:ptCount val="1"/>
                <c:pt idx="0">
                  <c:v>予備群割合</c:v>
                </c:pt>
              </c:strCache>
            </c:strRef>
          </c:tx>
          <c:spPr>
            <a:ln w="25400" cap="rnd">
              <a:solidFill>
                <a:srgbClr val="FFAA99"/>
              </a:solidFill>
              <a:prstDash val="solid"/>
              <a:round/>
            </a:ln>
            <a:effectLst/>
          </c:spPr>
          <c:marker>
            <c:symbol val="circle"/>
            <c:size val="5"/>
            <c:spPr>
              <a:solidFill>
                <a:srgbClr val="FFAA99"/>
              </a:solidFill>
              <a:ln w="9525">
                <a:solidFill>
                  <a:srgbClr val="FFAA99"/>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0.129</c:v>
                </c:pt>
                <c:pt idx="1">
                  <c:v>0.14399999999999999</c:v>
                </c:pt>
                <c:pt idx="2">
                  <c:v>0.14399999999999999</c:v>
                </c:pt>
                <c:pt idx="3">
                  <c:v>0.125</c:v>
                </c:pt>
              </c:numCache>
            </c:numRef>
          </c:val>
          <c:smooth val="0"/>
          <c:extLst>
            <c:ext xmlns:c16="http://schemas.microsoft.com/office/drawing/2014/chart" uri="{C3380CC4-5D6E-409C-BE32-E72D297353CC}">
              <c16:uniqueId val="{00000003-2B7F-41B7-AFA7-FC2FB9D4E488}"/>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Red]\(#,##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871051085852172"/>
          <c:w val="0.7752161708953047"/>
          <c:h val="0.71712677800355595"/>
        </c:manualLayout>
      </c:layout>
      <c:barChart>
        <c:barDir val="col"/>
        <c:grouping val="clustered"/>
        <c:varyColors val="0"/>
        <c:ser>
          <c:idx val="0"/>
          <c:order val="0"/>
          <c:tx>
            <c:strRef>
              <c:f>Sheet1!$A$2</c:f>
              <c:strCache>
                <c:ptCount val="1"/>
                <c:pt idx="0">
                  <c:v>対象者数</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818</c:v>
                </c:pt>
                <c:pt idx="1">
                  <c:v>458</c:v>
                </c:pt>
                <c:pt idx="2">
                  <c:v>731</c:v>
                </c:pt>
                <c:pt idx="3">
                  <c:v>540</c:v>
                </c:pt>
              </c:numCache>
            </c:numRef>
          </c:val>
          <c:extLst>
            <c:ext xmlns:c16="http://schemas.microsoft.com/office/drawing/2014/chart" uri="{C3380CC4-5D6E-409C-BE32-E72D297353CC}">
              <c16:uniqueId val="{00000000-2075-42BA-B9D7-A84714AE33FF}"/>
            </c:ext>
          </c:extLst>
        </c:ser>
        <c:ser>
          <c:idx val="1"/>
          <c:order val="1"/>
          <c:tx>
            <c:strRef>
              <c:f>Sheet1!$A$3</c:f>
              <c:strCache>
                <c:ptCount val="1"/>
                <c:pt idx="0">
                  <c:v>実施者数</c:v>
                </c:pt>
              </c:strCache>
            </c:strRef>
          </c:tx>
          <c:spPr>
            <a:solidFill>
              <a:srgbClr val="CCD6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149</c:v>
                </c:pt>
                <c:pt idx="1">
                  <c:v>78</c:v>
                </c:pt>
                <c:pt idx="2">
                  <c:v>149</c:v>
                </c:pt>
                <c:pt idx="3">
                  <c:v>146</c:v>
                </c:pt>
              </c:numCache>
            </c:numRef>
          </c:val>
          <c:extLst>
            <c:ext xmlns:c16="http://schemas.microsoft.com/office/drawing/2014/chart" uri="{C3380CC4-5D6E-409C-BE32-E72D297353CC}">
              <c16:uniqueId val="{00000001-2075-42BA-B9D7-A84714AE33FF}"/>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八街市_実施率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0.182</c:v>
                </c:pt>
                <c:pt idx="1">
                  <c:v>0.17</c:v>
                </c:pt>
                <c:pt idx="2">
                  <c:v>0.20399999999999999</c:v>
                </c:pt>
                <c:pt idx="3">
                  <c:v>0.26984126984126983</c:v>
                </c:pt>
              </c:numCache>
            </c:numRef>
          </c:val>
          <c:smooth val="0"/>
          <c:extLst>
            <c:ext xmlns:c16="http://schemas.microsoft.com/office/drawing/2014/chart" uri="{C3380CC4-5D6E-409C-BE32-E72D297353CC}">
              <c16:uniqueId val="{00000002-2075-42BA-B9D7-A84714AE33FF}"/>
            </c:ext>
          </c:extLst>
        </c:ser>
        <c:ser>
          <c:idx val="3"/>
          <c:order val="3"/>
          <c:tx>
            <c:strRef>
              <c:f>Sheet1!$A$5</c:f>
              <c:strCache>
                <c:ptCount val="1"/>
                <c:pt idx="0">
                  <c:v>国_実施率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0.29299999999999998</c:v>
                </c:pt>
                <c:pt idx="1">
                  <c:v>0.27900000000000003</c:v>
                </c:pt>
                <c:pt idx="2">
                  <c:v>0.27900000000000003</c:v>
                </c:pt>
              </c:numCache>
            </c:numRef>
          </c:val>
          <c:smooth val="0"/>
          <c:extLst>
            <c:ext xmlns:c16="http://schemas.microsoft.com/office/drawing/2014/chart" uri="{C3380CC4-5D6E-409C-BE32-E72D297353CC}">
              <c16:uniqueId val="{00000003-2075-42BA-B9D7-A84714AE33FF}"/>
            </c:ext>
          </c:extLst>
        </c:ser>
        <c:ser>
          <c:idx val="4"/>
          <c:order val="4"/>
          <c:tx>
            <c:strRef>
              <c:f>Sheet1!$A$6</c:f>
              <c:strCache>
                <c:ptCount val="1"/>
                <c:pt idx="0">
                  <c:v>県_実施率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0.248</c:v>
                </c:pt>
                <c:pt idx="1">
                  <c:v>0.218</c:v>
                </c:pt>
                <c:pt idx="2">
                  <c:v>0.222</c:v>
                </c:pt>
                <c:pt idx="3">
                  <c:v>0.24299999999999999</c:v>
                </c:pt>
              </c:numCache>
            </c:numRef>
          </c:val>
          <c:smooth val="0"/>
          <c:extLst>
            <c:ext xmlns:c16="http://schemas.microsoft.com/office/drawing/2014/chart" uri="{C3380CC4-5D6E-409C-BE32-E72D297353CC}">
              <c16:uniqueId val="{00000004-2075-42BA-B9D7-A84714AE33FF}"/>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実施率（％）</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majorUnit val="0.1"/>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21702716217932441"/>
          <c:w val="0.7752161708953047"/>
          <c:h val="0.68216479870459756"/>
        </c:manualLayout>
      </c:layout>
      <c:barChart>
        <c:barDir val="col"/>
        <c:grouping val="clustered"/>
        <c:varyColors val="0"/>
        <c:ser>
          <c:idx val="0"/>
          <c:order val="0"/>
          <c:tx>
            <c:strRef>
              <c:f>Sheet1!$A$2</c:f>
              <c:strCache>
                <c:ptCount val="1"/>
                <c:pt idx="0">
                  <c:v>特定健診受診者数</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4906</c:v>
                </c:pt>
                <c:pt idx="1">
                  <c:v>2641</c:v>
                </c:pt>
                <c:pt idx="2">
                  <c:v>3792</c:v>
                </c:pt>
                <c:pt idx="3">
                  <c:v>3611</c:v>
                </c:pt>
              </c:numCache>
            </c:numRef>
          </c:val>
          <c:extLst>
            <c:ext xmlns:c16="http://schemas.microsoft.com/office/drawing/2014/chart" uri="{C3380CC4-5D6E-409C-BE32-E72D297353CC}">
              <c16:uniqueId val="{00000000-F189-4922-9393-8D6D0AD5E5C3}"/>
            </c:ext>
          </c:extLst>
        </c:ser>
        <c:ser>
          <c:idx val="1"/>
          <c:order val="1"/>
          <c:tx>
            <c:strRef>
              <c:f>Sheet1!$A$3</c:f>
              <c:strCache>
                <c:ptCount val="1"/>
                <c:pt idx="0">
                  <c:v>医療機関への受診勧奨対象者数</c:v>
                </c:pt>
              </c:strCache>
            </c:strRef>
          </c:tx>
          <c:spPr>
            <a:solidFill>
              <a:srgbClr val="FF7463"/>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2576</c:v>
                </c:pt>
                <c:pt idx="1">
                  <c:v>1562</c:v>
                </c:pt>
                <c:pt idx="2">
                  <c:v>2128</c:v>
                </c:pt>
                <c:pt idx="3">
                  <c:v>1823</c:v>
                </c:pt>
              </c:numCache>
            </c:numRef>
          </c:val>
          <c:extLst>
            <c:ext xmlns:c16="http://schemas.microsoft.com/office/drawing/2014/chart" uri="{C3380CC4-5D6E-409C-BE32-E72D297353CC}">
              <c16:uniqueId val="{00000001-F189-4922-9393-8D6D0AD5E5C3}"/>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八街市_対象者率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0.52500000000000002</c:v>
                </c:pt>
                <c:pt idx="1">
                  <c:v>0.59099999999999997</c:v>
                </c:pt>
                <c:pt idx="2">
                  <c:v>0.56100000000000005</c:v>
                </c:pt>
                <c:pt idx="3">
                  <c:v>0.505</c:v>
                </c:pt>
              </c:numCache>
            </c:numRef>
          </c:val>
          <c:smooth val="0"/>
          <c:extLst>
            <c:ext xmlns:c16="http://schemas.microsoft.com/office/drawing/2014/chart" uri="{C3380CC4-5D6E-409C-BE32-E72D297353CC}">
              <c16:uniqueId val="{00000002-F189-4922-9393-8D6D0AD5E5C3}"/>
            </c:ext>
          </c:extLst>
        </c:ser>
        <c:ser>
          <c:idx val="3"/>
          <c:order val="3"/>
          <c:tx>
            <c:strRef>
              <c:f>Sheet1!$A$5</c:f>
              <c:strCache>
                <c:ptCount val="1"/>
                <c:pt idx="0">
                  <c:v>国_対象者率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0.57499999999999996</c:v>
                </c:pt>
                <c:pt idx="1">
                  <c:v>0.59699999999999998</c:v>
                </c:pt>
                <c:pt idx="2">
                  <c:v>0.59</c:v>
                </c:pt>
                <c:pt idx="3">
                  <c:v>0.57100000000000006</c:v>
                </c:pt>
              </c:numCache>
            </c:numRef>
          </c:val>
          <c:smooth val="0"/>
          <c:extLst>
            <c:ext xmlns:c16="http://schemas.microsoft.com/office/drawing/2014/chart" uri="{C3380CC4-5D6E-409C-BE32-E72D297353CC}">
              <c16:uniqueId val="{00000003-F189-4922-9393-8D6D0AD5E5C3}"/>
            </c:ext>
          </c:extLst>
        </c:ser>
        <c:ser>
          <c:idx val="4"/>
          <c:order val="4"/>
          <c:tx>
            <c:strRef>
              <c:f>Sheet1!$A$6</c:f>
              <c:strCache>
                <c:ptCount val="1"/>
                <c:pt idx="0">
                  <c:v>県_対象者率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0.57600000000000007</c:v>
                </c:pt>
                <c:pt idx="1">
                  <c:v>0.60399999999999998</c:v>
                </c:pt>
                <c:pt idx="2">
                  <c:v>0.59200000000000008</c:v>
                </c:pt>
                <c:pt idx="3">
                  <c:v>0.57100000000000006</c:v>
                </c:pt>
              </c:numCache>
            </c:numRef>
          </c:val>
          <c:smooth val="0"/>
          <c:extLst>
            <c:ext xmlns:c16="http://schemas.microsoft.com/office/drawing/2014/chart" uri="{C3380CC4-5D6E-409C-BE32-E72D297353CC}">
              <c16:uniqueId val="{00000004-F189-4922-9393-8D6D0AD5E5C3}"/>
            </c:ext>
          </c:extLst>
        </c:ser>
        <c:ser>
          <c:idx val="5"/>
          <c:order val="5"/>
          <c:tx>
            <c:strRef>
              <c:f>Sheet1!$A$7</c:f>
              <c:strCache>
                <c:ptCount val="1"/>
                <c:pt idx="0">
                  <c:v>同規模_対象者率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Sheet1!$B$1:$E$1</c:f>
              <c:strCache>
                <c:ptCount val="4"/>
                <c:pt idx="0">
                  <c:v>令和1年度</c:v>
                </c:pt>
                <c:pt idx="1">
                  <c:v>令和2年度</c:v>
                </c:pt>
                <c:pt idx="2">
                  <c:v>令和3年度</c:v>
                </c:pt>
                <c:pt idx="3">
                  <c:v>令和4年度</c:v>
                </c:pt>
              </c:strCache>
            </c:strRef>
          </c:cat>
          <c:val>
            <c:numRef>
              <c:f>Sheet1!$B$7:$E$7</c:f>
              <c:numCache>
                <c:formatCode>0.0%</c:formatCode>
                <c:ptCount val="4"/>
                <c:pt idx="0">
                  <c:v>0.57299999999999995</c:v>
                </c:pt>
                <c:pt idx="1">
                  <c:v>0.59499999999999997</c:v>
                </c:pt>
                <c:pt idx="2">
                  <c:v>0.58799999999999997</c:v>
                </c:pt>
                <c:pt idx="3">
                  <c:v>0.56999999999999995</c:v>
                </c:pt>
              </c:numCache>
            </c:numRef>
          </c:val>
          <c:smooth val="0"/>
          <c:extLst>
            <c:ext xmlns:c16="http://schemas.microsoft.com/office/drawing/2014/chart" uri="{C3380CC4-5D6E-409C-BE32-E72D297353CC}">
              <c16:uniqueId val="{00000005-F189-4922-9393-8D6D0AD5E5C3}"/>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max val="0.65"/>
          <c:min val="0.4"/>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医療機関への受診勧奨対象率（％）</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majorUnit val="0.05"/>
      </c:valAx>
      <c:spPr>
        <a:noFill/>
        <a:ln>
          <a:noFill/>
        </a:ln>
        <a:effectLst/>
      </c:spPr>
    </c:plotArea>
    <c:legend>
      <c:legendPos val="t"/>
      <c:layout>
        <c:manualLayout>
          <c:xMode val="edge"/>
          <c:yMode val="edge"/>
          <c:x val="8.4722222222222143E-3"/>
          <c:y val="2.3809523809523808E-2"/>
          <c:w val="0.9807407407407408"/>
          <c:h val="0.15976190476190477"/>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20694651701803407"/>
          <c:w val="0.7752161708953047"/>
          <c:h val="0.69728576644653284"/>
        </c:manualLayout>
      </c:layout>
      <c:barChart>
        <c:barDir val="col"/>
        <c:grouping val="clustered"/>
        <c:varyColors val="0"/>
        <c:ser>
          <c:idx val="0"/>
          <c:order val="0"/>
          <c:tx>
            <c:strRef>
              <c:f>Sheet1!$A$2</c:f>
              <c:strCache>
                <c:ptCount val="1"/>
                <c:pt idx="0">
                  <c:v>特定健診受診者数</c:v>
                </c:pt>
              </c:strCache>
            </c:strRef>
          </c:tx>
          <c:spPr>
            <a:solidFill>
              <a:srgbClr val="5575FF"/>
            </a:solidFill>
            <a:ln>
              <a:noFill/>
            </a:ln>
            <a:effectLst/>
          </c:spPr>
          <c:invertIfNegative val="0"/>
          <c:cat>
            <c:strRef>
              <c:f>Sheet1!$B$1:$D$1</c:f>
              <c:strCache>
                <c:ptCount val="3"/>
                <c:pt idx="0">
                  <c:v>令和1年度</c:v>
                </c:pt>
                <c:pt idx="1">
                  <c:v>令和2年度</c:v>
                </c:pt>
                <c:pt idx="2">
                  <c:v>令和3年度</c:v>
                </c:pt>
              </c:strCache>
            </c:strRef>
          </c:cat>
          <c:val>
            <c:numRef>
              <c:f>Sheet1!$B$2:$D$2</c:f>
              <c:numCache>
                <c:formatCode>#,##0_ </c:formatCode>
                <c:ptCount val="3"/>
                <c:pt idx="0">
                  <c:v>4906</c:v>
                </c:pt>
                <c:pt idx="1">
                  <c:v>2641</c:v>
                </c:pt>
                <c:pt idx="2">
                  <c:v>3792</c:v>
                </c:pt>
              </c:numCache>
            </c:numRef>
          </c:val>
          <c:extLst>
            <c:ext xmlns:c16="http://schemas.microsoft.com/office/drawing/2014/chart" uri="{C3380CC4-5D6E-409C-BE32-E72D297353CC}">
              <c16:uniqueId val="{00000000-F70E-4C4F-B198-4C02EB4C16D5}"/>
            </c:ext>
          </c:extLst>
        </c:ser>
        <c:ser>
          <c:idx val="1"/>
          <c:order val="1"/>
          <c:tx>
            <c:strRef>
              <c:f>Sheet1!$A$3</c:f>
              <c:strCache>
                <c:ptCount val="1"/>
                <c:pt idx="0">
                  <c:v>未治療者数</c:v>
                </c:pt>
              </c:strCache>
            </c:strRef>
          </c:tx>
          <c:spPr>
            <a:solidFill>
              <a:srgbClr val="FF7463"/>
            </a:solidFill>
            <a:ln>
              <a:noFill/>
            </a:ln>
            <a:effectLst/>
          </c:spPr>
          <c:invertIfNegative val="0"/>
          <c:cat>
            <c:strRef>
              <c:f>Sheet1!$B$1:$D$1</c:f>
              <c:strCache>
                <c:ptCount val="3"/>
                <c:pt idx="0">
                  <c:v>令和1年度</c:v>
                </c:pt>
                <c:pt idx="1">
                  <c:v>令和2年度</c:v>
                </c:pt>
                <c:pt idx="2">
                  <c:v>令和3年度</c:v>
                </c:pt>
              </c:strCache>
            </c:strRef>
          </c:cat>
          <c:val>
            <c:numRef>
              <c:f>Sheet1!$B$3:$D$3</c:f>
              <c:numCache>
                <c:formatCode>#,##0_ </c:formatCode>
                <c:ptCount val="3"/>
                <c:pt idx="0">
                  <c:v>543</c:v>
                </c:pt>
                <c:pt idx="1">
                  <c:v>311</c:v>
                </c:pt>
                <c:pt idx="2">
                  <c:v>421</c:v>
                </c:pt>
              </c:numCache>
            </c:numRef>
          </c:val>
          <c:extLst>
            <c:ext xmlns:c16="http://schemas.microsoft.com/office/drawing/2014/chart" uri="{C3380CC4-5D6E-409C-BE32-E72D297353CC}">
              <c16:uniqueId val="{00000001-F70E-4C4F-B198-4C02EB4C16D5}"/>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八街市_未治療者率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令和1年度</c:v>
                </c:pt>
                <c:pt idx="1">
                  <c:v>令和2年度</c:v>
                </c:pt>
                <c:pt idx="2">
                  <c:v>令和3年度</c:v>
                </c:pt>
              </c:strCache>
            </c:strRef>
          </c:cat>
          <c:val>
            <c:numRef>
              <c:f>Sheet1!$B$4:$D$4</c:f>
              <c:numCache>
                <c:formatCode>0.0%</c:formatCode>
                <c:ptCount val="3"/>
                <c:pt idx="0">
                  <c:v>0.111</c:v>
                </c:pt>
                <c:pt idx="1">
                  <c:v>0.11799999999999999</c:v>
                </c:pt>
                <c:pt idx="2">
                  <c:v>0.111</c:v>
                </c:pt>
              </c:numCache>
            </c:numRef>
          </c:val>
          <c:smooth val="0"/>
          <c:extLst>
            <c:ext xmlns:c16="http://schemas.microsoft.com/office/drawing/2014/chart" uri="{C3380CC4-5D6E-409C-BE32-E72D297353CC}">
              <c16:uniqueId val="{00000002-F70E-4C4F-B198-4C02EB4C16D5}"/>
            </c:ext>
          </c:extLst>
        </c:ser>
        <c:ser>
          <c:idx val="3"/>
          <c:order val="3"/>
          <c:tx>
            <c:strRef>
              <c:f>Sheet1!$A$5</c:f>
              <c:strCache>
                <c:ptCount val="1"/>
                <c:pt idx="0">
                  <c:v>国_未治療者率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Sheet1!$B$1:$D$1</c:f>
              <c:strCache>
                <c:ptCount val="3"/>
                <c:pt idx="0">
                  <c:v>令和1年度</c:v>
                </c:pt>
                <c:pt idx="1">
                  <c:v>令和2年度</c:v>
                </c:pt>
                <c:pt idx="2">
                  <c:v>令和3年度</c:v>
                </c:pt>
              </c:strCache>
            </c:strRef>
          </c:cat>
          <c:val>
            <c:numRef>
              <c:f>Sheet1!$B$5:$D$5</c:f>
              <c:numCache>
                <c:formatCode>0.0%</c:formatCode>
                <c:ptCount val="3"/>
                <c:pt idx="0">
                  <c:v>5.8999999999999997E-2</c:v>
                </c:pt>
                <c:pt idx="1">
                  <c:v>5.8999999999999997E-2</c:v>
                </c:pt>
                <c:pt idx="2">
                  <c:v>6.2E-2</c:v>
                </c:pt>
              </c:numCache>
            </c:numRef>
          </c:val>
          <c:smooth val="0"/>
          <c:extLst>
            <c:ext xmlns:c16="http://schemas.microsoft.com/office/drawing/2014/chart" uri="{C3380CC4-5D6E-409C-BE32-E72D297353CC}">
              <c16:uniqueId val="{00000003-F70E-4C4F-B198-4C02EB4C16D5}"/>
            </c:ext>
          </c:extLst>
        </c:ser>
        <c:ser>
          <c:idx val="4"/>
          <c:order val="4"/>
          <c:tx>
            <c:strRef>
              <c:f>Sheet1!$A$6</c:f>
              <c:strCache>
                <c:ptCount val="1"/>
                <c:pt idx="0">
                  <c:v>県_未治療者率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Sheet1!$B$1:$D$1</c:f>
              <c:strCache>
                <c:ptCount val="3"/>
                <c:pt idx="0">
                  <c:v>令和1年度</c:v>
                </c:pt>
                <c:pt idx="1">
                  <c:v>令和2年度</c:v>
                </c:pt>
                <c:pt idx="2">
                  <c:v>令和3年度</c:v>
                </c:pt>
              </c:strCache>
            </c:strRef>
          </c:cat>
          <c:val>
            <c:numRef>
              <c:f>Sheet1!$B$6:$D$6</c:f>
              <c:numCache>
                <c:formatCode>0.0%</c:formatCode>
                <c:ptCount val="3"/>
                <c:pt idx="0">
                  <c:v>6.2E-2</c:v>
                </c:pt>
                <c:pt idx="1">
                  <c:v>5.7000000000000002E-2</c:v>
                </c:pt>
                <c:pt idx="2">
                  <c:v>6.2E-2</c:v>
                </c:pt>
              </c:numCache>
            </c:numRef>
          </c:val>
          <c:smooth val="0"/>
          <c:extLst>
            <c:ext xmlns:c16="http://schemas.microsoft.com/office/drawing/2014/chart" uri="{C3380CC4-5D6E-409C-BE32-E72D297353CC}">
              <c16:uniqueId val="{00000004-F70E-4C4F-B198-4C02EB4C16D5}"/>
            </c:ext>
          </c:extLst>
        </c:ser>
        <c:ser>
          <c:idx val="5"/>
          <c:order val="5"/>
          <c:tx>
            <c:strRef>
              <c:f>Sheet1!$A$7</c:f>
              <c:strCache>
                <c:ptCount val="1"/>
                <c:pt idx="0">
                  <c:v>同規模_未治療者率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Sheet1!$B$1:$D$1</c:f>
              <c:strCache>
                <c:ptCount val="3"/>
                <c:pt idx="0">
                  <c:v>令和1年度</c:v>
                </c:pt>
                <c:pt idx="1">
                  <c:v>令和2年度</c:v>
                </c:pt>
                <c:pt idx="2">
                  <c:v>令和3年度</c:v>
                </c:pt>
              </c:strCache>
            </c:strRef>
          </c:cat>
          <c:val>
            <c:numRef>
              <c:f>Sheet1!$B$7:$D$7</c:f>
              <c:numCache>
                <c:formatCode>0.0%</c:formatCode>
                <c:ptCount val="3"/>
                <c:pt idx="0">
                  <c:v>6.6000000000000003E-2</c:v>
                </c:pt>
                <c:pt idx="1">
                  <c:v>6.7000000000000004E-2</c:v>
                </c:pt>
                <c:pt idx="2">
                  <c:v>7.0999999999999994E-2</c:v>
                </c:pt>
              </c:numCache>
            </c:numRef>
          </c:val>
          <c:smooth val="0"/>
          <c:extLst>
            <c:ext xmlns:c16="http://schemas.microsoft.com/office/drawing/2014/chart" uri="{C3380CC4-5D6E-409C-BE32-E72D297353CC}">
              <c16:uniqueId val="{00000005-F70E-4C4F-B198-4C02EB4C16D5}"/>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max val="0.13"/>
          <c:min val="0"/>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未治療率（％）</a:t>
                </a:r>
              </a:p>
            </c:rich>
          </c:tx>
          <c:layout>
            <c:manualLayout>
              <c:xMode val="edge"/>
              <c:yMode val="edge"/>
              <c:x val="0.96431708865128229"/>
              <c:y val="0.43462145986791972"/>
            </c:manualLayout>
          </c:layout>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majorUnit val="2.5000000000000001E-2"/>
      </c:valAx>
      <c:spPr>
        <a:noFill/>
        <a:ln>
          <a:noFill/>
        </a:ln>
        <a:effectLst/>
      </c:spPr>
    </c:plotArea>
    <c:legend>
      <c:legendPos val="t"/>
      <c:layout>
        <c:manualLayout>
          <c:xMode val="edge"/>
          <c:yMode val="edge"/>
          <c:x val="6.8981481481481576E-3"/>
          <c:y val="2.3809523809523808E-2"/>
          <c:w val="0.97694444444444462"/>
          <c:h val="0.13198412698412698"/>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Sheet1!$A$3</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1日3合以上飲酒</c:v>
                </c:pt>
                <c:pt idx="10">
                  <c:v>睡眠不足</c:v>
                </c:pt>
                <c:pt idx="11">
                  <c:v>生活改善意欲なし</c:v>
                </c:pt>
                <c:pt idx="12">
                  <c:v>咀嚼ほとんどかめない</c:v>
                </c:pt>
                <c:pt idx="13">
                  <c:v>間食毎日</c:v>
                </c:pt>
              </c:strCache>
            </c:strRef>
          </c:cat>
          <c:val>
            <c:numRef>
              <c:f>Sheet1!$B$3:$O$3</c:f>
              <c:numCache>
                <c:formatCode>0.0%</c:formatCode>
                <c:ptCount val="14"/>
                <c:pt idx="0">
                  <c:v>0.152</c:v>
                </c:pt>
                <c:pt idx="1">
                  <c:v>0.36899999999999999</c:v>
                </c:pt>
                <c:pt idx="2">
                  <c:v>0.57999999999999996</c:v>
                </c:pt>
                <c:pt idx="3">
                  <c:v>0.22800000000000001</c:v>
                </c:pt>
                <c:pt idx="4">
                  <c:v>0.45500000000000002</c:v>
                </c:pt>
                <c:pt idx="5">
                  <c:v>0.21199999999999999</c:v>
                </c:pt>
                <c:pt idx="6">
                  <c:v>0.186</c:v>
                </c:pt>
                <c:pt idx="7">
                  <c:v>0.108</c:v>
                </c:pt>
                <c:pt idx="8">
                  <c:v>0.25</c:v>
                </c:pt>
                <c:pt idx="9">
                  <c:v>1.7999999999999999E-2</c:v>
                </c:pt>
                <c:pt idx="10">
                  <c:v>0.25800000000000001</c:v>
                </c:pt>
                <c:pt idx="11">
                  <c:v>0.33300000000000002</c:v>
                </c:pt>
                <c:pt idx="12">
                  <c:v>7.0000000000000001E-3</c:v>
                </c:pt>
                <c:pt idx="13">
                  <c:v>0.22600000000000001</c:v>
                </c:pt>
              </c:numCache>
            </c:numRef>
          </c:val>
          <c:extLst>
            <c:ext xmlns:c16="http://schemas.microsoft.com/office/drawing/2014/chart" uri="{C3380CC4-5D6E-409C-BE32-E72D297353CC}">
              <c16:uniqueId val="{00000000-E001-4C6A-9569-D4FA1BE8984D}"/>
            </c:ext>
          </c:extLst>
        </c:ser>
        <c:ser>
          <c:idx val="2"/>
          <c:order val="2"/>
          <c:tx>
            <c:strRef>
              <c:f>Sheet1!$A$4</c:f>
              <c:strCache>
                <c:ptCount val="1"/>
                <c:pt idx="0">
                  <c:v>国</c:v>
                </c:pt>
              </c:strCache>
            </c:strRef>
          </c:tx>
          <c:spPr>
            <a:solidFill>
              <a:srgbClr val="5575FF"/>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1日3合以上飲酒</c:v>
                </c:pt>
                <c:pt idx="10">
                  <c:v>睡眠不足</c:v>
                </c:pt>
                <c:pt idx="11">
                  <c:v>生活改善意欲なし</c:v>
                </c:pt>
                <c:pt idx="12">
                  <c:v>咀嚼ほとんどかめない</c:v>
                </c:pt>
                <c:pt idx="13">
                  <c:v>間食毎日</c:v>
                </c:pt>
              </c:strCache>
            </c:strRef>
          </c:cat>
          <c:val>
            <c:numRef>
              <c:f>Sheet1!$B$4:$O$4</c:f>
              <c:numCache>
                <c:formatCode>0.0%</c:formatCode>
                <c:ptCount val="14"/>
                <c:pt idx="0">
                  <c:v>0.127</c:v>
                </c:pt>
                <c:pt idx="1">
                  <c:v>0.34599999999999997</c:v>
                </c:pt>
                <c:pt idx="2">
                  <c:v>0.59299999999999997</c:v>
                </c:pt>
                <c:pt idx="3">
                  <c:v>0.47499999999999998</c:v>
                </c:pt>
                <c:pt idx="4">
                  <c:v>0.504</c:v>
                </c:pt>
                <c:pt idx="5">
                  <c:v>0.26400000000000001</c:v>
                </c:pt>
                <c:pt idx="6">
                  <c:v>0.14699999999999999</c:v>
                </c:pt>
                <c:pt idx="7">
                  <c:v>9.7000000000000003E-2</c:v>
                </c:pt>
                <c:pt idx="8">
                  <c:v>0.246</c:v>
                </c:pt>
                <c:pt idx="9">
                  <c:v>2.5000000000000001E-2</c:v>
                </c:pt>
                <c:pt idx="10">
                  <c:v>0.249</c:v>
                </c:pt>
                <c:pt idx="11">
                  <c:v>0.27500000000000002</c:v>
                </c:pt>
                <c:pt idx="12">
                  <c:v>8.0000000000000002E-3</c:v>
                </c:pt>
                <c:pt idx="13">
                  <c:v>0.217</c:v>
                </c:pt>
              </c:numCache>
            </c:numRef>
          </c:val>
          <c:extLst>
            <c:ext xmlns:c16="http://schemas.microsoft.com/office/drawing/2014/chart" uri="{C3380CC4-5D6E-409C-BE32-E72D297353CC}">
              <c16:uniqueId val="{00000001-E001-4C6A-9569-D4FA1BE8984D}"/>
            </c:ext>
          </c:extLst>
        </c:ser>
        <c:ser>
          <c:idx val="3"/>
          <c:order val="3"/>
          <c:tx>
            <c:strRef>
              <c:f>Sheet1!$A$5</c:f>
              <c:strCache>
                <c:ptCount val="1"/>
                <c:pt idx="0">
                  <c:v>県</c:v>
                </c:pt>
              </c:strCache>
            </c:strRef>
          </c:tx>
          <c:spPr>
            <a:solidFill>
              <a:srgbClr val="99ACFF"/>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1日3合以上飲酒</c:v>
                </c:pt>
                <c:pt idx="10">
                  <c:v>睡眠不足</c:v>
                </c:pt>
                <c:pt idx="11">
                  <c:v>生活改善意欲なし</c:v>
                </c:pt>
                <c:pt idx="12">
                  <c:v>咀嚼ほとんどかめない</c:v>
                </c:pt>
                <c:pt idx="13">
                  <c:v>間食毎日</c:v>
                </c:pt>
              </c:strCache>
            </c:strRef>
          </c:cat>
          <c:val>
            <c:numRef>
              <c:f>Sheet1!$B$5:$O$5</c:f>
              <c:numCache>
                <c:formatCode>0.0%</c:formatCode>
                <c:ptCount val="14"/>
                <c:pt idx="0">
                  <c:v>0.121</c:v>
                </c:pt>
                <c:pt idx="1">
                  <c:v>0.35199999999999998</c:v>
                </c:pt>
                <c:pt idx="2">
                  <c:v>0.56699999999999995</c:v>
                </c:pt>
                <c:pt idx="3">
                  <c:v>0.44500000000000001</c:v>
                </c:pt>
                <c:pt idx="4">
                  <c:v>0.47</c:v>
                </c:pt>
                <c:pt idx="5">
                  <c:v>0.254</c:v>
                </c:pt>
                <c:pt idx="6">
                  <c:v>0.154</c:v>
                </c:pt>
                <c:pt idx="7">
                  <c:v>0.1</c:v>
                </c:pt>
                <c:pt idx="8">
                  <c:v>0.23499999999999999</c:v>
                </c:pt>
                <c:pt idx="9">
                  <c:v>2.1999999999999999E-2</c:v>
                </c:pt>
                <c:pt idx="10">
                  <c:v>0.23699999999999999</c:v>
                </c:pt>
                <c:pt idx="11">
                  <c:v>0.28299999999999997</c:v>
                </c:pt>
                <c:pt idx="12">
                  <c:v>7.0000000000000001E-3</c:v>
                </c:pt>
                <c:pt idx="13">
                  <c:v>0.21199999999999999</c:v>
                </c:pt>
              </c:numCache>
            </c:numRef>
          </c:val>
          <c:extLst>
            <c:ext xmlns:c16="http://schemas.microsoft.com/office/drawing/2014/chart" uri="{C3380CC4-5D6E-409C-BE32-E72D297353CC}">
              <c16:uniqueId val="{00000002-E001-4C6A-9569-D4FA1BE8984D}"/>
            </c:ext>
          </c:extLst>
        </c:ser>
        <c:ser>
          <c:idx val="4"/>
          <c:order val="4"/>
          <c:tx>
            <c:strRef>
              <c:f>Sheet1!$A$6</c:f>
              <c:strCache>
                <c:ptCount val="1"/>
                <c:pt idx="0">
                  <c:v>同規模</c:v>
                </c:pt>
              </c:strCache>
            </c:strRef>
          </c:tx>
          <c:spPr>
            <a:solidFill>
              <a:srgbClr val="CCD6FF"/>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1日3合以上飲酒</c:v>
                </c:pt>
                <c:pt idx="10">
                  <c:v>睡眠不足</c:v>
                </c:pt>
                <c:pt idx="11">
                  <c:v>生活改善意欲なし</c:v>
                </c:pt>
                <c:pt idx="12">
                  <c:v>咀嚼ほとんどかめない</c:v>
                </c:pt>
                <c:pt idx="13">
                  <c:v>間食毎日</c:v>
                </c:pt>
              </c:strCache>
            </c:strRef>
          </c:cat>
          <c:val>
            <c:numRef>
              <c:f>Sheet1!$B$6:$O$6</c:f>
              <c:numCache>
                <c:formatCode>0.0%</c:formatCode>
                <c:ptCount val="14"/>
                <c:pt idx="0">
                  <c:v>0.127</c:v>
                </c:pt>
                <c:pt idx="1">
                  <c:v>0.34499999999999997</c:v>
                </c:pt>
                <c:pt idx="2">
                  <c:v>0.59699999999999998</c:v>
                </c:pt>
                <c:pt idx="3">
                  <c:v>0.46500000000000002</c:v>
                </c:pt>
                <c:pt idx="4">
                  <c:v>0.51500000000000001</c:v>
                </c:pt>
                <c:pt idx="5">
                  <c:v>0.25800000000000001</c:v>
                </c:pt>
                <c:pt idx="6">
                  <c:v>0.14399999999999999</c:v>
                </c:pt>
                <c:pt idx="7">
                  <c:v>8.4000000000000005E-2</c:v>
                </c:pt>
                <c:pt idx="8">
                  <c:v>0.24399999999999999</c:v>
                </c:pt>
                <c:pt idx="9">
                  <c:v>2.3E-2</c:v>
                </c:pt>
                <c:pt idx="10">
                  <c:v>0.25</c:v>
                </c:pt>
                <c:pt idx="11">
                  <c:v>0.27900000000000003</c:v>
                </c:pt>
                <c:pt idx="12">
                  <c:v>8.0000000000000002E-3</c:v>
                </c:pt>
                <c:pt idx="13">
                  <c:v>0.217</c:v>
                </c:pt>
              </c:numCache>
            </c:numRef>
          </c:val>
          <c:extLst>
            <c:ext xmlns:c16="http://schemas.microsoft.com/office/drawing/2014/chart" uri="{C3380CC4-5D6E-409C-BE32-E72D297353CC}">
              <c16:uniqueId val="{00000003-E001-4C6A-9569-D4FA1BE8984D}"/>
            </c:ext>
          </c:extLst>
        </c:ser>
        <c:dLbls>
          <c:showLegendKey val="0"/>
          <c:showVal val="0"/>
          <c:showCatName val="0"/>
          <c:showSerName val="0"/>
          <c:showPercent val="0"/>
          <c:showBubbleSize val="0"/>
        </c:dLbls>
        <c:gapWidth val="219"/>
        <c:axId val="1"/>
        <c:axId val="2"/>
        <c:extLst>
          <c:ext xmlns:c15="http://schemas.microsoft.com/office/drawing/2012/chart" uri="{02D57815-91ED-43cb-92C2-25804820EDAC}">
            <c15:filteredBarSeries>
              <c15:ser>
                <c:idx val="0"/>
                <c:order val="0"/>
                <c:tx>
                  <c:strRef>
                    <c:extLst>
                      <c:ext uri="{02D57815-91ED-43cb-92C2-25804820EDAC}">
                        <c15:formulaRef>
                          <c15:sqref>Sheet1!$A$2</c15:sqref>
                        </c15:formulaRef>
                      </c:ext>
                    </c:extLst>
                    <c:strCache>
                      <c:ptCount val="1"/>
                      <c:pt idx="0">
                        <c:v>{{市区町村名}}_人数</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Sheet1!$B$1:$O$1</c15:sqref>
                        </c15:formulaRef>
                      </c:ext>
                    </c:extLst>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1日3合以上飲酒</c:v>
                      </c:pt>
                      <c:pt idx="10">
                        <c:v>睡眠不足</c:v>
                      </c:pt>
                      <c:pt idx="11">
                        <c:v>生活改善意欲なし</c:v>
                      </c:pt>
                      <c:pt idx="12">
                        <c:v>咀嚼ほとんどかめない</c:v>
                      </c:pt>
                      <c:pt idx="13">
                        <c:v>間食毎日</c:v>
                      </c:pt>
                    </c:strCache>
                  </c:strRef>
                </c:cat>
                <c:val>
                  <c:numRef>
                    <c:extLst>
                      <c:ext uri="{02D57815-91ED-43cb-92C2-25804820EDAC}">
                        <c15:formulaRef>
                          <c15:sqref>Sheet1!$B$2:$O$2</c15:sqref>
                        </c15:formulaRef>
                      </c:ext>
                    </c:extLst>
                    <c:numCache>
                      <c:formatCode>0_);[Red]\(0\)</c:formatCode>
                      <c:ptCount val="14"/>
                      <c:pt idx="0">
                        <c:v>77.7</c:v>
                      </c:pt>
                      <c:pt idx="1">
                        <c:v>77.7</c:v>
                      </c:pt>
                      <c:pt idx="2">
                        <c:v>77.7</c:v>
                      </c:pt>
                      <c:pt idx="3">
                        <c:v>77.7</c:v>
                      </c:pt>
                      <c:pt idx="4">
                        <c:v>77.7</c:v>
                      </c:pt>
                      <c:pt idx="5">
                        <c:v>77.7</c:v>
                      </c:pt>
                      <c:pt idx="6">
                        <c:v>77.7</c:v>
                      </c:pt>
                      <c:pt idx="7">
                        <c:v>77.7</c:v>
                      </c:pt>
                      <c:pt idx="8">
                        <c:v>77.7</c:v>
                      </c:pt>
                      <c:pt idx="9">
                        <c:v>77.7</c:v>
                      </c:pt>
                      <c:pt idx="10">
                        <c:v>77.7</c:v>
                      </c:pt>
                      <c:pt idx="11">
                        <c:v>77.7</c:v>
                      </c:pt>
                      <c:pt idx="12">
                        <c:v>77.7</c:v>
                      </c:pt>
                      <c:pt idx="13">
                        <c:v>77.7</c:v>
                      </c:pt>
                    </c:numCache>
                  </c:numRef>
                </c:val>
                <c:extLst>
                  <c:ext xmlns:c16="http://schemas.microsoft.com/office/drawing/2014/chart" uri="{C3380CC4-5D6E-409C-BE32-E72D297353CC}">
                    <c16:uniqueId val="{00000004-E001-4C6A-9569-D4FA1BE8984D}"/>
                  </c:ext>
                </c:extLst>
              </c15:ser>
            </c15:filteredBarSeries>
          </c:ext>
        </c:extLst>
      </c:bar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numFmt formatCode="0.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4">
    <c:autoUpdate val="0"/>
  </c:externalData>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8172936716245"/>
          <c:y val="0.12818971724388611"/>
          <c:w val="0.78984580052493425"/>
          <c:h val="0.52348475552581797"/>
        </c:manualLayout>
      </c:layout>
      <c:barChart>
        <c:barDir val="col"/>
        <c:grouping val="clustered"/>
        <c:varyColors val="0"/>
        <c:ser>
          <c:idx val="0"/>
          <c:order val="0"/>
          <c:tx>
            <c:strRef>
              <c:f>Sheet1!$A$2</c:f>
              <c:strCache>
                <c:ptCount val="1"/>
                <c:pt idx="0">
                  <c:v>構成割合（40-64歳）</c:v>
                </c:pt>
              </c:strCache>
            </c:strRef>
          </c:tx>
          <c:spPr>
            <a:solidFill>
              <a:srgbClr val="00B0F0"/>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Sheet1!$B$2:$O$2</c:f>
              <c:numCache>
                <c:formatCode>0.0%</c:formatCode>
                <c:ptCount val="14"/>
                <c:pt idx="0">
                  <c:v>0.33988212180746563</c:v>
                </c:pt>
                <c:pt idx="1">
                  <c:v>0.45956607495069041</c:v>
                </c:pt>
                <c:pt idx="2">
                  <c:v>0.66208251473477409</c:v>
                </c:pt>
                <c:pt idx="3">
                  <c:v>0.26035502958579881</c:v>
                </c:pt>
                <c:pt idx="4">
                  <c:v>0.43762376237623762</c:v>
                </c:pt>
                <c:pt idx="5">
                  <c:v>0.32608695652173914</c:v>
                </c:pt>
                <c:pt idx="6">
                  <c:v>0.33005893909626721</c:v>
                </c:pt>
                <c:pt idx="7">
                  <c:v>0.22396856581532407</c:v>
                </c:pt>
                <c:pt idx="8">
                  <c:v>0.37131630648330072</c:v>
                </c:pt>
                <c:pt idx="9">
                  <c:v>6.3492063492063489E-2</c:v>
                </c:pt>
                <c:pt idx="10">
                  <c:v>0.28712871287128711</c:v>
                </c:pt>
                <c:pt idx="11">
                  <c:v>0.33465346534653467</c:v>
                </c:pt>
                <c:pt idx="12">
                  <c:v>1.3888888888888888E-2</c:v>
                </c:pt>
                <c:pt idx="13">
                  <c:v>0.20198019801980199</c:v>
                </c:pt>
              </c:numCache>
            </c:numRef>
          </c:val>
          <c:extLst>
            <c:ext xmlns:c16="http://schemas.microsoft.com/office/drawing/2014/chart" uri="{C3380CC4-5D6E-409C-BE32-E72D297353CC}">
              <c16:uniqueId val="{00000000-26B3-4FE8-91EA-7E8889AA0F40}"/>
            </c:ext>
          </c:extLst>
        </c:ser>
        <c:ser>
          <c:idx val="2"/>
          <c:order val="2"/>
          <c:tx>
            <c:strRef>
              <c:f>Sheet1!$A$4</c:f>
              <c:strCache>
                <c:ptCount val="1"/>
                <c:pt idx="0">
                  <c:v>構成割合（65-74歳）</c:v>
                </c:pt>
              </c:strCache>
            </c:strRef>
          </c:tx>
          <c:spPr>
            <a:solidFill>
              <a:srgbClr val="5575FF"/>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Sheet1!$B$4:$O$4</c:f>
              <c:numCache>
                <c:formatCode>0.0%</c:formatCode>
                <c:ptCount val="14"/>
                <c:pt idx="0">
                  <c:v>0.1872852233676976</c:v>
                </c:pt>
                <c:pt idx="1">
                  <c:v>0.45657781599312131</c:v>
                </c:pt>
                <c:pt idx="2">
                  <c:v>0.52237521514629948</c:v>
                </c:pt>
                <c:pt idx="3">
                  <c:v>0.32874354561101549</c:v>
                </c:pt>
                <c:pt idx="4">
                  <c:v>0.46345657781599314</c:v>
                </c:pt>
                <c:pt idx="5">
                  <c:v>0.20865800865800865</c:v>
                </c:pt>
                <c:pt idx="6">
                  <c:v>0.21238177128116936</c:v>
                </c:pt>
                <c:pt idx="7">
                  <c:v>7.8245915735167676E-2</c:v>
                </c:pt>
                <c:pt idx="8">
                  <c:v>0.42218400687876179</c:v>
                </c:pt>
                <c:pt idx="9">
                  <c:v>1.9965277777777776E-2</c:v>
                </c:pt>
                <c:pt idx="10">
                  <c:v>0.20930232558139536</c:v>
                </c:pt>
                <c:pt idx="11">
                  <c:v>0.41212121212121205</c:v>
                </c:pt>
                <c:pt idx="12">
                  <c:v>1.2131715771230503E-2</c:v>
                </c:pt>
                <c:pt idx="13">
                  <c:v>0.15784908933217692</c:v>
                </c:pt>
              </c:numCache>
            </c:numRef>
          </c:val>
          <c:extLst>
            <c:ext xmlns:c16="http://schemas.microsoft.com/office/drawing/2014/chart" uri="{C3380CC4-5D6E-409C-BE32-E72D297353CC}">
              <c16:uniqueId val="{00000001-26B3-4FE8-91EA-7E8889AA0F40}"/>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Sheet1!$A$3</c:f>
              <c:strCache>
                <c:ptCount val="1"/>
                <c:pt idx="0">
                  <c:v>標準化比（40-64歳）</c:v>
                </c:pt>
              </c:strCache>
            </c:strRef>
          </c:tx>
          <c:spPr>
            <a:ln w="25400" cap="rnd">
              <a:solidFill>
                <a:srgbClr val="00B0F0"/>
              </a:solidFill>
              <a:round/>
            </a:ln>
            <a:effectLst/>
          </c:spPr>
          <c:marker>
            <c:symbol val="circle"/>
            <c:size val="5"/>
            <c:spPr>
              <a:solidFill>
                <a:srgbClr val="00B0F0"/>
              </a:solidFill>
              <a:ln w="9525">
                <a:solidFill>
                  <a:srgbClr val="00B0F0"/>
                </a:solidFill>
              </a:ln>
              <a:effectLst/>
            </c:spPr>
          </c:marker>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Sheet1!$B$3:$O$3</c:f>
              <c:numCache>
                <c:formatCode>#,##0.0_ </c:formatCode>
                <c:ptCount val="14"/>
                <c:pt idx="0">
                  <c:v>114.03523304918262</c:v>
                </c:pt>
                <c:pt idx="1">
                  <c:v>94.270378114557275</c:v>
                </c:pt>
                <c:pt idx="2">
                  <c:v>101.33193684584954</c:v>
                </c:pt>
                <c:pt idx="3">
                  <c:v>52.515023142777771</c:v>
                </c:pt>
                <c:pt idx="4">
                  <c:v>86.343510251539698</c:v>
                </c:pt>
                <c:pt idx="5">
                  <c:v>87.605293320541151</c:v>
                </c:pt>
                <c:pt idx="6">
                  <c:v>114.14044871152544</c:v>
                </c:pt>
                <c:pt idx="7">
                  <c:v>93.940528014808393</c:v>
                </c:pt>
                <c:pt idx="8">
                  <c:v>104.73032303184864</c:v>
                </c:pt>
                <c:pt idx="9">
                  <c:v>80.072907184702117</c:v>
                </c:pt>
                <c:pt idx="10">
                  <c:v>108.51072780957772</c:v>
                </c:pt>
                <c:pt idx="11">
                  <c:v>125.72582740579952</c:v>
                </c:pt>
                <c:pt idx="12">
                  <c:v>132.44028374217351</c:v>
                </c:pt>
                <c:pt idx="13">
                  <c:v>120.57174802895251</c:v>
                </c:pt>
              </c:numCache>
            </c:numRef>
          </c:val>
          <c:smooth val="0"/>
          <c:extLst>
            <c:ext xmlns:c16="http://schemas.microsoft.com/office/drawing/2014/chart" uri="{C3380CC4-5D6E-409C-BE32-E72D297353CC}">
              <c16:uniqueId val="{00000002-26B3-4FE8-91EA-7E8889AA0F40}"/>
            </c:ext>
          </c:extLst>
        </c:ser>
        <c:ser>
          <c:idx val="3"/>
          <c:order val="3"/>
          <c:tx>
            <c:strRef>
              <c:f>Sheet1!$A$5</c:f>
              <c:strCache>
                <c:ptCount val="1"/>
                <c:pt idx="0">
                  <c:v>標準化比（65-74歳）</c:v>
                </c:pt>
              </c:strCache>
            </c:strRef>
          </c:tx>
          <c:spPr>
            <a:ln w="25400" cap="rnd">
              <a:solidFill>
                <a:srgbClr val="5575FF"/>
              </a:solidFill>
              <a:round/>
            </a:ln>
            <a:effectLst/>
          </c:spPr>
          <c:marker>
            <c:symbol val="circle"/>
            <c:size val="5"/>
            <c:spPr>
              <a:solidFill>
                <a:srgbClr val="5575FF"/>
              </a:solidFill>
              <a:ln w="9525">
                <a:solidFill>
                  <a:srgbClr val="5575FF"/>
                </a:solidFill>
              </a:ln>
              <a:effectLst/>
            </c:spPr>
          </c:marker>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Sheet1!$B$5:$O$5</c:f>
              <c:numCache>
                <c:formatCode>#,##0.0_ </c:formatCode>
                <c:ptCount val="14"/>
                <c:pt idx="0">
                  <c:v>99.15465116909634</c:v>
                </c:pt>
                <c:pt idx="1">
                  <c:v>105.84690228353834</c:v>
                </c:pt>
                <c:pt idx="2">
                  <c:v>98.158219522502833</c:v>
                </c:pt>
                <c:pt idx="3">
                  <c:v>68.832933115629842</c:v>
                </c:pt>
                <c:pt idx="4">
                  <c:v>93.564479545918118</c:v>
                </c:pt>
                <c:pt idx="5">
                  <c:v>76.007836836284355</c:v>
                </c:pt>
                <c:pt idx="6">
                  <c:v>126.481786546531</c:v>
                </c:pt>
                <c:pt idx="7">
                  <c:v>102.66310032248913</c:v>
                </c:pt>
                <c:pt idx="8">
                  <c:v>95.16718406770039</c:v>
                </c:pt>
                <c:pt idx="9">
                  <c:v>70.089297278196867</c:v>
                </c:pt>
                <c:pt idx="10">
                  <c:v>99.237171233754353</c:v>
                </c:pt>
                <c:pt idx="11">
                  <c:v>123.29795498870577</c:v>
                </c:pt>
                <c:pt idx="12">
                  <c:v>96.91763442273627</c:v>
                </c:pt>
                <c:pt idx="13">
                  <c:v>118.31469554910478</c:v>
                </c:pt>
              </c:numCache>
            </c:numRef>
          </c:val>
          <c:smooth val="0"/>
          <c:extLst>
            <c:ext xmlns:c16="http://schemas.microsoft.com/office/drawing/2014/chart" uri="{C3380CC4-5D6E-409C-BE32-E72D297353CC}">
              <c16:uniqueId val="{00000003-26B3-4FE8-91EA-7E8889AA0F40}"/>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horzOverflow="overflow" wrap="square" anchor="ctr" anchorCtr="1"/>
          <a:lstStyle/>
          <a:p>
            <a:pPr algn="ctr" rtl="0">
              <a:defRPr sz="6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layout>
            <c:manualLayout>
              <c:xMode val="edge"/>
              <c:yMode val="edge"/>
              <c:x val="9.2591713810203334E-3"/>
              <c:y val="0.44165909942015719"/>
            </c:manualLayout>
          </c:layout>
          <c:overlay val="0"/>
          <c:spPr>
            <a:noFill/>
            <a:ln>
              <a:noFill/>
            </a:ln>
            <a:effectLst/>
          </c:spPr>
        </c:title>
        <c:numFmt formatCode="0.0%"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layout>
            <c:manualLayout>
              <c:xMode val="edge"/>
              <c:yMode val="edge"/>
              <c:x val="0.96407899776626071"/>
              <c:y val="0.33553733977222383"/>
            </c:manualLayout>
          </c:layout>
          <c:overlay val="0"/>
          <c:spPr>
            <a:noFill/>
            <a:ln>
              <a:noFill/>
            </a:ln>
            <a:effectLst/>
          </c:spPr>
        </c:title>
        <c:numFmt formatCode="#,##0" sourceLinked="0"/>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layout>
        <c:manualLayout>
          <c:xMode val="edge"/>
          <c:yMode val="edge"/>
          <c:x val="2.0462962962962971E-2"/>
          <c:y val="2.3809523809523808E-2"/>
          <c:w val="0.96833333333333316"/>
          <c:h val="6.087301587301587E-2"/>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08172936716245"/>
          <c:y val="0.11642857142857142"/>
          <c:w val="0.78984580052493425"/>
          <c:h val="0.53524588989748012"/>
        </c:manualLayout>
      </c:layout>
      <c:barChart>
        <c:barDir val="col"/>
        <c:grouping val="clustered"/>
        <c:varyColors val="0"/>
        <c:ser>
          <c:idx val="0"/>
          <c:order val="0"/>
          <c:tx>
            <c:strRef>
              <c:f>Sheet1!$A$2</c:f>
              <c:strCache>
                <c:ptCount val="1"/>
                <c:pt idx="0">
                  <c:v>構成割合（40-64歳）</c:v>
                </c:pt>
              </c:strCache>
            </c:strRef>
          </c:tx>
          <c:spPr>
            <a:solidFill>
              <a:srgbClr val="FFC000"/>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Sheet1!$B$2:$O$2</c:f>
              <c:numCache>
                <c:formatCode>0.0%</c:formatCode>
                <c:ptCount val="14"/>
                <c:pt idx="0">
                  <c:v>0.1430817610062893</c:v>
                </c:pt>
                <c:pt idx="1">
                  <c:v>0.34015748031496063</c:v>
                </c:pt>
                <c:pt idx="2">
                  <c:v>0.68396226415094341</c:v>
                </c:pt>
                <c:pt idx="3">
                  <c:v>0.1750788643533123</c:v>
                </c:pt>
                <c:pt idx="4">
                  <c:v>0.51261829652996849</c:v>
                </c:pt>
                <c:pt idx="5">
                  <c:v>0.21642969984202207</c:v>
                </c:pt>
                <c:pt idx="6">
                  <c:v>0.16981132075471697</c:v>
                </c:pt>
                <c:pt idx="7">
                  <c:v>0.15880503144654087</c:v>
                </c:pt>
                <c:pt idx="8">
                  <c:v>0.14173228346456693</c:v>
                </c:pt>
                <c:pt idx="9">
                  <c:v>1.2903225806451613E-2</c:v>
                </c:pt>
                <c:pt idx="10">
                  <c:v>0.31428571428571428</c:v>
                </c:pt>
                <c:pt idx="11">
                  <c:v>0.26382306477093209</c:v>
                </c:pt>
                <c:pt idx="12">
                  <c:v>4.7468354430379748E-3</c:v>
                </c:pt>
                <c:pt idx="13">
                  <c:v>0.30537974683544306</c:v>
                </c:pt>
              </c:numCache>
            </c:numRef>
          </c:val>
          <c:extLst>
            <c:ext xmlns:c16="http://schemas.microsoft.com/office/drawing/2014/chart" uri="{C3380CC4-5D6E-409C-BE32-E72D297353CC}">
              <c16:uniqueId val="{00000000-04A9-4C78-9B2D-36E50FDC9B48}"/>
            </c:ext>
          </c:extLst>
        </c:ser>
        <c:ser>
          <c:idx val="2"/>
          <c:order val="2"/>
          <c:tx>
            <c:strRef>
              <c:f>Sheet1!$A$4</c:f>
              <c:strCache>
                <c:ptCount val="1"/>
                <c:pt idx="0">
                  <c:v>構成割合（65-74歳）</c:v>
                </c:pt>
              </c:strCache>
            </c:strRef>
          </c:tx>
          <c:spPr>
            <a:solidFill>
              <a:srgbClr val="FF7463"/>
            </a:solidFill>
            <a:ln>
              <a:noFill/>
            </a:ln>
            <a:effectLst/>
          </c:spPr>
          <c:invertIfNegative val="0"/>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Sheet1!$B$4:$O$4</c:f>
              <c:numCache>
                <c:formatCode>0.0%</c:formatCode>
                <c:ptCount val="14"/>
                <c:pt idx="0">
                  <c:v>5.1459293394777263E-2</c:v>
                </c:pt>
                <c:pt idx="1">
                  <c:v>0.27076923076923082</c:v>
                </c:pt>
                <c:pt idx="2">
                  <c:v>0.54923076923076919</c:v>
                </c:pt>
                <c:pt idx="3">
                  <c:v>0.15065334358186011</c:v>
                </c:pt>
                <c:pt idx="4">
                  <c:v>0.42713955281418658</c:v>
                </c:pt>
                <c:pt idx="5">
                  <c:v>0.16770186335403728</c:v>
                </c:pt>
                <c:pt idx="6">
                  <c:v>0.11452728670253652</c:v>
                </c:pt>
                <c:pt idx="7">
                  <c:v>6.3076923076923072E-2</c:v>
                </c:pt>
                <c:pt idx="8">
                  <c:v>0.10215053763440859</c:v>
                </c:pt>
                <c:pt idx="9">
                  <c:v>1.557632398753894E-3</c:v>
                </c:pt>
                <c:pt idx="10">
                  <c:v>0.26425269645608629</c:v>
                </c:pt>
                <c:pt idx="11">
                  <c:v>0.29595015576323985</c:v>
                </c:pt>
                <c:pt idx="12">
                  <c:v>7.77000777000777E-4</c:v>
                </c:pt>
                <c:pt idx="13">
                  <c:v>0.25660964230171074</c:v>
                </c:pt>
              </c:numCache>
            </c:numRef>
          </c:val>
          <c:extLst>
            <c:ext xmlns:c16="http://schemas.microsoft.com/office/drawing/2014/chart" uri="{C3380CC4-5D6E-409C-BE32-E72D297353CC}">
              <c16:uniqueId val="{00000001-04A9-4C78-9B2D-36E50FDC9B48}"/>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Sheet1!$A$3</c:f>
              <c:strCache>
                <c:ptCount val="1"/>
                <c:pt idx="0">
                  <c:v>標準化比（40-64歳）</c:v>
                </c:pt>
              </c:strCache>
            </c:strRef>
          </c:tx>
          <c:spPr>
            <a:ln w="25400" cap="rnd">
              <a:solidFill>
                <a:srgbClr val="FFC000"/>
              </a:solidFill>
              <a:round/>
            </a:ln>
            <a:effectLst/>
          </c:spPr>
          <c:marker>
            <c:symbol val="circle"/>
            <c:size val="5"/>
            <c:spPr>
              <a:solidFill>
                <a:srgbClr val="FFC000"/>
              </a:solidFill>
              <a:ln w="9525">
                <a:solidFill>
                  <a:srgbClr val="FFC000"/>
                </a:solidFill>
              </a:ln>
              <a:effectLst/>
            </c:spPr>
          </c:marker>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Sheet1!$B$3:$O$3</c:f>
              <c:numCache>
                <c:formatCode>#,##0.0_ </c:formatCode>
                <c:ptCount val="14"/>
                <c:pt idx="0">
                  <c:v>138.55392147764957</c:v>
                </c:pt>
                <c:pt idx="1">
                  <c:v>116.71920191336882</c:v>
                </c:pt>
                <c:pt idx="2">
                  <c:v>95.287238876513584</c:v>
                </c:pt>
                <c:pt idx="3">
                  <c:v>35.709079021865719</c:v>
                </c:pt>
                <c:pt idx="4">
                  <c:v>93.375471096154556</c:v>
                </c:pt>
                <c:pt idx="5">
                  <c:v>83.91540840778903</c:v>
                </c:pt>
                <c:pt idx="6">
                  <c:v>111.09220328594895</c:v>
                </c:pt>
                <c:pt idx="7">
                  <c:v>102.03047056949958</c:v>
                </c:pt>
                <c:pt idx="8">
                  <c:v>92.712340875875242</c:v>
                </c:pt>
                <c:pt idx="9">
                  <c:v>61.476593228595789</c:v>
                </c:pt>
                <c:pt idx="10">
                  <c:v>104.89029448583067</c:v>
                </c:pt>
                <c:pt idx="11">
                  <c:v>131.97331029816792</c:v>
                </c:pt>
                <c:pt idx="12">
                  <c:v>103.96859684340743</c:v>
                </c:pt>
                <c:pt idx="13">
                  <c:v>103.19786417207703</c:v>
                </c:pt>
              </c:numCache>
            </c:numRef>
          </c:val>
          <c:smooth val="0"/>
          <c:extLst>
            <c:ext xmlns:c16="http://schemas.microsoft.com/office/drawing/2014/chart" uri="{C3380CC4-5D6E-409C-BE32-E72D297353CC}">
              <c16:uniqueId val="{00000002-04A9-4C78-9B2D-36E50FDC9B48}"/>
            </c:ext>
          </c:extLst>
        </c:ser>
        <c:ser>
          <c:idx val="3"/>
          <c:order val="3"/>
          <c:tx>
            <c:strRef>
              <c:f>Sheet1!$A$5</c:f>
              <c:strCache>
                <c:ptCount val="1"/>
                <c:pt idx="0">
                  <c:v>標準化比（65-74歳）</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cat>
            <c:strRef>
              <c:f>Sheet1!$B$1:$O$1</c:f>
              <c:strCache>
                <c:ptCount val="14"/>
                <c:pt idx="0">
                  <c:v>喫煙</c:v>
                </c:pt>
                <c:pt idx="1">
                  <c:v>20歳時体重から10kg以上増加</c:v>
                </c:pt>
                <c:pt idx="2">
                  <c:v>1回30分以上の運動習慣なし</c:v>
                </c:pt>
                <c:pt idx="3">
                  <c:v>1日1時間以上運動なし</c:v>
                </c:pt>
                <c:pt idx="4">
                  <c:v>歩行速度遅い</c:v>
                </c:pt>
                <c:pt idx="5">
                  <c:v>食べる速度が速い</c:v>
                </c:pt>
                <c:pt idx="6">
                  <c:v>週3回以上就寝前夕食</c:v>
                </c:pt>
                <c:pt idx="7">
                  <c:v>週3回以上朝食を抜く</c:v>
                </c:pt>
                <c:pt idx="8">
                  <c:v>毎日飲酒</c:v>
                </c:pt>
                <c:pt idx="9">
                  <c:v>3合以上</c:v>
                </c:pt>
                <c:pt idx="10">
                  <c:v>睡眠不足</c:v>
                </c:pt>
                <c:pt idx="11">
                  <c:v>改善意欲なし</c:v>
                </c:pt>
                <c:pt idx="12">
                  <c:v>咀嚼_ほとんどかめない</c:v>
                </c:pt>
                <c:pt idx="13">
                  <c:v>3食以外間食_毎日</c:v>
                </c:pt>
              </c:strCache>
            </c:strRef>
          </c:cat>
          <c:val>
            <c:numRef>
              <c:f>Sheet1!$B$5:$O$5</c:f>
              <c:numCache>
                <c:formatCode>#,##0.0_ </c:formatCode>
                <c:ptCount val="14"/>
                <c:pt idx="0">
                  <c:v>129.50098848218943</c:v>
                </c:pt>
                <c:pt idx="1">
                  <c:v>103.94212929199271</c:v>
                </c:pt>
                <c:pt idx="2">
                  <c:v>95.956384038265256</c:v>
                </c:pt>
                <c:pt idx="3">
                  <c:v>32.704961463241041</c:v>
                </c:pt>
                <c:pt idx="4">
                  <c:v>86.660329036985473</c:v>
                </c:pt>
                <c:pt idx="5">
                  <c:v>74.079597716144789</c:v>
                </c:pt>
                <c:pt idx="6">
                  <c:v>132.6668520705251</c:v>
                </c:pt>
                <c:pt idx="7">
                  <c:v>134.20189720675458</c:v>
                </c:pt>
                <c:pt idx="8">
                  <c:v>99.362164885737343</c:v>
                </c:pt>
                <c:pt idx="9">
                  <c:v>55.262411648858304</c:v>
                </c:pt>
                <c:pt idx="10">
                  <c:v>104.65377085447194</c:v>
                </c:pt>
                <c:pt idx="11">
                  <c:v>113.61179511360095</c:v>
                </c:pt>
                <c:pt idx="12">
                  <c:v>15.411196610802612</c:v>
                </c:pt>
                <c:pt idx="13">
                  <c:v>97.447275114618748</c:v>
                </c:pt>
              </c:numCache>
            </c:numRef>
          </c:val>
          <c:smooth val="0"/>
          <c:extLst>
            <c:ext xmlns:c16="http://schemas.microsoft.com/office/drawing/2014/chart" uri="{C3380CC4-5D6E-409C-BE32-E72D297353CC}">
              <c16:uniqueId val="{00000003-04A9-4C78-9B2D-36E50FDC9B48}"/>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horzOverflow="overflow" wrap="square" anchor="ctr" anchorCtr="1"/>
          <a:lstStyle/>
          <a:p>
            <a:pPr algn="ctr" rtl="0">
              <a:defRPr sz="6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layout>
            <c:manualLayout>
              <c:xMode val="edge"/>
              <c:yMode val="edge"/>
              <c:x val="9.2592499061414629E-3"/>
              <c:y val="0.44165996591466528"/>
            </c:manualLayout>
          </c:layout>
          <c:overlay val="0"/>
          <c:spPr>
            <a:noFill/>
            <a:ln>
              <a:noFill/>
            </a:ln>
            <a:effectLst/>
          </c:spPr>
        </c:title>
        <c:numFmt formatCode="0.0%"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layout>
            <c:manualLayout>
              <c:xMode val="edge"/>
              <c:yMode val="edge"/>
              <c:x val="0.96414351349121774"/>
              <c:y val="0.33553724859537065"/>
            </c:manualLayout>
          </c:layout>
          <c:overlay val="0"/>
          <c:spPr>
            <a:noFill/>
            <a:ln>
              <a:noFill/>
            </a:ln>
            <a:effectLst/>
          </c:spPr>
        </c:title>
        <c:numFmt formatCode="#,##0" sourceLinked="0"/>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layout>
        <c:manualLayout>
          <c:xMode val="edge"/>
          <c:yMode val="edge"/>
          <c:x val="2.0462962962962971E-2"/>
          <c:y val="2.3809523809523808E-2"/>
          <c:w val="0.96833333333333316"/>
          <c:h val="6.087301587301587E-2"/>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1944281894207"/>
          <c:y val="0.17472283813747227"/>
          <c:w val="0.77557240316738385"/>
          <c:h val="0.7382252435135791"/>
        </c:manualLayout>
      </c:layout>
      <c:barChart>
        <c:barDir val="col"/>
        <c:grouping val="stacked"/>
        <c:varyColors val="0"/>
        <c:ser>
          <c:idx val="0"/>
          <c:order val="0"/>
          <c:tx>
            <c:strRef>
              <c:f>Sheet1!$A$2</c:f>
              <c:strCache>
                <c:ptCount val="1"/>
                <c:pt idx="0">
                  <c:v>0-39歳</c:v>
                </c:pt>
              </c:strCache>
            </c:strRef>
          </c:tx>
          <c:spPr>
            <a:solidFill>
              <a:srgbClr val="264399"/>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5475</c:v>
                </c:pt>
                <c:pt idx="1">
                  <c:v>5108</c:v>
                </c:pt>
                <c:pt idx="2">
                  <c:v>4778</c:v>
                </c:pt>
                <c:pt idx="3">
                  <c:v>4789</c:v>
                </c:pt>
              </c:numCache>
            </c:numRef>
          </c:val>
          <c:extLst>
            <c:ext xmlns:c16="http://schemas.microsoft.com/office/drawing/2014/chart" uri="{C3380CC4-5D6E-409C-BE32-E72D297353CC}">
              <c16:uniqueId val="{00000000-2B2C-4BEA-933E-97B38EE18CE3}"/>
            </c:ext>
          </c:extLst>
        </c:ser>
        <c:ser>
          <c:idx val="1"/>
          <c:order val="1"/>
          <c:tx>
            <c:strRef>
              <c:f>Sheet1!$A$3</c:f>
              <c:strCache>
                <c:ptCount val="1"/>
                <c:pt idx="0">
                  <c:v>40-64歳</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6675</c:v>
                </c:pt>
                <c:pt idx="1">
                  <c:v>6648</c:v>
                </c:pt>
                <c:pt idx="2">
                  <c:v>6415</c:v>
                </c:pt>
                <c:pt idx="3">
                  <c:v>6144</c:v>
                </c:pt>
              </c:numCache>
            </c:numRef>
          </c:val>
          <c:extLst>
            <c:ext xmlns:c16="http://schemas.microsoft.com/office/drawing/2014/chart" uri="{C3380CC4-5D6E-409C-BE32-E72D297353CC}">
              <c16:uniqueId val="{00000001-2B2C-4BEA-933E-97B38EE18CE3}"/>
            </c:ext>
          </c:extLst>
        </c:ser>
        <c:ser>
          <c:idx val="2"/>
          <c:order val="2"/>
          <c:tx>
            <c:strRef>
              <c:f>Sheet1!$A$4</c:f>
              <c:strCache>
                <c:ptCount val="1"/>
                <c:pt idx="0">
                  <c:v>65-74歳</c:v>
                </c:pt>
              </c:strCache>
            </c:strRef>
          </c:tx>
          <c:spPr>
            <a:solidFill>
              <a:srgbClr val="99AC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Sheet1!$B$4:$E$4</c:f>
              <c:numCache>
                <c:formatCode>#,##0_ </c:formatCode>
                <c:ptCount val="4"/>
                <c:pt idx="0">
                  <c:v>8155</c:v>
                </c:pt>
                <c:pt idx="1">
                  <c:v>8386</c:v>
                </c:pt>
                <c:pt idx="2">
                  <c:v>8242</c:v>
                </c:pt>
                <c:pt idx="3">
                  <c:v>7772</c:v>
                </c:pt>
              </c:numCache>
            </c:numRef>
          </c:val>
          <c:extLst>
            <c:ext xmlns:c16="http://schemas.microsoft.com/office/drawing/2014/chart" uri="{C3380CC4-5D6E-409C-BE32-E72D297353CC}">
              <c16:uniqueId val="{00000002-2B2C-4BEA-933E-97B38EE18CE3}"/>
            </c:ext>
          </c:extLst>
        </c:ser>
        <c:dLbls>
          <c:showLegendKey val="0"/>
          <c:showVal val="0"/>
          <c:showCatName val="0"/>
          <c:showSerName val="0"/>
          <c:showPercent val="0"/>
          <c:showBubbleSize val="0"/>
        </c:dLbls>
        <c:gapWidth val="219"/>
        <c:overlap val="100"/>
        <c:axId val="1"/>
        <c:axId val="2"/>
      </c:barChart>
      <c:lineChart>
        <c:grouping val="standard"/>
        <c:varyColors val="0"/>
        <c:ser>
          <c:idx val="3"/>
          <c:order val="3"/>
          <c:tx>
            <c:strRef>
              <c:f>Sheet1!$A$5</c:f>
              <c:strCache>
                <c:ptCount val="1"/>
                <c:pt idx="0">
                  <c:v>八街市国保加入率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0.29355636195405455</c:v>
                </c:pt>
                <c:pt idx="1">
                  <c:v>0.2949005139016998</c:v>
                </c:pt>
                <c:pt idx="2">
                  <c:v>0.28809237930063297</c:v>
                </c:pt>
                <c:pt idx="3">
                  <c:v>0.27853888078148725</c:v>
                </c:pt>
              </c:numCache>
            </c:numRef>
          </c:val>
          <c:smooth val="0"/>
          <c:extLst>
            <c:ext xmlns:c16="http://schemas.microsoft.com/office/drawing/2014/chart" uri="{C3380CC4-5D6E-409C-BE32-E72D297353CC}">
              <c16:uniqueId val="{00000003-2B2C-4BEA-933E-97B38EE18CE3}"/>
            </c:ext>
          </c:extLst>
        </c:ser>
        <c:dLbls>
          <c:showLegendKey val="0"/>
          <c:showVal val="0"/>
          <c:showCatName val="0"/>
          <c:showSerName val="0"/>
          <c:showPercent val="0"/>
          <c:showBubbleSize val="0"/>
        </c:dLbls>
        <c:marker val="1"/>
        <c:smooth val="0"/>
        <c:axId val="11"/>
        <c:axId val="12"/>
        <c:extLst>
          <c:ext xmlns:c15="http://schemas.microsoft.com/office/drawing/2012/chart" uri="{02D57815-91ED-43cb-92C2-25804820EDAC}">
            <c15:filteredLineSeries>
              <c15:ser>
                <c:idx val="4"/>
                <c:order val="4"/>
                <c:tx>
                  <c:strRef>
                    <c:extLst>
                      <c:ext uri="{02D57815-91ED-43cb-92C2-25804820EDAC}">
                        <c15:formulaRef>
                          <c15:sqref>Sheet1!$A$6</c15:sqref>
                        </c15:formulaRef>
                      </c:ext>
                    </c:extLst>
                    <c:strCache>
                      <c:ptCount val="1"/>
                      <c:pt idx="0">
                        <c:v>国_国保加入率</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c:ext uri="{02D57815-91ED-43cb-92C2-25804820EDAC}">
                        <c15:formulaRef>
                          <c15:sqref>Sheet1!$B$1:$E$1</c15:sqref>
                        </c15:formulaRef>
                      </c:ext>
                    </c:extLst>
                    <c:strCache>
                      <c:ptCount val="4"/>
                      <c:pt idx="0">
                        <c:v>令和1年度</c:v>
                      </c:pt>
                      <c:pt idx="1">
                        <c:v>令和2年度</c:v>
                      </c:pt>
                      <c:pt idx="2">
                        <c:v>令和3年度</c:v>
                      </c:pt>
                      <c:pt idx="3">
                        <c:v>令和4年度</c:v>
                      </c:pt>
                    </c:strCache>
                  </c:strRef>
                </c:cat>
                <c:val>
                  <c:numRef>
                    <c:extLst>
                      <c:ext uri="{02D57815-91ED-43cb-92C2-25804820EDAC}">
                        <c15:formulaRef>
                          <c15:sqref>Sheet1!$B$6:$E$6</c15:sqref>
                        </c15:formulaRef>
                      </c:ext>
                    </c:extLst>
                    <c:numCache>
                      <c:formatCode>0.0%</c:formatCode>
                      <c:ptCount val="4"/>
                      <c:pt idx="0">
                        <c:v>0.77700000000000002</c:v>
                      </c:pt>
                      <c:pt idx="1">
                        <c:v>0.77700000000000002</c:v>
                      </c:pt>
                      <c:pt idx="2">
                        <c:v>0.77700000000000002</c:v>
                      </c:pt>
                      <c:pt idx="3">
                        <c:v>0.77700000000000002</c:v>
                      </c:pt>
                    </c:numCache>
                  </c:numRef>
                </c:val>
                <c:smooth val="0"/>
                <c:extLst>
                  <c:ext xmlns:c16="http://schemas.microsoft.com/office/drawing/2014/chart" uri="{C3380CC4-5D6E-409C-BE32-E72D297353CC}">
                    <c16:uniqueId val="{00000004-2B2C-4BEA-933E-97B38EE18CE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Sheet1!$A$7</c15:sqref>
                        </c15:formulaRef>
                      </c:ext>
                    </c:extLst>
                    <c:strCache>
                      <c:ptCount val="1"/>
                      <c:pt idx="0">
                        <c:v>{{都道府県_単位}}_国保加入率</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Sheet1!$B$1:$E$1</c15:sqref>
                        </c15:formulaRef>
                      </c:ext>
                    </c:extLst>
                    <c:strCache>
                      <c:ptCount val="4"/>
                      <c:pt idx="0">
                        <c:v>令和1年度</c:v>
                      </c:pt>
                      <c:pt idx="1">
                        <c:v>令和2年度</c:v>
                      </c:pt>
                      <c:pt idx="2">
                        <c:v>令和3年度</c:v>
                      </c:pt>
                      <c:pt idx="3">
                        <c:v>令和4年度</c:v>
                      </c:pt>
                    </c:strCache>
                  </c:strRef>
                </c:cat>
                <c:val>
                  <c:numRef>
                    <c:extLst xmlns:c15="http://schemas.microsoft.com/office/drawing/2012/chart">
                      <c:ext xmlns:c15="http://schemas.microsoft.com/office/drawing/2012/chart" uri="{02D57815-91ED-43cb-92C2-25804820EDAC}">
                        <c15:formulaRef>
                          <c15:sqref>Sheet1!$B$7:$E$7</c15:sqref>
                        </c15:formulaRef>
                      </c:ext>
                    </c:extLst>
                    <c:numCache>
                      <c:formatCode>0.0%</c:formatCode>
                      <c:ptCount val="4"/>
                      <c:pt idx="0">
                        <c:v>0.77700000000000002</c:v>
                      </c:pt>
                      <c:pt idx="1">
                        <c:v>0.77700000000000002</c:v>
                      </c:pt>
                      <c:pt idx="2">
                        <c:v>0.77700000000000002</c:v>
                      </c:pt>
                      <c:pt idx="3">
                        <c:v>0.77700000000000002</c:v>
                      </c:pt>
                    </c:numCache>
                  </c:numRef>
                </c:val>
                <c:smooth val="0"/>
                <c:extLst xmlns:c15="http://schemas.microsoft.com/office/drawing/2012/chart">
                  <c:ext xmlns:c16="http://schemas.microsoft.com/office/drawing/2014/chart" uri="{C3380CC4-5D6E-409C-BE32-E72D297353CC}">
                    <c16:uniqueId val="{00000005-2B2C-4BEA-933E-97B38EE18CE3}"/>
                  </c:ext>
                </c:extLst>
              </c15:ser>
            </c15:filteredLineSeries>
          </c:ext>
        </c:extLst>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2.3518850234290774E-3"/>
              <c:y val="0.4753008974901155"/>
            </c:manualLayout>
          </c:layout>
          <c:overlay val="0"/>
          <c:spPr>
            <a:noFill/>
            <a:ln>
              <a:noFill/>
            </a:ln>
            <a:effectLst/>
          </c:spPr>
        </c:title>
        <c:numFmt formatCode="#,##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割合</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7198412698412699"/>
          <c:w val="0.7752161708953047"/>
          <c:h val="0.74232845894263211"/>
        </c:manualLayout>
      </c:layout>
      <c:barChart>
        <c:barDir val="col"/>
        <c:grouping val="clustered"/>
        <c:varyColors val="0"/>
        <c:ser>
          <c:idx val="0"/>
          <c:order val="0"/>
          <c:tx>
            <c:strRef>
              <c:f>Sheet1!$A$2</c:f>
              <c:strCache>
                <c:ptCount val="1"/>
                <c:pt idx="0">
                  <c:v>対象者数（国保）</c:v>
                </c:pt>
              </c:strCache>
            </c:strRef>
          </c:tx>
          <c:spPr>
            <a:solidFill>
              <a:srgbClr val="5575FF"/>
            </a:solidFill>
            <a:ln>
              <a:noFill/>
            </a:ln>
            <a:effectLst/>
          </c:spPr>
          <c:invertIfNegative val="0"/>
          <c:cat>
            <c:strRef>
              <c:f>Sheet1!$B$1:$D$1</c:f>
              <c:strCache>
                <c:ptCount val="3"/>
                <c:pt idx="0">
                  <c:v>令和1年度</c:v>
                </c:pt>
                <c:pt idx="1">
                  <c:v>令和2年度</c:v>
                </c:pt>
                <c:pt idx="2">
                  <c:v>令和3年度</c:v>
                </c:pt>
              </c:strCache>
            </c:strRef>
          </c:cat>
          <c:val>
            <c:numRef>
              <c:f>Sheet1!$B$2:$D$2</c:f>
              <c:numCache>
                <c:formatCode>#,##0_ </c:formatCode>
                <c:ptCount val="3"/>
                <c:pt idx="0">
                  <c:v>10083</c:v>
                </c:pt>
                <c:pt idx="1">
                  <c:v>10005</c:v>
                </c:pt>
                <c:pt idx="2">
                  <c:v>9755</c:v>
                </c:pt>
              </c:numCache>
            </c:numRef>
          </c:val>
          <c:extLst>
            <c:ext xmlns:c16="http://schemas.microsoft.com/office/drawing/2014/chart" uri="{C3380CC4-5D6E-409C-BE32-E72D297353CC}">
              <c16:uniqueId val="{00000000-C62C-4627-899E-B6D7ABC7829A}"/>
            </c:ext>
          </c:extLst>
        </c:ser>
        <c:ser>
          <c:idx val="1"/>
          <c:order val="1"/>
          <c:tx>
            <c:strRef>
              <c:f>Sheet1!$A$3</c:f>
              <c:strCache>
                <c:ptCount val="1"/>
                <c:pt idx="0">
                  <c:v>受診者数（国保）</c:v>
                </c:pt>
              </c:strCache>
            </c:strRef>
          </c:tx>
          <c:spPr>
            <a:solidFill>
              <a:srgbClr val="CCD6FF"/>
            </a:solidFill>
            <a:ln>
              <a:noFill/>
            </a:ln>
            <a:effectLst/>
          </c:spPr>
          <c:invertIfNegative val="0"/>
          <c:cat>
            <c:strRef>
              <c:f>Sheet1!$B$1:$D$1</c:f>
              <c:strCache>
                <c:ptCount val="3"/>
                <c:pt idx="0">
                  <c:v>令和1年度</c:v>
                </c:pt>
                <c:pt idx="1">
                  <c:v>令和2年度</c:v>
                </c:pt>
                <c:pt idx="2">
                  <c:v>令和3年度</c:v>
                </c:pt>
              </c:strCache>
            </c:strRef>
          </c:cat>
          <c:val>
            <c:numRef>
              <c:f>Sheet1!$B$3:$D$3</c:f>
              <c:numCache>
                <c:formatCode>#,##0_ </c:formatCode>
                <c:ptCount val="3"/>
                <c:pt idx="0">
                  <c:v>1612</c:v>
                </c:pt>
                <c:pt idx="1">
                  <c:v>1346</c:v>
                </c:pt>
                <c:pt idx="2">
                  <c:v>1166</c:v>
                </c:pt>
              </c:numCache>
            </c:numRef>
          </c:val>
          <c:extLst>
            <c:ext xmlns:c16="http://schemas.microsoft.com/office/drawing/2014/chart" uri="{C3380CC4-5D6E-409C-BE32-E72D297353CC}">
              <c16:uniqueId val="{00000001-C62C-4627-899E-B6D7ABC7829A}"/>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八街市_受診率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令和1年度</c:v>
                </c:pt>
                <c:pt idx="1">
                  <c:v>令和2年度</c:v>
                </c:pt>
                <c:pt idx="2">
                  <c:v>令和3年度</c:v>
                </c:pt>
              </c:strCache>
            </c:strRef>
          </c:cat>
          <c:val>
            <c:numRef>
              <c:f>Sheet1!$B$4:$D$4</c:f>
              <c:numCache>
                <c:formatCode>0.0%</c:formatCode>
                <c:ptCount val="3"/>
                <c:pt idx="0">
                  <c:v>9.2999999999999999E-2</c:v>
                </c:pt>
                <c:pt idx="1">
                  <c:v>8.1000000000000003E-2</c:v>
                </c:pt>
                <c:pt idx="2">
                  <c:v>7.4999999999999997E-2</c:v>
                </c:pt>
              </c:numCache>
            </c:numRef>
          </c:val>
          <c:smooth val="0"/>
          <c:extLst>
            <c:ext xmlns:c16="http://schemas.microsoft.com/office/drawing/2014/chart" uri="{C3380CC4-5D6E-409C-BE32-E72D297353CC}">
              <c16:uniqueId val="{00000002-C62C-4627-899E-B6D7ABC7829A}"/>
            </c:ext>
          </c:extLst>
        </c:ser>
        <c:ser>
          <c:idx val="3"/>
          <c:order val="3"/>
          <c:tx>
            <c:strRef>
              <c:f>Sheet1!$A$5</c:f>
              <c:strCache>
                <c:ptCount val="1"/>
                <c:pt idx="0">
                  <c:v>八街市（国保）_受診率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Sheet1!$B$1:$D$1</c:f>
              <c:strCache>
                <c:ptCount val="3"/>
                <c:pt idx="0">
                  <c:v>令和1年度</c:v>
                </c:pt>
                <c:pt idx="1">
                  <c:v>令和2年度</c:v>
                </c:pt>
                <c:pt idx="2">
                  <c:v>令和3年度</c:v>
                </c:pt>
              </c:strCache>
            </c:strRef>
          </c:cat>
          <c:val>
            <c:numRef>
              <c:f>Sheet1!$B$5:$D$5</c:f>
              <c:numCache>
                <c:formatCode>0.0%</c:formatCode>
                <c:ptCount val="3"/>
                <c:pt idx="0">
                  <c:v>0.16</c:v>
                </c:pt>
                <c:pt idx="1">
                  <c:v>0.13500000000000001</c:v>
                </c:pt>
                <c:pt idx="2">
                  <c:v>0.12</c:v>
                </c:pt>
              </c:numCache>
            </c:numRef>
          </c:val>
          <c:smooth val="0"/>
          <c:extLst>
            <c:ext xmlns:c16="http://schemas.microsoft.com/office/drawing/2014/chart" uri="{C3380CC4-5D6E-409C-BE32-E72D297353CC}">
              <c16:uniqueId val="{00000003-C62C-4627-899E-B6D7ABC7829A}"/>
            </c:ext>
          </c:extLst>
        </c:ser>
        <c:ser>
          <c:idx val="4"/>
          <c:order val="4"/>
          <c:tx>
            <c:strRef>
              <c:f>Sheet1!$A$6</c:f>
              <c:strCache>
                <c:ptCount val="1"/>
                <c:pt idx="0">
                  <c:v>国_受診率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Sheet1!$B$1:$D$1</c:f>
              <c:strCache>
                <c:ptCount val="3"/>
                <c:pt idx="0">
                  <c:v>令和1年度</c:v>
                </c:pt>
                <c:pt idx="1">
                  <c:v>令和2年度</c:v>
                </c:pt>
                <c:pt idx="2">
                  <c:v>令和3年度</c:v>
                </c:pt>
              </c:strCache>
            </c:strRef>
          </c:cat>
          <c:val>
            <c:numRef>
              <c:f>Sheet1!$B$6:$D$6</c:f>
              <c:numCache>
                <c:formatCode>0.0%</c:formatCode>
                <c:ptCount val="3"/>
                <c:pt idx="0">
                  <c:v>0.16700000000000001</c:v>
                </c:pt>
                <c:pt idx="1">
                  <c:v>0.13400000000000001</c:v>
                </c:pt>
                <c:pt idx="2">
                  <c:v>0.152</c:v>
                </c:pt>
              </c:numCache>
            </c:numRef>
          </c:val>
          <c:smooth val="0"/>
          <c:extLst>
            <c:ext xmlns:c16="http://schemas.microsoft.com/office/drawing/2014/chart" uri="{C3380CC4-5D6E-409C-BE32-E72D297353CC}">
              <c16:uniqueId val="{00000004-C62C-4627-899E-B6D7ABC7829A}"/>
            </c:ext>
          </c:extLst>
        </c:ser>
        <c:ser>
          <c:idx val="5"/>
          <c:order val="5"/>
          <c:tx>
            <c:strRef>
              <c:f>Sheet1!$A$7</c:f>
              <c:strCache>
                <c:ptCount val="1"/>
                <c:pt idx="0">
                  <c:v>県_受診率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Sheet1!$B$1:$D$1</c:f>
              <c:strCache>
                <c:ptCount val="3"/>
                <c:pt idx="0">
                  <c:v>令和1年度</c:v>
                </c:pt>
                <c:pt idx="1">
                  <c:v>令和2年度</c:v>
                </c:pt>
                <c:pt idx="2">
                  <c:v>令和3年度</c:v>
                </c:pt>
              </c:strCache>
            </c:strRef>
          </c:cat>
          <c:val>
            <c:numRef>
              <c:f>Sheet1!$B$7:$D$7</c:f>
              <c:numCache>
                <c:formatCode>0.0%</c:formatCode>
                <c:ptCount val="3"/>
                <c:pt idx="0">
                  <c:v>0.20499999999999999</c:v>
                </c:pt>
                <c:pt idx="1">
                  <c:v>0.14599999999999999</c:v>
                </c:pt>
                <c:pt idx="2">
                  <c:v>0.17399999999999999</c:v>
                </c:pt>
              </c:numCache>
            </c:numRef>
          </c:val>
          <c:smooth val="0"/>
          <c:extLst>
            <c:ext xmlns:c16="http://schemas.microsoft.com/office/drawing/2014/chart" uri="{C3380CC4-5D6E-409C-BE32-E72D297353CC}">
              <c16:uniqueId val="{00000005-C62C-4627-899E-B6D7ABC7829A}"/>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1445226048"/>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r>
                  <a:rPr lang="ja-JP" altLang="ja-JP" sz="700" b="0" i="0" u="none" strike="noStrike" kern="1200" baseline="0">
                    <a:solidFill>
                      <a:srgbClr val="000540"/>
                    </a:solidFill>
                    <a:latin typeface="BIZ UDPゴシック"/>
                    <a:ea typeface="BIZ UDPゴシック"/>
                    <a:cs typeface="+mn-cs"/>
                  </a:rPr>
                  <a:t>）</a:t>
                </a:r>
                <a:endParaRPr lang="ja-JP" altLang="en-US" sz="700" b="0" i="0" u="none" strike="noStrike" kern="1200" baseline="0">
                  <a:solidFill>
                    <a:srgbClr val="000540"/>
                  </a:solidFill>
                  <a:latin typeface="BIZ UDPゴシック"/>
                  <a:ea typeface="BIZ UDPゴシック"/>
                  <a:cs typeface="+mn-cs"/>
                </a:endParaRPr>
              </a:p>
            </c:rich>
          </c:tx>
          <c:layout>
            <c:manualLayout>
              <c:xMode val="edge"/>
              <c:yMode val="edge"/>
              <c:x val="0.96431708865128229"/>
              <c:y val="0.46278748182741369"/>
            </c:manualLayout>
          </c:layout>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7198412698412699"/>
          <c:w val="0.7752161708953047"/>
          <c:h val="0.74232845894263211"/>
        </c:manualLayout>
      </c:layout>
      <c:barChart>
        <c:barDir val="col"/>
        <c:grouping val="clustered"/>
        <c:varyColors val="0"/>
        <c:ser>
          <c:idx val="0"/>
          <c:order val="0"/>
          <c:tx>
            <c:strRef>
              <c:f>Sheet1!$A$2</c:f>
              <c:strCache>
                <c:ptCount val="1"/>
                <c:pt idx="0">
                  <c:v>対象者数（国保）</c:v>
                </c:pt>
              </c:strCache>
            </c:strRef>
          </c:tx>
          <c:spPr>
            <a:solidFill>
              <a:srgbClr val="5575FF"/>
            </a:solidFill>
            <a:ln>
              <a:noFill/>
            </a:ln>
            <a:effectLst/>
          </c:spPr>
          <c:invertIfNegative val="0"/>
          <c:cat>
            <c:strRef>
              <c:f>Sheet1!$B$1:$D$1</c:f>
              <c:strCache>
                <c:ptCount val="3"/>
                <c:pt idx="0">
                  <c:v>令和1年度</c:v>
                </c:pt>
                <c:pt idx="1">
                  <c:v>令和2年度</c:v>
                </c:pt>
                <c:pt idx="2">
                  <c:v>令和3年度</c:v>
                </c:pt>
              </c:strCache>
            </c:strRef>
          </c:cat>
          <c:val>
            <c:numRef>
              <c:f>Sheet1!$B$2:$D$2</c:f>
              <c:numCache>
                <c:formatCode>#,##0_ </c:formatCode>
                <c:ptCount val="3"/>
                <c:pt idx="0">
                  <c:v>10083</c:v>
                </c:pt>
                <c:pt idx="1">
                  <c:v>10005</c:v>
                </c:pt>
                <c:pt idx="2">
                  <c:v>9755</c:v>
                </c:pt>
              </c:numCache>
            </c:numRef>
          </c:val>
          <c:extLst>
            <c:ext xmlns:c16="http://schemas.microsoft.com/office/drawing/2014/chart" uri="{C3380CC4-5D6E-409C-BE32-E72D297353CC}">
              <c16:uniqueId val="{00000000-182B-4ABB-9729-EA8867B200C8}"/>
            </c:ext>
          </c:extLst>
        </c:ser>
        <c:ser>
          <c:idx val="1"/>
          <c:order val="1"/>
          <c:tx>
            <c:strRef>
              <c:f>Sheet1!$A$3</c:f>
              <c:strCache>
                <c:ptCount val="1"/>
                <c:pt idx="0">
                  <c:v>受診者数（国保）</c:v>
                </c:pt>
              </c:strCache>
            </c:strRef>
          </c:tx>
          <c:spPr>
            <a:solidFill>
              <a:srgbClr val="CCD6FF"/>
            </a:solidFill>
            <a:ln>
              <a:noFill/>
            </a:ln>
            <a:effectLst/>
          </c:spPr>
          <c:invertIfNegative val="0"/>
          <c:cat>
            <c:strRef>
              <c:f>Sheet1!$B$1:$D$1</c:f>
              <c:strCache>
                <c:ptCount val="3"/>
                <c:pt idx="0">
                  <c:v>令和1年度</c:v>
                </c:pt>
                <c:pt idx="1">
                  <c:v>令和2年度</c:v>
                </c:pt>
                <c:pt idx="2">
                  <c:v>令和3年度</c:v>
                </c:pt>
              </c:strCache>
            </c:strRef>
          </c:cat>
          <c:val>
            <c:numRef>
              <c:f>Sheet1!$B$3:$D$3</c:f>
              <c:numCache>
                <c:formatCode>#,##0_ </c:formatCode>
                <c:ptCount val="3"/>
                <c:pt idx="0">
                  <c:v>1698</c:v>
                </c:pt>
                <c:pt idx="1">
                  <c:v>1491</c:v>
                </c:pt>
                <c:pt idx="2">
                  <c:v>1249</c:v>
                </c:pt>
              </c:numCache>
            </c:numRef>
          </c:val>
          <c:extLst>
            <c:ext xmlns:c16="http://schemas.microsoft.com/office/drawing/2014/chart" uri="{C3380CC4-5D6E-409C-BE32-E72D297353CC}">
              <c16:uniqueId val="{00000001-182B-4ABB-9729-EA8867B200C8}"/>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八街市_受診率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令和1年度</c:v>
                </c:pt>
                <c:pt idx="1">
                  <c:v>令和2年度</c:v>
                </c:pt>
                <c:pt idx="2">
                  <c:v>令和3年度</c:v>
                </c:pt>
              </c:strCache>
            </c:strRef>
          </c:cat>
          <c:val>
            <c:numRef>
              <c:f>Sheet1!$B$4:$D$4</c:f>
              <c:numCache>
                <c:formatCode>0.0%</c:formatCode>
                <c:ptCount val="3"/>
                <c:pt idx="0">
                  <c:v>0.113</c:v>
                </c:pt>
                <c:pt idx="1">
                  <c:v>9.9000000000000005E-2</c:v>
                </c:pt>
                <c:pt idx="2">
                  <c:v>8.8999999999999996E-2</c:v>
                </c:pt>
              </c:numCache>
            </c:numRef>
          </c:val>
          <c:smooth val="0"/>
          <c:extLst>
            <c:ext xmlns:c16="http://schemas.microsoft.com/office/drawing/2014/chart" uri="{C3380CC4-5D6E-409C-BE32-E72D297353CC}">
              <c16:uniqueId val="{00000002-182B-4ABB-9729-EA8867B200C8}"/>
            </c:ext>
          </c:extLst>
        </c:ser>
        <c:ser>
          <c:idx val="3"/>
          <c:order val="3"/>
          <c:tx>
            <c:strRef>
              <c:f>Sheet1!$A$5</c:f>
              <c:strCache>
                <c:ptCount val="1"/>
                <c:pt idx="0">
                  <c:v>八街市（国保）_受診率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Sheet1!$B$1:$D$1</c:f>
              <c:strCache>
                <c:ptCount val="3"/>
                <c:pt idx="0">
                  <c:v>令和1年度</c:v>
                </c:pt>
                <c:pt idx="1">
                  <c:v>令和2年度</c:v>
                </c:pt>
                <c:pt idx="2">
                  <c:v>令和3年度</c:v>
                </c:pt>
              </c:strCache>
            </c:strRef>
          </c:cat>
          <c:val>
            <c:numRef>
              <c:f>Sheet1!$B$5:$D$5</c:f>
              <c:numCache>
                <c:formatCode>0.0%</c:formatCode>
                <c:ptCount val="3"/>
                <c:pt idx="0">
                  <c:v>0.16800000000000001</c:v>
                </c:pt>
                <c:pt idx="1">
                  <c:v>0.14899999999999999</c:v>
                </c:pt>
                <c:pt idx="2">
                  <c:v>0.128</c:v>
                </c:pt>
              </c:numCache>
            </c:numRef>
          </c:val>
          <c:smooth val="0"/>
          <c:extLst>
            <c:ext xmlns:c16="http://schemas.microsoft.com/office/drawing/2014/chart" uri="{C3380CC4-5D6E-409C-BE32-E72D297353CC}">
              <c16:uniqueId val="{00000003-182B-4ABB-9729-EA8867B200C8}"/>
            </c:ext>
          </c:extLst>
        </c:ser>
        <c:ser>
          <c:idx val="4"/>
          <c:order val="4"/>
          <c:tx>
            <c:strRef>
              <c:f>Sheet1!$A$6</c:f>
              <c:strCache>
                <c:ptCount val="1"/>
                <c:pt idx="0">
                  <c:v>国_受診率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Sheet1!$B$1:$D$1</c:f>
              <c:strCache>
                <c:ptCount val="3"/>
                <c:pt idx="0">
                  <c:v>令和1年度</c:v>
                </c:pt>
                <c:pt idx="1">
                  <c:v>令和2年度</c:v>
                </c:pt>
                <c:pt idx="2">
                  <c:v>令和3年度</c:v>
                </c:pt>
              </c:strCache>
            </c:strRef>
          </c:cat>
          <c:val>
            <c:numRef>
              <c:f>Sheet1!$B$6:$D$6</c:f>
              <c:numCache>
                <c:formatCode>0.0%</c:formatCode>
                <c:ptCount val="3"/>
                <c:pt idx="0">
                  <c:v>0.17100000000000001</c:v>
                </c:pt>
                <c:pt idx="1">
                  <c:v>0.14599999999999999</c:v>
                </c:pt>
                <c:pt idx="2">
                  <c:v>0.16</c:v>
                </c:pt>
              </c:numCache>
            </c:numRef>
          </c:val>
          <c:smooth val="0"/>
          <c:extLst>
            <c:ext xmlns:c16="http://schemas.microsoft.com/office/drawing/2014/chart" uri="{C3380CC4-5D6E-409C-BE32-E72D297353CC}">
              <c16:uniqueId val="{00000004-182B-4ABB-9729-EA8867B200C8}"/>
            </c:ext>
          </c:extLst>
        </c:ser>
        <c:ser>
          <c:idx val="5"/>
          <c:order val="5"/>
          <c:tx>
            <c:strRef>
              <c:f>Sheet1!$A$7</c:f>
              <c:strCache>
                <c:ptCount val="1"/>
                <c:pt idx="0">
                  <c:v>県_受診率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Sheet1!$B$1:$D$1</c:f>
              <c:strCache>
                <c:ptCount val="3"/>
                <c:pt idx="0">
                  <c:v>令和1年度</c:v>
                </c:pt>
                <c:pt idx="1">
                  <c:v>令和2年度</c:v>
                </c:pt>
                <c:pt idx="2">
                  <c:v>令和3年度</c:v>
                </c:pt>
              </c:strCache>
            </c:strRef>
          </c:cat>
          <c:val>
            <c:numRef>
              <c:f>Sheet1!$B$7:$D$7</c:f>
              <c:numCache>
                <c:formatCode>0.0%</c:formatCode>
                <c:ptCount val="3"/>
                <c:pt idx="0">
                  <c:v>0.18</c:v>
                </c:pt>
                <c:pt idx="1">
                  <c:v>0.14799999999999999</c:v>
                </c:pt>
                <c:pt idx="2">
                  <c:v>0.161</c:v>
                </c:pt>
              </c:numCache>
            </c:numRef>
          </c:val>
          <c:smooth val="0"/>
          <c:extLst>
            <c:ext xmlns:c16="http://schemas.microsoft.com/office/drawing/2014/chart" uri="{C3380CC4-5D6E-409C-BE32-E72D297353CC}">
              <c16:uniqueId val="{00000005-182B-4ABB-9729-EA8867B200C8}"/>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024398122318E-3"/>
              <c:y val="0.46775144155573906"/>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r>
                  <a:rPr lang="ja-JP" altLang="ja-JP" sz="700" b="0" i="0" u="none" strike="noStrike" kern="1200" baseline="0">
                    <a:solidFill>
                      <a:srgbClr val="000540"/>
                    </a:solidFill>
                    <a:latin typeface="BIZ UDPゴシック"/>
                    <a:ea typeface="BIZ UDPゴシック"/>
                    <a:cs typeface="+mn-cs"/>
                  </a:rPr>
                  <a:t>）</a:t>
                </a:r>
                <a:endParaRPr lang="ja-JP" altLang="en-US" sz="700" b="0" i="0" u="none" strike="noStrike" kern="1200" baseline="0">
                  <a:solidFill>
                    <a:srgbClr val="000540"/>
                  </a:solidFill>
                  <a:latin typeface="BIZ UDPゴシック"/>
                  <a:ea typeface="BIZ UDPゴシック"/>
                  <a:cs typeface="+mn-cs"/>
                </a:endParaRPr>
              </a:p>
            </c:rich>
          </c:tx>
          <c:layout>
            <c:manualLayout>
              <c:xMode val="edge"/>
              <c:yMode val="edge"/>
              <c:x val="0.96443495442132066"/>
              <c:y val="0.46278738814937137"/>
            </c:manualLayout>
          </c:layout>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7198412698412699"/>
          <c:w val="0.7752161708953047"/>
          <c:h val="0.74232845894263211"/>
        </c:manualLayout>
      </c:layout>
      <c:barChart>
        <c:barDir val="col"/>
        <c:grouping val="clustered"/>
        <c:varyColors val="0"/>
        <c:ser>
          <c:idx val="0"/>
          <c:order val="0"/>
          <c:tx>
            <c:strRef>
              <c:f>Sheet1!$A$2</c:f>
              <c:strCache>
                <c:ptCount val="1"/>
                <c:pt idx="0">
                  <c:v>対象者数（国保）</c:v>
                </c:pt>
              </c:strCache>
            </c:strRef>
          </c:tx>
          <c:spPr>
            <a:solidFill>
              <a:srgbClr val="5575FF"/>
            </a:solidFill>
            <a:ln>
              <a:noFill/>
            </a:ln>
            <a:effectLst/>
          </c:spPr>
          <c:invertIfNegative val="0"/>
          <c:cat>
            <c:strRef>
              <c:f>Sheet1!$B$1:$D$1</c:f>
              <c:strCache>
                <c:ptCount val="3"/>
                <c:pt idx="0">
                  <c:v>令和1年度</c:v>
                </c:pt>
                <c:pt idx="1">
                  <c:v>令和2年度</c:v>
                </c:pt>
                <c:pt idx="2">
                  <c:v>令和3年度</c:v>
                </c:pt>
              </c:strCache>
            </c:strRef>
          </c:cat>
          <c:val>
            <c:numRef>
              <c:f>Sheet1!$B$2:$D$2</c:f>
              <c:numCache>
                <c:formatCode>#,##0_ </c:formatCode>
                <c:ptCount val="3"/>
                <c:pt idx="0">
                  <c:v>7952</c:v>
                </c:pt>
                <c:pt idx="1">
                  <c:v>7811</c:v>
                </c:pt>
                <c:pt idx="2">
                  <c:v>7602</c:v>
                </c:pt>
              </c:numCache>
            </c:numRef>
          </c:val>
          <c:extLst>
            <c:ext xmlns:c16="http://schemas.microsoft.com/office/drawing/2014/chart" uri="{C3380CC4-5D6E-409C-BE32-E72D297353CC}">
              <c16:uniqueId val="{00000000-8BA0-49EC-89F8-C073C32B156F}"/>
            </c:ext>
          </c:extLst>
        </c:ser>
        <c:ser>
          <c:idx val="1"/>
          <c:order val="1"/>
          <c:tx>
            <c:strRef>
              <c:f>Sheet1!$A$3</c:f>
              <c:strCache>
                <c:ptCount val="1"/>
                <c:pt idx="0">
                  <c:v>受診者数（国保）</c:v>
                </c:pt>
              </c:strCache>
            </c:strRef>
          </c:tx>
          <c:spPr>
            <a:solidFill>
              <a:srgbClr val="CCD6FF"/>
            </a:solidFill>
            <a:ln>
              <a:noFill/>
            </a:ln>
            <a:effectLst/>
          </c:spPr>
          <c:invertIfNegative val="0"/>
          <c:cat>
            <c:strRef>
              <c:f>Sheet1!$B$1:$D$1</c:f>
              <c:strCache>
                <c:ptCount val="3"/>
                <c:pt idx="0">
                  <c:v>令和1年度</c:v>
                </c:pt>
                <c:pt idx="1">
                  <c:v>令和2年度</c:v>
                </c:pt>
                <c:pt idx="2">
                  <c:v>令和3年度</c:v>
                </c:pt>
              </c:strCache>
            </c:strRef>
          </c:cat>
          <c:val>
            <c:numRef>
              <c:f>Sheet1!$B$3:$D$3</c:f>
              <c:numCache>
                <c:formatCode>#,##0_ </c:formatCode>
                <c:ptCount val="3"/>
                <c:pt idx="0">
                  <c:v>900</c:v>
                </c:pt>
                <c:pt idx="1">
                  <c:v>731</c:v>
                </c:pt>
                <c:pt idx="2">
                  <c:v>689</c:v>
                </c:pt>
              </c:numCache>
            </c:numRef>
          </c:val>
          <c:extLst>
            <c:ext xmlns:c16="http://schemas.microsoft.com/office/drawing/2014/chart" uri="{C3380CC4-5D6E-409C-BE32-E72D297353CC}">
              <c16:uniqueId val="{00000001-8BA0-49EC-89F8-C073C32B156F}"/>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八街市_受診率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令和1年度</c:v>
                </c:pt>
                <c:pt idx="1">
                  <c:v>令和2年度</c:v>
                </c:pt>
                <c:pt idx="2">
                  <c:v>令和3年度</c:v>
                </c:pt>
              </c:strCache>
            </c:strRef>
          </c:cat>
          <c:val>
            <c:numRef>
              <c:f>Sheet1!$B$4:$D$4</c:f>
              <c:numCache>
                <c:formatCode>0.0%</c:formatCode>
                <c:ptCount val="3"/>
                <c:pt idx="0">
                  <c:v>9.2999999999999999E-2</c:v>
                </c:pt>
                <c:pt idx="1">
                  <c:v>9.0999999999999998E-2</c:v>
                </c:pt>
                <c:pt idx="2">
                  <c:v>0.08</c:v>
                </c:pt>
              </c:numCache>
            </c:numRef>
          </c:val>
          <c:smooth val="0"/>
          <c:extLst>
            <c:ext xmlns:c16="http://schemas.microsoft.com/office/drawing/2014/chart" uri="{C3380CC4-5D6E-409C-BE32-E72D297353CC}">
              <c16:uniqueId val="{00000002-8BA0-49EC-89F8-C073C32B156F}"/>
            </c:ext>
          </c:extLst>
        </c:ser>
        <c:ser>
          <c:idx val="3"/>
          <c:order val="3"/>
          <c:tx>
            <c:strRef>
              <c:f>Sheet1!$A$5</c:f>
              <c:strCache>
                <c:ptCount val="1"/>
                <c:pt idx="0">
                  <c:v>八街市（国保）_受診率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Sheet1!$B$1:$D$1</c:f>
              <c:strCache>
                <c:ptCount val="3"/>
                <c:pt idx="0">
                  <c:v>令和1年度</c:v>
                </c:pt>
                <c:pt idx="1">
                  <c:v>令和2年度</c:v>
                </c:pt>
                <c:pt idx="2">
                  <c:v>令和3年度</c:v>
                </c:pt>
              </c:strCache>
            </c:strRef>
          </c:cat>
          <c:val>
            <c:numRef>
              <c:f>Sheet1!$B$5:$D$5</c:f>
              <c:numCache>
                <c:formatCode>0.0%</c:formatCode>
                <c:ptCount val="3"/>
                <c:pt idx="0">
                  <c:v>0.14599999999999999</c:v>
                </c:pt>
                <c:pt idx="1">
                  <c:v>0.13800000000000001</c:v>
                </c:pt>
                <c:pt idx="2">
                  <c:v>0.124</c:v>
                </c:pt>
              </c:numCache>
            </c:numRef>
          </c:val>
          <c:smooth val="0"/>
          <c:extLst>
            <c:ext xmlns:c16="http://schemas.microsoft.com/office/drawing/2014/chart" uri="{C3380CC4-5D6E-409C-BE32-E72D297353CC}">
              <c16:uniqueId val="{00000003-8BA0-49EC-89F8-C073C32B156F}"/>
            </c:ext>
          </c:extLst>
        </c:ser>
        <c:ser>
          <c:idx val="4"/>
          <c:order val="4"/>
          <c:tx>
            <c:strRef>
              <c:f>Sheet1!$A$6</c:f>
              <c:strCache>
                <c:ptCount val="1"/>
                <c:pt idx="0">
                  <c:v>国_受診率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Sheet1!$B$1:$D$1</c:f>
              <c:strCache>
                <c:ptCount val="3"/>
                <c:pt idx="0">
                  <c:v>令和1年度</c:v>
                </c:pt>
                <c:pt idx="1">
                  <c:v>令和2年度</c:v>
                </c:pt>
                <c:pt idx="2">
                  <c:v>令和3年度</c:v>
                </c:pt>
              </c:strCache>
            </c:strRef>
          </c:cat>
          <c:val>
            <c:numRef>
              <c:f>Sheet1!$B$6:$D$6</c:f>
              <c:numCache>
                <c:formatCode>0.0%</c:formatCode>
                <c:ptCount val="3"/>
                <c:pt idx="0">
                  <c:v>0.14099999999999999</c:v>
                </c:pt>
                <c:pt idx="1">
                  <c:v>0.129</c:v>
                </c:pt>
                <c:pt idx="2">
                  <c:v>0.121</c:v>
                </c:pt>
              </c:numCache>
            </c:numRef>
          </c:val>
          <c:smooth val="0"/>
          <c:extLst>
            <c:ext xmlns:c16="http://schemas.microsoft.com/office/drawing/2014/chart" uri="{C3380CC4-5D6E-409C-BE32-E72D297353CC}">
              <c16:uniqueId val="{00000004-8BA0-49EC-89F8-C073C32B156F}"/>
            </c:ext>
          </c:extLst>
        </c:ser>
        <c:ser>
          <c:idx val="5"/>
          <c:order val="5"/>
          <c:tx>
            <c:strRef>
              <c:f>Sheet1!$A$7</c:f>
              <c:strCache>
                <c:ptCount val="1"/>
                <c:pt idx="0">
                  <c:v>県_受診率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Sheet1!$B$1:$D$1</c:f>
              <c:strCache>
                <c:ptCount val="3"/>
                <c:pt idx="0">
                  <c:v>令和1年度</c:v>
                </c:pt>
                <c:pt idx="1">
                  <c:v>令和2年度</c:v>
                </c:pt>
                <c:pt idx="2">
                  <c:v>令和3年度</c:v>
                </c:pt>
              </c:strCache>
            </c:strRef>
          </c:cat>
          <c:val>
            <c:numRef>
              <c:f>Sheet1!$B$7:$D$7</c:f>
              <c:numCache>
                <c:formatCode>0.0%</c:formatCode>
                <c:ptCount val="3"/>
                <c:pt idx="0">
                  <c:v>0.124</c:v>
                </c:pt>
                <c:pt idx="1">
                  <c:v>0.107</c:v>
                </c:pt>
                <c:pt idx="2">
                  <c:v>9.7000000000000003E-2</c:v>
                </c:pt>
              </c:numCache>
            </c:numRef>
          </c:val>
          <c:smooth val="0"/>
          <c:extLst>
            <c:ext xmlns:c16="http://schemas.microsoft.com/office/drawing/2014/chart" uri="{C3380CC4-5D6E-409C-BE32-E72D297353CC}">
              <c16:uniqueId val="{00000005-8BA0-49EC-89F8-C073C32B156F}"/>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024398122318E-3"/>
              <c:y val="0.46775144155573906"/>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r>
                  <a:rPr lang="ja-JP" altLang="ja-JP" sz="700" b="0" i="0" u="none" strike="noStrike" kern="1200" baseline="0">
                    <a:solidFill>
                      <a:srgbClr val="000540"/>
                    </a:solidFill>
                    <a:latin typeface="BIZ UDPゴシック"/>
                    <a:ea typeface="BIZ UDPゴシック"/>
                    <a:cs typeface="+mn-cs"/>
                  </a:rPr>
                  <a:t>）</a:t>
                </a:r>
                <a:endParaRPr lang="ja-JP" altLang="en-US" sz="700" b="0" i="0" u="none" strike="noStrike" kern="1200" baseline="0">
                  <a:solidFill>
                    <a:srgbClr val="000540"/>
                  </a:solidFill>
                  <a:latin typeface="BIZ UDPゴシック"/>
                  <a:ea typeface="BIZ UDPゴシック"/>
                  <a:cs typeface="+mn-cs"/>
                </a:endParaRPr>
              </a:p>
            </c:rich>
          </c:tx>
          <c:layout>
            <c:manualLayout>
              <c:xMode val="edge"/>
              <c:yMode val="edge"/>
              <c:x val="0.96443495442132066"/>
              <c:y val="0.46278738814937137"/>
            </c:manualLayout>
          </c:layout>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dist" rtl="0">
        <a:defRPr lang="ja-JP" altLang="en-US" sz="1000">
          <a:solidFill>
            <a:schemeClr val="tx1"/>
          </a:solidFill>
        </a:defRPr>
      </a:pPr>
      <a:endParaRPr lang="ja-JP"/>
    </a:p>
  </c:txPr>
  <c:externalData r:id="rId2">
    <c:autoUpdate val="0"/>
  </c:externalData>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7198412698412699"/>
          <c:w val="0.7752161708953047"/>
          <c:h val="0.74232845894263211"/>
        </c:manualLayout>
      </c:layout>
      <c:barChart>
        <c:barDir val="col"/>
        <c:grouping val="clustered"/>
        <c:varyColors val="0"/>
        <c:ser>
          <c:idx val="0"/>
          <c:order val="0"/>
          <c:tx>
            <c:strRef>
              <c:f>Sheet1!$A$2</c:f>
              <c:strCache>
                <c:ptCount val="1"/>
                <c:pt idx="0">
                  <c:v>対象者数（国保）</c:v>
                </c:pt>
              </c:strCache>
            </c:strRef>
          </c:tx>
          <c:spPr>
            <a:solidFill>
              <a:srgbClr val="5575FF"/>
            </a:solidFill>
            <a:ln>
              <a:noFill/>
            </a:ln>
            <a:effectLst/>
          </c:spPr>
          <c:invertIfNegative val="0"/>
          <c:cat>
            <c:strRef>
              <c:f>Sheet1!$B$1:$D$1</c:f>
              <c:strCache>
                <c:ptCount val="3"/>
                <c:pt idx="0">
                  <c:v>令和1年度</c:v>
                </c:pt>
                <c:pt idx="1">
                  <c:v>令和2年度</c:v>
                </c:pt>
                <c:pt idx="2">
                  <c:v>令和3年度</c:v>
                </c:pt>
              </c:strCache>
            </c:strRef>
          </c:cat>
          <c:val>
            <c:numRef>
              <c:f>Sheet1!$B$2:$D$2</c:f>
              <c:numCache>
                <c:formatCode>#,##0_ </c:formatCode>
                <c:ptCount val="3"/>
                <c:pt idx="0">
                  <c:v>6228</c:v>
                </c:pt>
                <c:pt idx="1">
                  <c:v>6058</c:v>
                </c:pt>
                <c:pt idx="2">
                  <c:v>5743</c:v>
                </c:pt>
              </c:numCache>
            </c:numRef>
          </c:val>
          <c:extLst>
            <c:ext xmlns:c16="http://schemas.microsoft.com/office/drawing/2014/chart" uri="{C3380CC4-5D6E-409C-BE32-E72D297353CC}">
              <c16:uniqueId val="{00000000-E4B0-4D50-BD01-99D09F752A60}"/>
            </c:ext>
          </c:extLst>
        </c:ser>
        <c:ser>
          <c:idx val="1"/>
          <c:order val="1"/>
          <c:tx>
            <c:strRef>
              <c:f>Sheet1!$A$3</c:f>
              <c:strCache>
                <c:ptCount val="1"/>
                <c:pt idx="0">
                  <c:v>受診者数（国保）</c:v>
                </c:pt>
              </c:strCache>
            </c:strRef>
          </c:tx>
          <c:spPr>
            <a:solidFill>
              <a:srgbClr val="CCD6FF"/>
            </a:solidFill>
            <a:ln>
              <a:noFill/>
            </a:ln>
            <a:effectLst/>
          </c:spPr>
          <c:invertIfNegative val="0"/>
          <c:cat>
            <c:strRef>
              <c:f>Sheet1!$B$1:$D$1</c:f>
              <c:strCache>
                <c:ptCount val="3"/>
                <c:pt idx="0">
                  <c:v>令和1年度</c:v>
                </c:pt>
                <c:pt idx="1">
                  <c:v>令和2年度</c:v>
                </c:pt>
                <c:pt idx="2">
                  <c:v>令和3年度</c:v>
                </c:pt>
              </c:strCache>
            </c:strRef>
          </c:cat>
          <c:val>
            <c:numRef>
              <c:f>Sheet1!$B$3:$D$3</c:f>
              <c:numCache>
                <c:formatCode>#,##0_ </c:formatCode>
                <c:ptCount val="3"/>
                <c:pt idx="0">
                  <c:v>325</c:v>
                </c:pt>
                <c:pt idx="1">
                  <c:v>280</c:v>
                </c:pt>
                <c:pt idx="2">
                  <c:v>294</c:v>
                </c:pt>
              </c:numCache>
            </c:numRef>
          </c:val>
          <c:extLst>
            <c:ext xmlns:c16="http://schemas.microsoft.com/office/drawing/2014/chart" uri="{C3380CC4-5D6E-409C-BE32-E72D297353CC}">
              <c16:uniqueId val="{00000001-E4B0-4D50-BD01-99D09F752A60}"/>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八街市_受診率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令和1年度</c:v>
                </c:pt>
                <c:pt idx="1">
                  <c:v>令和2年度</c:v>
                </c:pt>
                <c:pt idx="2">
                  <c:v>令和3年度</c:v>
                </c:pt>
              </c:strCache>
            </c:strRef>
          </c:cat>
          <c:val>
            <c:numRef>
              <c:f>Sheet1!$B$4:$D$4</c:f>
              <c:numCache>
                <c:formatCode>0.0%</c:formatCode>
                <c:ptCount val="3"/>
                <c:pt idx="0">
                  <c:v>0.107</c:v>
                </c:pt>
                <c:pt idx="1">
                  <c:v>0.10100000000000001</c:v>
                </c:pt>
                <c:pt idx="2">
                  <c:v>0.10199999999999999</c:v>
                </c:pt>
              </c:numCache>
            </c:numRef>
          </c:val>
          <c:smooth val="0"/>
          <c:extLst>
            <c:ext xmlns:c16="http://schemas.microsoft.com/office/drawing/2014/chart" uri="{C3380CC4-5D6E-409C-BE32-E72D297353CC}">
              <c16:uniqueId val="{00000002-E4B0-4D50-BD01-99D09F752A60}"/>
            </c:ext>
          </c:extLst>
        </c:ser>
        <c:ser>
          <c:idx val="3"/>
          <c:order val="3"/>
          <c:tx>
            <c:strRef>
              <c:f>Sheet1!$A$5</c:f>
              <c:strCache>
                <c:ptCount val="1"/>
                <c:pt idx="0">
                  <c:v>八街市（国保）_受診率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Sheet1!$B$1:$D$1</c:f>
              <c:strCache>
                <c:ptCount val="3"/>
                <c:pt idx="0">
                  <c:v>令和1年度</c:v>
                </c:pt>
                <c:pt idx="1">
                  <c:v>令和2年度</c:v>
                </c:pt>
                <c:pt idx="2">
                  <c:v>令和3年度</c:v>
                </c:pt>
              </c:strCache>
            </c:strRef>
          </c:cat>
          <c:val>
            <c:numRef>
              <c:f>Sheet1!$B$5:$D$5</c:f>
              <c:numCache>
                <c:formatCode>0.0%</c:formatCode>
                <c:ptCount val="3"/>
                <c:pt idx="0">
                  <c:v>0.109</c:v>
                </c:pt>
                <c:pt idx="1">
                  <c:v>0.1</c:v>
                </c:pt>
                <c:pt idx="2">
                  <c:v>0.1</c:v>
                </c:pt>
              </c:numCache>
            </c:numRef>
          </c:val>
          <c:smooth val="0"/>
          <c:extLst>
            <c:ext xmlns:c16="http://schemas.microsoft.com/office/drawing/2014/chart" uri="{C3380CC4-5D6E-409C-BE32-E72D297353CC}">
              <c16:uniqueId val="{00000003-E4B0-4D50-BD01-99D09F752A60}"/>
            </c:ext>
          </c:extLst>
        </c:ser>
        <c:ser>
          <c:idx val="4"/>
          <c:order val="4"/>
          <c:tx>
            <c:strRef>
              <c:f>Sheet1!$A$6</c:f>
              <c:strCache>
                <c:ptCount val="1"/>
                <c:pt idx="0">
                  <c:v>国_受診率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Sheet1!$B$1:$D$1</c:f>
              <c:strCache>
                <c:ptCount val="3"/>
                <c:pt idx="0">
                  <c:v>令和1年度</c:v>
                </c:pt>
                <c:pt idx="1">
                  <c:v>令和2年度</c:v>
                </c:pt>
                <c:pt idx="2">
                  <c:v>令和3年度</c:v>
                </c:pt>
              </c:strCache>
            </c:strRef>
          </c:cat>
          <c:val>
            <c:numRef>
              <c:f>Sheet1!$B$6:$D$6</c:f>
              <c:numCache>
                <c:formatCode>0.0%</c:formatCode>
                <c:ptCount val="3"/>
                <c:pt idx="0">
                  <c:v>0.17199999999999999</c:v>
                </c:pt>
                <c:pt idx="1">
                  <c:v>0.16300000000000001</c:v>
                </c:pt>
                <c:pt idx="2">
                  <c:v>0.16200000000000001</c:v>
                </c:pt>
              </c:numCache>
            </c:numRef>
          </c:val>
          <c:smooth val="0"/>
          <c:extLst>
            <c:ext xmlns:c16="http://schemas.microsoft.com/office/drawing/2014/chart" uri="{C3380CC4-5D6E-409C-BE32-E72D297353CC}">
              <c16:uniqueId val="{00000004-E4B0-4D50-BD01-99D09F752A60}"/>
            </c:ext>
          </c:extLst>
        </c:ser>
        <c:ser>
          <c:idx val="5"/>
          <c:order val="5"/>
          <c:tx>
            <c:strRef>
              <c:f>Sheet1!$A$7</c:f>
              <c:strCache>
                <c:ptCount val="1"/>
                <c:pt idx="0">
                  <c:v>県_受診率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Sheet1!$B$1:$D$1</c:f>
              <c:strCache>
                <c:ptCount val="3"/>
                <c:pt idx="0">
                  <c:v>令和1年度</c:v>
                </c:pt>
                <c:pt idx="1">
                  <c:v>令和2年度</c:v>
                </c:pt>
                <c:pt idx="2">
                  <c:v>令和3年度</c:v>
                </c:pt>
              </c:strCache>
            </c:strRef>
          </c:cat>
          <c:val>
            <c:numRef>
              <c:f>Sheet1!$B$7:$D$7</c:f>
              <c:numCache>
                <c:formatCode>0.0%</c:formatCode>
                <c:ptCount val="3"/>
                <c:pt idx="0">
                  <c:v>0.186</c:v>
                </c:pt>
                <c:pt idx="1">
                  <c:v>0.17100000000000001</c:v>
                </c:pt>
                <c:pt idx="2">
                  <c:v>0.16800000000000001</c:v>
                </c:pt>
              </c:numCache>
            </c:numRef>
          </c:val>
          <c:smooth val="0"/>
          <c:extLst>
            <c:ext xmlns:c16="http://schemas.microsoft.com/office/drawing/2014/chart" uri="{C3380CC4-5D6E-409C-BE32-E72D297353CC}">
              <c16:uniqueId val="{00000005-E4B0-4D50-BD01-99D09F752A60}"/>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024398122318E-3"/>
              <c:y val="0.46775144155573906"/>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r>
                  <a:rPr lang="ja-JP" altLang="ja-JP" sz="700" b="0" i="0" u="none" strike="noStrike" kern="1200" baseline="0">
                    <a:solidFill>
                      <a:srgbClr val="000540"/>
                    </a:solidFill>
                    <a:latin typeface="BIZ UDPゴシック"/>
                    <a:ea typeface="BIZ UDPゴシック"/>
                    <a:cs typeface="+mn-cs"/>
                  </a:rPr>
                  <a:t>）</a:t>
                </a:r>
                <a:endParaRPr lang="ja-JP" altLang="en-US" sz="700" b="0" i="0" u="none" strike="noStrike" kern="1200" baseline="0">
                  <a:solidFill>
                    <a:srgbClr val="000540"/>
                  </a:solidFill>
                  <a:latin typeface="BIZ UDPゴシック"/>
                  <a:ea typeface="BIZ UDPゴシック"/>
                  <a:cs typeface="+mn-cs"/>
                </a:endParaRPr>
              </a:p>
            </c:rich>
          </c:tx>
          <c:layout>
            <c:manualLayout>
              <c:xMode val="edge"/>
              <c:yMode val="edge"/>
              <c:x val="0.96443478662130477"/>
              <c:y val="0.46278738814937137"/>
            </c:manualLayout>
          </c:layout>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7198412698412699"/>
          <c:w val="0.7752161708953047"/>
          <c:h val="0.74232845894263211"/>
        </c:manualLayout>
      </c:layout>
      <c:barChart>
        <c:barDir val="col"/>
        <c:grouping val="clustered"/>
        <c:varyColors val="0"/>
        <c:ser>
          <c:idx val="0"/>
          <c:order val="0"/>
          <c:tx>
            <c:strRef>
              <c:f>Sheet1!$A$2</c:f>
              <c:strCache>
                <c:ptCount val="1"/>
                <c:pt idx="0">
                  <c:v>対象者数（国保）</c:v>
                </c:pt>
              </c:strCache>
            </c:strRef>
          </c:tx>
          <c:spPr>
            <a:solidFill>
              <a:srgbClr val="5575FF"/>
            </a:solidFill>
            <a:ln>
              <a:noFill/>
            </a:ln>
            <a:effectLst/>
          </c:spPr>
          <c:invertIfNegative val="0"/>
          <c:cat>
            <c:strRef>
              <c:f>Sheet1!$B$1:$D$1</c:f>
              <c:strCache>
                <c:ptCount val="3"/>
                <c:pt idx="0">
                  <c:v>令和1年度</c:v>
                </c:pt>
                <c:pt idx="1">
                  <c:v>令和2年度</c:v>
                </c:pt>
                <c:pt idx="2">
                  <c:v>令和3年度</c:v>
                </c:pt>
              </c:strCache>
            </c:strRef>
          </c:cat>
          <c:val>
            <c:numRef>
              <c:f>Sheet1!$B$2:$D$2</c:f>
              <c:numCache>
                <c:formatCode>#,##0_ </c:formatCode>
                <c:ptCount val="3"/>
                <c:pt idx="0">
                  <c:v>4910</c:v>
                </c:pt>
                <c:pt idx="1">
                  <c:v>4815</c:v>
                </c:pt>
                <c:pt idx="2">
                  <c:v>4692</c:v>
                </c:pt>
              </c:numCache>
            </c:numRef>
          </c:val>
          <c:extLst>
            <c:ext xmlns:c16="http://schemas.microsoft.com/office/drawing/2014/chart" uri="{C3380CC4-5D6E-409C-BE32-E72D297353CC}">
              <c16:uniqueId val="{00000000-8489-4967-A84C-1CE7C01E33BD}"/>
            </c:ext>
          </c:extLst>
        </c:ser>
        <c:ser>
          <c:idx val="1"/>
          <c:order val="1"/>
          <c:tx>
            <c:strRef>
              <c:f>Sheet1!$A$3</c:f>
              <c:strCache>
                <c:ptCount val="1"/>
                <c:pt idx="0">
                  <c:v>受診者数（国保）</c:v>
                </c:pt>
              </c:strCache>
            </c:strRef>
          </c:tx>
          <c:spPr>
            <a:solidFill>
              <a:srgbClr val="CCD6FF"/>
            </a:solidFill>
            <a:ln>
              <a:noFill/>
            </a:ln>
            <a:effectLst/>
          </c:spPr>
          <c:invertIfNegative val="0"/>
          <c:cat>
            <c:strRef>
              <c:f>Sheet1!$B$1:$D$1</c:f>
              <c:strCache>
                <c:ptCount val="3"/>
                <c:pt idx="0">
                  <c:v>令和1年度</c:v>
                </c:pt>
                <c:pt idx="1">
                  <c:v>令和2年度</c:v>
                </c:pt>
                <c:pt idx="2">
                  <c:v>令和3年度</c:v>
                </c:pt>
              </c:strCache>
            </c:strRef>
          </c:cat>
          <c:val>
            <c:numRef>
              <c:f>Sheet1!$B$3:$D$3</c:f>
              <c:numCache>
                <c:formatCode>#,##0_ </c:formatCode>
                <c:ptCount val="3"/>
                <c:pt idx="0">
                  <c:v>1078</c:v>
                </c:pt>
                <c:pt idx="1">
                  <c:v>854</c:v>
                </c:pt>
                <c:pt idx="2">
                  <c:v>840</c:v>
                </c:pt>
              </c:numCache>
            </c:numRef>
          </c:val>
          <c:extLst>
            <c:ext xmlns:c16="http://schemas.microsoft.com/office/drawing/2014/chart" uri="{C3380CC4-5D6E-409C-BE32-E72D297353CC}">
              <c16:uniqueId val="{00000001-8489-4967-A84C-1CE7C01E33BD}"/>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八街市_受診率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Sheet1!$B$1:$D$1</c:f>
              <c:strCache>
                <c:ptCount val="3"/>
                <c:pt idx="0">
                  <c:v>令和1年度</c:v>
                </c:pt>
                <c:pt idx="1">
                  <c:v>令和2年度</c:v>
                </c:pt>
                <c:pt idx="2">
                  <c:v>令和3年度</c:v>
                </c:pt>
              </c:strCache>
            </c:strRef>
          </c:cat>
          <c:val>
            <c:numRef>
              <c:f>Sheet1!$B$4:$D$4</c:f>
              <c:numCache>
                <c:formatCode>0.0%</c:formatCode>
                <c:ptCount val="3"/>
                <c:pt idx="0">
                  <c:v>0.25900000000000001</c:v>
                </c:pt>
                <c:pt idx="1">
                  <c:v>0.24199999999999999</c:v>
                </c:pt>
                <c:pt idx="2">
                  <c:v>0.22600000000000001</c:v>
                </c:pt>
              </c:numCache>
            </c:numRef>
          </c:val>
          <c:smooth val="0"/>
          <c:extLst>
            <c:ext xmlns:c16="http://schemas.microsoft.com/office/drawing/2014/chart" uri="{C3380CC4-5D6E-409C-BE32-E72D297353CC}">
              <c16:uniqueId val="{00000002-8489-4967-A84C-1CE7C01E33BD}"/>
            </c:ext>
          </c:extLst>
        </c:ser>
        <c:ser>
          <c:idx val="3"/>
          <c:order val="3"/>
          <c:tx>
            <c:strRef>
              <c:f>Sheet1!$A$5</c:f>
              <c:strCache>
                <c:ptCount val="1"/>
                <c:pt idx="0">
                  <c:v>八街市（国保）_受診率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Sheet1!$B$1:$D$1</c:f>
              <c:strCache>
                <c:ptCount val="3"/>
                <c:pt idx="0">
                  <c:v>令和1年度</c:v>
                </c:pt>
                <c:pt idx="1">
                  <c:v>令和2年度</c:v>
                </c:pt>
                <c:pt idx="2">
                  <c:v>令和3年度</c:v>
                </c:pt>
              </c:strCache>
            </c:strRef>
          </c:cat>
          <c:val>
            <c:numRef>
              <c:f>Sheet1!$B$5:$D$5</c:f>
              <c:numCache>
                <c:formatCode>0.0%</c:formatCode>
                <c:ptCount val="3"/>
                <c:pt idx="0">
                  <c:v>0.28599999999999998</c:v>
                </c:pt>
                <c:pt idx="1">
                  <c:v>0.253</c:v>
                </c:pt>
                <c:pt idx="2">
                  <c:v>0.22600000000000001</c:v>
                </c:pt>
              </c:numCache>
            </c:numRef>
          </c:val>
          <c:smooth val="0"/>
          <c:extLst>
            <c:ext xmlns:c16="http://schemas.microsoft.com/office/drawing/2014/chart" uri="{C3380CC4-5D6E-409C-BE32-E72D297353CC}">
              <c16:uniqueId val="{00000003-8489-4967-A84C-1CE7C01E33BD}"/>
            </c:ext>
          </c:extLst>
        </c:ser>
        <c:ser>
          <c:idx val="4"/>
          <c:order val="4"/>
          <c:tx>
            <c:strRef>
              <c:f>Sheet1!$A$6</c:f>
              <c:strCache>
                <c:ptCount val="1"/>
                <c:pt idx="0">
                  <c:v>国_受診率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Sheet1!$B$1:$D$1</c:f>
              <c:strCache>
                <c:ptCount val="3"/>
                <c:pt idx="0">
                  <c:v>令和1年度</c:v>
                </c:pt>
                <c:pt idx="1">
                  <c:v>令和2年度</c:v>
                </c:pt>
                <c:pt idx="2">
                  <c:v>令和3年度</c:v>
                </c:pt>
              </c:strCache>
            </c:strRef>
          </c:cat>
          <c:val>
            <c:numRef>
              <c:f>Sheet1!$B$6:$D$6</c:f>
              <c:numCache>
                <c:formatCode>0.0%</c:formatCode>
                <c:ptCount val="3"/>
                <c:pt idx="0">
                  <c:v>0.20200000000000001</c:v>
                </c:pt>
                <c:pt idx="1">
                  <c:v>0.185</c:v>
                </c:pt>
                <c:pt idx="2">
                  <c:v>0.182</c:v>
                </c:pt>
              </c:numCache>
            </c:numRef>
          </c:val>
          <c:smooth val="0"/>
          <c:extLst>
            <c:ext xmlns:c16="http://schemas.microsoft.com/office/drawing/2014/chart" uri="{C3380CC4-5D6E-409C-BE32-E72D297353CC}">
              <c16:uniqueId val="{00000004-8489-4967-A84C-1CE7C01E33BD}"/>
            </c:ext>
          </c:extLst>
        </c:ser>
        <c:ser>
          <c:idx val="5"/>
          <c:order val="5"/>
          <c:tx>
            <c:strRef>
              <c:f>Sheet1!$A$7</c:f>
              <c:strCache>
                <c:ptCount val="1"/>
                <c:pt idx="0">
                  <c:v>県_受診率</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Sheet1!$B$1:$D$1</c:f>
              <c:strCache>
                <c:ptCount val="3"/>
                <c:pt idx="0">
                  <c:v>令和1年度</c:v>
                </c:pt>
                <c:pt idx="1">
                  <c:v>令和2年度</c:v>
                </c:pt>
                <c:pt idx="2">
                  <c:v>令和3年度</c:v>
                </c:pt>
              </c:strCache>
            </c:strRef>
          </c:cat>
          <c:val>
            <c:numRef>
              <c:f>Sheet1!$B$7:$D$7</c:f>
              <c:numCache>
                <c:formatCode>0.0%</c:formatCode>
                <c:ptCount val="3"/>
                <c:pt idx="0">
                  <c:v>0.247</c:v>
                </c:pt>
                <c:pt idx="1">
                  <c:v>0.22</c:v>
                </c:pt>
                <c:pt idx="2">
                  <c:v>0.214</c:v>
                </c:pt>
              </c:numCache>
            </c:numRef>
          </c:val>
          <c:smooth val="0"/>
          <c:extLst>
            <c:ext xmlns:c16="http://schemas.microsoft.com/office/drawing/2014/chart" uri="{C3380CC4-5D6E-409C-BE32-E72D297353CC}">
              <c16:uniqueId val="{00000005-8489-4967-A84C-1CE7C01E33BD}"/>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024398122318E-3"/>
              <c:y val="0.46775144155573906"/>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r>
                  <a:rPr lang="ja-JP" altLang="ja-JP" sz="700" b="0" i="0" u="none" strike="noStrike" kern="1200" baseline="0">
                    <a:solidFill>
                      <a:srgbClr val="000540"/>
                    </a:solidFill>
                    <a:latin typeface="BIZ UDPゴシック"/>
                    <a:ea typeface="BIZ UDPゴシック"/>
                    <a:cs typeface="+mn-cs"/>
                  </a:rPr>
                  <a:t>）</a:t>
                </a:r>
                <a:endParaRPr lang="ja-JP" altLang="en-US" sz="700" b="0" i="0" u="none" strike="noStrike" kern="1200" baseline="0">
                  <a:solidFill>
                    <a:srgbClr val="000540"/>
                  </a:solidFill>
                  <a:latin typeface="BIZ UDPゴシック"/>
                  <a:ea typeface="BIZ UDPゴシック"/>
                  <a:cs typeface="+mn-cs"/>
                </a:endParaRPr>
              </a:p>
            </c:rich>
          </c:tx>
          <c:layout>
            <c:manualLayout>
              <c:xMode val="edge"/>
              <c:yMode val="edge"/>
              <c:x val="0.96443478662130477"/>
              <c:y val="0.46278738814937137"/>
            </c:manualLayout>
          </c:layout>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20209973753282"/>
          <c:y val="0.25645756604013209"/>
          <c:w val="0.72378098571011973"/>
          <c:h val="0.63769367538735078"/>
        </c:manualLayout>
      </c:layout>
      <c:barChart>
        <c:barDir val="col"/>
        <c:grouping val="stacked"/>
        <c:varyColors val="0"/>
        <c:ser>
          <c:idx val="0"/>
          <c:order val="0"/>
          <c:tx>
            <c:strRef>
              <c:f>Sheet1!$A$2</c:f>
              <c:strCache>
                <c:ptCount val="1"/>
                <c:pt idx="0">
                  <c:v>外来</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#,##0_);[Red]\(#,##0\)</c:formatCode>
                <c:ptCount val="4"/>
                <c:pt idx="0">
                  <c:v>3898367900</c:v>
                </c:pt>
                <c:pt idx="1">
                  <c:v>3835607530</c:v>
                </c:pt>
                <c:pt idx="2">
                  <c:v>3915376320</c:v>
                </c:pt>
                <c:pt idx="3">
                  <c:v>3887654730</c:v>
                </c:pt>
              </c:numCache>
            </c:numRef>
          </c:val>
          <c:extLst>
            <c:ext xmlns:c16="http://schemas.microsoft.com/office/drawing/2014/chart" uri="{C3380CC4-5D6E-409C-BE32-E72D297353CC}">
              <c16:uniqueId val="{00000000-F2B9-466A-9D69-505BE3E47AF0}"/>
            </c:ext>
          </c:extLst>
        </c:ser>
        <c:ser>
          <c:idx val="1"/>
          <c:order val="1"/>
          <c:tx>
            <c:strRef>
              <c:f>Sheet1!$A$3</c:f>
              <c:strCache>
                <c:ptCount val="1"/>
                <c:pt idx="0">
                  <c:v>入院</c:v>
                </c:pt>
              </c:strCache>
            </c:strRef>
          </c:tx>
          <c:spPr>
            <a:solidFill>
              <a:srgbClr val="FF7463"/>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#,##0_);[Red]\(#,##0\)</c:formatCode>
                <c:ptCount val="4"/>
                <c:pt idx="0">
                  <c:v>2371557650</c:v>
                </c:pt>
                <c:pt idx="1">
                  <c:v>2369641310</c:v>
                </c:pt>
                <c:pt idx="2">
                  <c:v>2565057870</c:v>
                </c:pt>
                <c:pt idx="3">
                  <c:v>2346231840</c:v>
                </c:pt>
              </c:numCache>
            </c:numRef>
          </c:val>
          <c:extLst>
            <c:ext xmlns:c16="http://schemas.microsoft.com/office/drawing/2014/chart" uri="{C3380CC4-5D6E-409C-BE32-E72D297353CC}">
              <c16:uniqueId val="{00000001-F2B9-466A-9D69-505BE3E47AF0}"/>
            </c:ext>
          </c:extLst>
        </c:ser>
        <c:dLbls>
          <c:showLegendKey val="0"/>
          <c:showVal val="0"/>
          <c:showCatName val="0"/>
          <c:showSerName val="0"/>
          <c:showPercent val="0"/>
          <c:showBubbleSize val="0"/>
        </c:dLbls>
        <c:gapWidth val="219"/>
        <c:overlap val="100"/>
        <c:axId val="1"/>
        <c:axId val="2"/>
      </c:barChart>
      <c:lineChart>
        <c:grouping val="standard"/>
        <c:varyColors val="0"/>
        <c:ser>
          <c:idx val="2"/>
          <c:order val="2"/>
          <c:tx>
            <c:strRef>
              <c:f>Sheet1!$A$4</c:f>
              <c:strCache>
                <c:ptCount val="1"/>
                <c:pt idx="0">
                  <c:v>八街市_一人当たり医療費</c:v>
                </c:pt>
              </c:strCache>
            </c:strRef>
          </c:tx>
          <c:spPr>
            <a:ln w="25400" cap="rnd">
              <a:solidFill>
                <a:srgbClr val="FFAA99"/>
              </a:solidFill>
              <a:round/>
            </a:ln>
            <a:effectLst/>
          </c:spPr>
          <c:marker>
            <c:symbol val="circle"/>
            <c:size val="5"/>
            <c:spPr>
              <a:solidFill>
                <a:srgbClr val="FFAA99"/>
              </a:solidFill>
              <a:ln w="9525">
                <a:solidFill>
                  <a:srgbClr val="FFAA99"/>
                </a:solidFill>
              </a:ln>
              <a:effectLst/>
            </c:spPr>
          </c:marker>
          <c:dPt>
            <c:idx val="1"/>
            <c:bubble3D val="0"/>
            <c:extLst>
              <c:ext xmlns:c16="http://schemas.microsoft.com/office/drawing/2014/chart" uri="{C3380CC4-5D6E-409C-BE32-E72D297353CC}">
                <c16:uniqueId val="{00000002-F2B9-466A-9D69-505BE3E47AF0}"/>
              </c:ext>
            </c:extLst>
          </c:dPt>
          <c:dPt>
            <c:idx val="2"/>
            <c:bubble3D val="0"/>
            <c:extLst>
              <c:ext xmlns:c16="http://schemas.microsoft.com/office/drawing/2014/chart" uri="{C3380CC4-5D6E-409C-BE32-E72D297353CC}">
                <c16:uniqueId val="{00000003-F2B9-466A-9D69-505BE3E47AF0}"/>
              </c:ext>
            </c:extLst>
          </c:dPt>
          <c:dLbls>
            <c:dLbl>
              <c:idx val="1"/>
              <c:layout>
                <c:manualLayout>
                  <c:x val="-4.2398973701090518E-2"/>
                  <c:y val="-3.4778225806451707E-2"/>
                </c:manualLayout>
              </c:layout>
              <c:spPr>
                <a:noFill/>
                <a:ln>
                  <a:noFill/>
                </a:ln>
                <a:effectLst/>
              </c:spPr>
              <c:txPr>
                <a:bodyPr wrap="square" lIns="38100" tIns="19050" rIns="38100" bIns="19050">
                  <a:spAutoFit/>
                </a:bodyPr>
                <a:lstStyle/>
                <a:p>
                  <a:pPr>
                    <a:defRPr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B9-466A-9D69-505BE3E47AF0}"/>
                </c:ext>
              </c:extLst>
            </c:dLbl>
            <c:dLbl>
              <c:idx val="2"/>
              <c:layout>
                <c:manualLayout>
                  <c:x val="-4.1565105837075129E-2"/>
                  <c:y val="-2.4697580645161289E-2"/>
                </c:manualLayout>
              </c:layout>
              <c:spPr>
                <a:noFill/>
                <a:ln>
                  <a:noFill/>
                </a:ln>
                <a:effectLst/>
              </c:spPr>
              <c:txPr>
                <a:bodyPr wrap="square" lIns="38100" tIns="19050" rIns="38100" bIns="19050">
                  <a:spAutoFit/>
                </a:bodyPr>
                <a:lstStyle/>
                <a:p>
                  <a:pPr>
                    <a:defRPr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B9-466A-9D69-505BE3E47AF0}"/>
                </c:ext>
              </c:extLst>
            </c:dLbl>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Sheet1!$B$4:$E$4</c:f>
              <c:numCache>
                <c:formatCode>#,##0_);[Red]\(#,##0\)</c:formatCode>
                <c:ptCount val="4"/>
                <c:pt idx="0">
                  <c:v>25560</c:v>
                </c:pt>
                <c:pt idx="1">
                  <c:v>25530</c:v>
                </c:pt>
                <c:pt idx="2">
                  <c:v>27310</c:v>
                </c:pt>
                <c:pt idx="3">
                  <c:v>26710</c:v>
                </c:pt>
              </c:numCache>
            </c:numRef>
          </c:val>
          <c:smooth val="0"/>
          <c:extLst>
            <c:ext xmlns:c16="http://schemas.microsoft.com/office/drawing/2014/chart" uri="{C3380CC4-5D6E-409C-BE32-E72D297353CC}">
              <c16:uniqueId val="{00000004-F2B9-466A-9D69-505BE3E47AF0}"/>
            </c:ext>
          </c:extLst>
        </c:ser>
        <c:ser>
          <c:idx val="3"/>
          <c:order val="3"/>
          <c:tx>
            <c:strRef>
              <c:f>Sheet1!$A$5</c:f>
              <c:strCache>
                <c:ptCount val="1"/>
                <c:pt idx="0">
                  <c:v>国_一人当たり医療費</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Sheet1!$B$5:$E$5</c:f>
              <c:numCache>
                <c:formatCode>#,##0_);[Red]\(#,##0\)</c:formatCode>
                <c:ptCount val="4"/>
                <c:pt idx="0">
                  <c:v>27470</c:v>
                </c:pt>
                <c:pt idx="1">
                  <c:v>26960</c:v>
                </c:pt>
                <c:pt idx="2">
                  <c:v>28470</c:v>
                </c:pt>
                <c:pt idx="3">
                  <c:v>29050</c:v>
                </c:pt>
              </c:numCache>
            </c:numRef>
          </c:val>
          <c:smooth val="0"/>
          <c:extLst>
            <c:ext xmlns:c16="http://schemas.microsoft.com/office/drawing/2014/chart" uri="{C3380CC4-5D6E-409C-BE32-E72D297353CC}">
              <c16:uniqueId val="{00000005-F2B9-466A-9D69-505BE3E47AF0}"/>
            </c:ext>
          </c:extLst>
        </c:ser>
        <c:ser>
          <c:idx val="4"/>
          <c:order val="4"/>
          <c:tx>
            <c:strRef>
              <c:f>Sheet1!$A$6</c:f>
              <c:strCache>
                <c:ptCount val="1"/>
                <c:pt idx="0">
                  <c:v>県_一人当たり医療費</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#,##0_);[Red]\(#,##0\)</c:formatCode>
                <c:ptCount val="4"/>
                <c:pt idx="0">
                  <c:v>25110</c:v>
                </c:pt>
                <c:pt idx="1">
                  <c:v>24700</c:v>
                </c:pt>
                <c:pt idx="2">
                  <c:v>26340</c:v>
                </c:pt>
                <c:pt idx="3">
                  <c:v>26870</c:v>
                </c:pt>
              </c:numCache>
            </c:numRef>
          </c:val>
          <c:smooth val="0"/>
          <c:extLst>
            <c:ext xmlns:c16="http://schemas.microsoft.com/office/drawing/2014/chart" uri="{C3380CC4-5D6E-409C-BE32-E72D297353CC}">
              <c16:uniqueId val="{00000006-F2B9-466A-9D69-505BE3E47AF0}"/>
            </c:ext>
          </c:extLst>
        </c:ser>
        <c:ser>
          <c:idx val="5"/>
          <c:order val="5"/>
          <c:tx>
            <c:strRef>
              <c:f>Sheet1!$A$7</c:f>
              <c:strCache>
                <c:ptCount val="1"/>
                <c:pt idx="0">
                  <c:v>同規模_一人当たり医療費</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Sheet1!$B$1:$E$1</c:f>
              <c:strCache>
                <c:ptCount val="4"/>
                <c:pt idx="0">
                  <c:v>令和1年度</c:v>
                </c:pt>
                <c:pt idx="1">
                  <c:v>令和2年度</c:v>
                </c:pt>
                <c:pt idx="2">
                  <c:v>令和3年度</c:v>
                </c:pt>
                <c:pt idx="3">
                  <c:v>令和4年度</c:v>
                </c:pt>
              </c:strCache>
            </c:strRef>
          </c:cat>
          <c:val>
            <c:numRef>
              <c:f>Sheet1!$B$7:$E$7</c:f>
              <c:numCache>
                <c:formatCode>#,##0_);[Red]\(#,##0\)</c:formatCode>
                <c:ptCount val="4"/>
                <c:pt idx="0">
                  <c:v>27900</c:v>
                </c:pt>
                <c:pt idx="1">
                  <c:v>27400</c:v>
                </c:pt>
                <c:pt idx="2">
                  <c:v>28820</c:v>
                </c:pt>
                <c:pt idx="3">
                  <c:v>29600</c:v>
                </c:pt>
              </c:numCache>
            </c:numRef>
          </c:val>
          <c:smooth val="0"/>
          <c:extLst>
            <c:ext xmlns:c16="http://schemas.microsoft.com/office/drawing/2014/chart" uri="{C3380CC4-5D6E-409C-BE32-E72D297353CC}">
              <c16:uniqueId val="{00000007-F2B9-466A-9D69-505BE3E47AF0}"/>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医療費（円）</a:t>
                </a:r>
              </a:p>
            </c:rich>
          </c:tx>
          <c:layout>
            <c:manualLayout>
              <c:xMode val="edge"/>
              <c:yMode val="edge"/>
              <c:x val="2.314896654595533E-3"/>
              <c:y val="0.4894181007112014"/>
            </c:manualLayout>
          </c:layout>
          <c:overlay val="0"/>
          <c:spPr>
            <a:noFill/>
            <a:ln>
              <a:noFill/>
            </a:ln>
            <a:effectLst/>
          </c:spPr>
        </c:title>
        <c:numFmt formatCode="#,###,,&quot;百万&quot;;;0" sourceLinked="0"/>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min val="18000"/>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一人当たり医療費（円）</a:t>
                </a:r>
              </a:p>
            </c:rich>
          </c:tx>
          <c:layout>
            <c:manualLayout>
              <c:xMode val="edge"/>
              <c:yMode val="edge"/>
              <c:x val="0.96426826537638533"/>
              <c:y val="0.38624190373380746"/>
            </c:manualLayout>
          </c:layout>
          <c:overlay val="0"/>
          <c:spPr>
            <a:noFill/>
            <a:ln>
              <a:noFill/>
            </a:ln>
            <a:effectLst/>
          </c:spPr>
        </c:title>
        <c:numFmt formatCode="#,##0_);[Red]\(#,##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majorUnit val="2000"/>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その他の心疾患</c:v>
                </c:pt>
                <c:pt idx="1">
                  <c:v>その他の悪性新生物</c:v>
                </c:pt>
                <c:pt idx="2">
                  <c:v>統合失調症、統合失調症型障害及び妄想性障害</c:v>
                </c:pt>
                <c:pt idx="3">
                  <c:v>腎不全</c:v>
                </c:pt>
                <c:pt idx="4">
                  <c:v>その他の神経系の疾患</c:v>
                </c:pt>
                <c:pt idx="5">
                  <c:v>その他の呼吸器系の疾患</c:v>
                </c:pt>
                <c:pt idx="6">
                  <c:v>その他の消化器系の疾患</c:v>
                </c:pt>
                <c:pt idx="7">
                  <c:v>脳梗塞</c:v>
                </c:pt>
                <c:pt idx="8">
                  <c:v>虚血性心疾患</c:v>
                </c:pt>
                <c:pt idx="9">
                  <c:v>関節症</c:v>
                </c:pt>
              </c:strCache>
            </c:strRef>
          </c:cat>
          <c:val>
            <c:numRef>
              <c:f>Sheet1!$B$2:$B$11</c:f>
              <c:numCache>
                <c:formatCode>0.00_ </c:formatCode>
                <c:ptCount val="10"/>
                <c:pt idx="0">
                  <c:v>0.96734909271671277</c:v>
                </c:pt>
                <c:pt idx="1">
                  <c:v>0.70371427958794908</c:v>
                </c:pt>
                <c:pt idx="2">
                  <c:v>0.72570598506714645</c:v>
                </c:pt>
                <c:pt idx="3">
                  <c:v>1.3293167491660358</c:v>
                </c:pt>
                <c:pt idx="4">
                  <c:v>0.91465678540987549</c:v>
                </c:pt>
                <c:pt idx="5">
                  <c:v>0.92441089012664124</c:v>
                </c:pt>
                <c:pt idx="6">
                  <c:v>0.92433638217693725</c:v>
                </c:pt>
                <c:pt idx="7">
                  <c:v>1.0397390122490358</c:v>
                </c:pt>
                <c:pt idx="8">
                  <c:v>0.93225646031501763</c:v>
                </c:pt>
                <c:pt idx="9">
                  <c:v>0.95359520062500669</c:v>
                </c:pt>
              </c:numCache>
            </c:numRef>
          </c:val>
          <c:extLst>
            <c:ext xmlns:c16="http://schemas.microsoft.com/office/drawing/2014/chart" uri="{C3380CC4-5D6E-409C-BE32-E72D297353CC}">
              <c16:uniqueId val="{00000000-2C04-49C3-9A43-9221549574F7}"/>
            </c:ext>
          </c:extLst>
        </c:ser>
        <c:ser>
          <c:idx val="1"/>
          <c:order val="1"/>
          <c:tx>
            <c:strRef>
              <c:f>Sheet1!$C$1</c:f>
              <c:strCache>
                <c:ptCount val="1"/>
                <c:pt idx="0">
                  <c:v>県</c:v>
                </c:pt>
              </c:strCache>
            </c:strRef>
          </c:tx>
          <c:spPr>
            <a:solidFill>
              <a:srgbClr val="99ACFF"/>
            </a:solidFill>
            <a:ln>
              <a:noFill/>
            </a:ln>
            <a:effectLst/>
          </c:spPr>
          <c:invertIfNegative val="0"/>
          <c:cat>
            <c:strRef>
              <c:f>Sheet1!$A$2:$A$11</c:f>
              <c:strCache>
                <c:ptCount val="10"/>
                <c:pt idx="0">
                  <c:v>その他の心疾患</c:v>
                </c:pt>
                <c:pt idx="1">
                  <c:v>その他の悪性新生物</c:v>
                </c:pt>
                <c:pt idx="2">
                  <c:v>統合失調症、統合失調症型障害及び妄想性障害</c:v>
                </c:pt>
                <c:pt idx="3">
                  <c:v>腎不全</c:v>
                </c:pt>
                <c:pt idx="4">
                  <c:v>その他の神経系の疾患</c:v>
                </c:pt>
                <c:pt idx="5">
                  <c:v>その他の呼吸器系の疾患</c:v>
                </c:pt>
                <c:pt idx="6">
                  <c:v>その他の消化器系の疾患</c:v>
                </c:pt>
                <c:pt idx="7">
                  <c:v>脳梗塞</c:v>
                </c:pt>
                <c:pt idx="8">
                  <c:v>虚血性心疾患</c:v>
                </c:pt>
                <c:pt idx="9">
                  <c:v>関節症</c:v>
                </c:pt>
              </c:strCache>
            </c:strRef>
          </c:cat>
          <c:val>
            <c:numRef>
              <c:f>Sheet1!$C$2:$C$11</c:f>
              <c:numCache>
                <c:formatCode>0.00_ </c:formatCode>
                <c:ptCount val="10"/>
                <c:pt idx="0">
                  <c:v>0.91570251787798052</c:v>
                </c:pt>
                <c:pt idx="1">
                  <c:v>0.91860560932756141</c:v>
                </c:pt>
                <c:pt idx="2">
                  <c:v>0.85836761052645694</c:v>
                </c:pt>
                <c:pt idx="3">
                  <c:v>1.1442606063433478</c:v>
                </c:pt>
                <c:pt idx="4">
                  <c:v>0.84270491757613308</c:v>
                </c:pt>
                <c:pt idx="5">
                  <c:v>0.82056333323598485</c:v>
                </c:pt>
                <c:pt idx="6">
                  <c:v>0.9477894511009024</c:v>
                </c:pt>
                <c:pt idx="7">
                  <c:v>0.93616310101080369</c:v>
                </c:pt>
                <c:pt idx="8">
                  <c:v>1.1542651773172219</c:v>
                </c:pt>
                <c:pt idx="9">
                  <c:v>0.79661297291670274</c:v>
                </c:pt>
              </c:numCache>
            </c:numRef>
          </c:val>
          <c:extLst>
            <c:ext xmlns:c16="http://schemas.microsoft.com/office/drawing/2014/chart" uri="{C3380CC4-5D6E-409C-BE32-E72D297353CC}">
              <c16:uniqueId val="{00000001-2C04-49C3-9A43-9221549574F7}"/>
            </c:ext>
          </c:extLst>
        </c:ser>
        <c:ser>
          <c:idx val="2"/>
          <c:order val="2"/>
          <c:tx>
            <c:strRef>
              <c:f>Sheet1!$D$1</c:f>
              <c:strCache>
                <c:ptCount val="1"/>
                <c:pt idx="0">
                  <c:v>同規模</c:v>
                </c:pt>
              </c:strCache>
            </c:strRef>
          </c:tx>
          <c:spPr>
            <a:solidFill>
              <a:srgbClr val="CCD6FF"/>
            </a:solidFill>
            <a:ln>
              <a:noFill/>
            </a:ln>
            <a:effectLst/>
          </c:spPr>
          <c:invertIfNegative val="0"/>
          <c:cat>
            <c:strRef>
              <c:f>Sheet1!$A$2:$A$11</c:f>
              <c:strCache>
                <c:ptCount val="10"/>
                <c:pt idx="0">
                  <c:v>その他の心疾患</c:v>
                </c:pt>
                <c:pt idx="1">
                  <c:v>その他の悪性新生物</c:v>
                </c:pt>
                <c:pt idx="2">
                  <c:v>統合失調症、統合失調症型障害及び妄想性障害</c:v>
                </c:pt>
                <c:pt idx="3">
                  <c:v>腎不全</c:v>
                </c:pt>
                <c:pt idx="4">
                  <c:v>その他の神経系の疾患</c:v>
                </c:pt>
                <c:pt idx="5">
                  <c:v>その他の呼吸器系の疾患</c:v>
                </c:pt>
                <c:pt idx="6">
                  <c:v>その他の消化器系の疾患</c:v>
                </c:pt>
                <c:pt idx="7">
                  <c:v>脳梗塞</c:v>
                </c:pt>
                <c:pt idx="8">
                  <c:v>虚血性心疾患</c:v>
                </c:pt>
                <c:pt idx="9">
                  <c:v>関節症</c:v>
                </c:pt>
              </c:strCache>
            </c:strRef>
          </c:cat>
          <c:val>
            <c:numRef>
              <c:f>Sheet1!$D$2:$D$11</c:f>
              <c:numCache>
                <c:formatCode>0.00_ </c:formatCode>
                <c:ptCount val="10"/>
                <c:pt idx="0">
                  <c:v>1.0409281273028095</c:v>
                </c:pt>
                <c:pt idx="1">
                  <c:v>1.0568706496579787</c:v>
                </c:pt>
                <c:pt idx="2">
                  <c:v>1.1008802151291419</c:v>
                </c:pt>
                <c:pt idx="3">
                  <c:v>1.0168453734550627</c:v>
                </c:pt>
                <c:pt idx="4">
                  <c:v>1.0698280107615541</c:v>
                </c:pt>
                <c:pt idx="5">
                  <c:v>1.0280704095945075</c:v>
                </c:pt>
                <c:pt idx="6">
                  <c:v>1.037073768335991</c:v>
                </c:pt>
                <c:pt idx="7">
                  <c:v>1.0424872284475497</c:v>
                </c:pt>
                <c:pt idx="8">
                  <c:v>1.0027241106972022</c:v>
                </c:pt>
                <c:pt idx="9">
                  <c:v>1.0687306256630318</c:v>
                </c:pt>
              </c:numCache>
            </c:numRef>
          </c:val>
          <c:extLst>
            <c:ext xmlns:c16="http://schemas.microsoft.com/office/drawing/2014/chart" uri="{C3380CC4-5D6E-409C-BE32-E72D297353CC}">
              <c16:uniqueId val="{00000002-2C04-49C3-9A43-9221549574F7}"/>
            </c:ext>
          </c:extLst>
        </c:ser>
        <c:dLbls>
          <c:showLegendKey val="0"/>
          <c:showVal val="0"/>
          <c:showCatName val="0"/>
          <c:showSerName val="0"/>
          <c:showPercent val="0"/>
          <c:showBubbleSize val="0"/>
        </c:dLbls>
        <c:gapWidth val="219"/>
        <c:axId val="1"/>
        <c:axId val="2"/>
      </c:barChart>
      <c:catAx>
        <c:axId val="1"/>
        <c:scaling>
          <c:orientation val="minMax"/>
        </c:scaling>
        <c:delete val="0"/>
        <c:axPos val="b"/>
        <c:numFmt formatCode="General" sourceLinked="1"/>
        <c:majorTickMark val="none"/>
        <c:minorTickMark val="none"/>
        <c:tickLblPos val="low"/>
        <c:spPr>
          <a:noFill/>
          <a:ln w="9525" cap="flat" cmpd="sng" algn="ctr">
            <a:solidFill>
              <a:srgbClr val="CCD6FF"/>
            </a:solidFill>
            <a:round/>
          </a:ln>
          <a:effectLst/>
        </c:spPr>
        <c:txPr>
          <a:bodyPr rot="-180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At val="1"/>
        <c:auto val="1"/>
        <c:lblAlgn val="ctr"/>
        <c:lblOffset val="100"/>
        <c:noMultiLvlLbl val="0"/>
      </c:catAx>
      <c:valAx>
        <c:axId val="2"/>
        <c:scaling>
          <c:orientation val="minMax"/>
          <c:max val="1.5"/>
          <c:min val="0.5"/>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受診率の比（対国）</a:t>
                </a:r>
              </a:p>
            </c:rich>
          </c:tx>
          <c:overlay val="0"/>
          <c:spPr>
            <a:noFill/>
            <a:ln>
              <a:noFill/>
            </a:ln>
            <a:effectLst/>
          </c:spPr>
        </c:title>
        <c:numFmt formatCode="0.00_ " sourceLinked="1"/>
        <c:majorTickMark val="none"/>
        <c:minorTickMark val="none"/>
        <c:tickLblPos val="low"/>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15503791192764"/>
          <c:y val="0.1226984126984127"/>
          <c:w val="0.74992417614464835"/>
          <c:h val="0.42827025654051298"/>
        </c:manualLayout>
      </c:layout>
      <c:barChart>
        <c:barDir val="col"/>
        <c:grouping val="clustered"/>
        <c:varyColors val="0"/>
        <c:ser>
          <c:idx val="0"/>
          <c:order val="0"/>
          <c:tx>
            <c:strRef>
              <c:f>Sheet1!$B$1</c:f>
              <c:strCache>
                <c:ptCount val="1"/>
                <c:pt idx="0">
                  <c:v>一人当たり医療費</c:v>
                </c:pt>
              </c:strCache>
            </c:strRef>
          </c:tx>
          <c:spPr>
            <a:solidFill>
              <a:srgbClr val="5575FF"/>
            </a:solidFill>
            <a:ln>
              <a:noFill/>
            </a:ln>
            <a:effectLst/>
          </c:spPr>
          <c:invertIfNegative val="0"/>
          <c:dPt>
            <c:idx val="0"/>
            <c:invertIfNegative val="0"/>
            <c:bubble3D val="0"/>
            <c:extLst>
              <c:ext xmlns:c16="http://schemas.microsoft.com/office/drawing/2014/chart" uri="{C3380CC4-5D6E-409C-BE32-E72D297353CC}">
                <c16:uniqueId val="{00000001-C49F-4DDA-8CEE-39A9C21C9386}"/>
              </c:ext>
            </c:extLst>
          </c:dPt>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その他の心疾患</c:v>
                </c:pt>
                <c:pt idx="1">
                  <c:v>その他の悪性新生物</c:v>
                </c:pt>
                <c:pt idx="2">
                  <c:v>腎不全</c:v>
                </c:pt>
                <c:pt idx="3">
                  <c:v>統合失調症、統合失調症型障害及び妄想性障害</c:v>
                </c:pt>
                <c:pt idx="4">
                  <c:v>その他の消化器系の疾患</c:v>
                </c:pt>
                <c:pt idx="5">
                  <c:v>虚血性心疾患</c:v>
                </c:pt>
                <c:pt idx="6">
                  <c:v>脳梗塞</c:v>
                </c:pt>
                <c:pt idx="7">
                  <c:v>その他の神経系の疾患</c:v>
                </c:pt>
                <c:pt idx="8">
                  <c:v>その他の呼吸器系の疾患</c:v>
                </c:pt>
                <c:pt idx="9">
                  <c:v>気管、気管支及び肺の悪性新生物</c:v>
                </c:pt>
              </c:strCache>
            </c:strRef>
          </c:cat>
          <c:val>
            <c:numRef>
              <c:f>Sheet1!$B$2:$B$11</c:f>
              <c:numCache>
                <c:formatCode>#,##0_ </c:formatCode>
                <c:ptCount val="10"/>
                <c:pt idx="0">
                  <c:v>15320</c:v>
                </c:pt>
                <c:pt idx="1">
                  <c:v>10430</c:v>
                </c:pt>
                <c:pt idx="2">
                  <c:v>9770</c:v>
                </c:pt>
                <c:pt idx="3">
                  <c:v>7440</c:v>
                </c:pt>
                <c:pt idx="4">
                  <c:v>6390</c:v>
                </c:pt>
                <c:pt idx="5">
                  <c:v>6220</c:v>
                </c:pt>
                <c:pt idx="6">
                  <c:v>5480</c:v>
                </c:pt>
                <c:pt idx="7">
                  <c:v>5340</c:v>
                </c:pt>
                <c:pt idx="8">
                  <c:v>5210</c:v>
                </c:pt>
                <c:pt idx="9">
                  <c:v>5100</c:v>
                </c:pt>
              </c:numCache>
            </c:numRef>
          </c:val>
          <c:extLst>
            <c:ext xmlns:c16="http://schemas.microsoft.com/office/drawing/2014/chart" uri="{C3380CC4-5D6E-409C-BE32-E72D297353CC}">
              <c16:uniqueId val="{00000002-C49F-4DDA-8CEE-39A9C21C9386}"/>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Sheet1!$C$1</c:f>
              <c:strCache>
                <c:ptCount val="1"/>
                <c:pt idx="0">
                  <c:v>標準化比</c:v>
                </c:pt>
              </c:strCache>
            </c:strRef>
          </c:tx>
          <c:spPr>
            <a:ln w="25400" cap="rnd">
              <a:solidFill>
                <a:srgbClr val="CCD6FF"/>
              </a:solidFill>
              <a:round/>
            </a:ln>
            <a:effectLst/>
          </c:spPr>
          <c:marker>
            <c:symbol val="circle"/>
            <c:size val="5"/>
            <c:spPr>
              <a:solidFill>
                <a:srgbClr val="CCD6FF"/>
              </a:solidFill>
              <a:ln w="9525">
                <a:solidFill>
                  <a:srgbClr val="CCD6FF"/>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その他の心疾患</c:v>
                </c:pt>
                <c:pt idx="1">
                  <c:v>その他の悪性新生物</c:v>
                </c:pt>
                <c:pt idx="2">
                  <c:v>腎不全</c:v>
                </c:pt>
                <c:pt idx="3">
                  <c:v>統合失調症、統合失調症型障害及び妄想性障害</c:v>
                </c:pt>
                <c:pt idx="4">
                  <c:v>その他の消化器系の疾患</c:v>
                </c:pt>
                <c:pt idx="5">
                  <c:v>虚血性心疾患</c:v>
                </c:pt>
                <c:pt idx="6">
                  <c:v>脳梗塞</c:v>
                </c:pt>
                <c:pt idx="7">
                  <c:v>その他の神経系の疾患</c:v>
                </c:pt>
                <c:pt idx="8">
                  <c:v>その他の呼吸器系の疾患</c:v>
                </c:pt>
                <c:pt idx="9">
                  <c:v>気管、気管支及び肺の悪性新生物</c:v>
                </c:pt>
              </c:strCache>
            </c:strRef>
          </c:cat>
          <c:val>
            <c:numRef>
              <c:f>Sheet1!$C$2:$C$11</c:f>
              <c:numCache>
                <c:formatCode>0.0_ </c:formatCode>
                <c:ptCount val="10"/>
                <c:pt idx="0">
                  <c:v>128.00008800000001</c:v>
                </c:pt>
                <c:pt idx="1">
                  <c:v>82.40870799999999</c:v>
                </c:pt>
                <c:pt idx="2">
                  <c:v>157.766245</c:v>
                </c:pt>
                <c:pt idx="3">
                  <c:v>71.813769000000008</c:v>
                </c:pt>
                <c:pt idx="4">
                  <c:v>99.721987999999996</c:v>
                </c:pt>
                <c:pt idx="5">
                  <c:v>93.303064000000006</c:v>
                </c:pt>
                <c:pt idx="6">
                  <c:v>96.104664999999997</c:v>
                </c:pt>
                <c:pt idx="7">
                  <c:v>78.988378999999995</c:v>
                </c:pt>
                <c:pt idx="8">
                  <c:v>74.474644999999995</c:v>
                </c:pt>
                <c:pt idx="9">
                  <c:v>110.24111299999998</c:v>
                </c:pt>
              </c:numCache>
            </c:numRef>
          </c:val>
          <c:smooth val="0"/>
          <c:extLst>
            <c:ext xmlns:c16="http://schemas.microsoft.com/office/drawing/2014/chart" uri="{C3380CC4-5D6E-409C-BE32-E72D297353CC}">
              <c16:uniqueId val="{00000003-C49F-4DDA-8CEE-39A9C21C9386}"/>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一人当たり医療費（円）</a:t>
                </a:r>
              </a:p>
            </c:rich>
          </c:tx>
          <c:layout>
            <c:manualLayout>
              <c:xMode val="edge"/>
              <c:yMode val="edge"/>
              <c:x val="1.4966859097712209E-2"/>
              <c:y val="0.19050434975869951"/>
            </c:manualLayout>
          </c:layout>
          <c:overlay val="0"/>
          <c:spPr>
            <a:noFill/>
            <a:ln>
              <a:noFill/>
            </a:ln>
            <a:effectLst/>
          </c:spPr>
        </c:title>
        <c:numFmt formatCode="#,##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overlay val="0"/>
          <c:spPr>
            <a:noFill/>
            <a:ln>
              <a:noFill/>
            </a:ln>
            <a:effectLst/>
          </c:spPr>
        </c:title>
        <c:numFmt formatCode="0_ " sourceLinked="0"/>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129228638086904"/>
          <c:y val="0.1226984126984127"/>
          <c:w val="0.74066765091863518"/>
          <c:h val="0.42227425704851407"/>
        </c:manualLayout>
      </c:layout>
      <c:barChart>
        <c:barDir val="col"/>
        <c:grouping val="clustered"/>
        <c:varyColors val="0"/>
        <c:ser>
          <c:idx val="0"/>
          <c:order val="0"/>
          <c:tx>
            <c:strRef>
              <c:f>Sheet1!$B$1</c:f>
              <c:strCache>
                <c:ptCount val="1"/>
                <c:pt idx="0">
                  <c:v>一人当たり医療費</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統合失調症、統合失調症型障害及び妄想性障害</c:v>
                </c:pt>
                <c:pt idx="1">
                  <c:v>関節症</c:v>
                </c:pt>
                <c:pt idx="2">
                  <c:v>その他の神経系の疾患</c:v>
                </c:pt>
                <c:pt idx="3">
                  <c:v>その他の心疾患</c:v>
                </c:pt>
                <c:pt idx="4">
                  <c:v>その他の呼吸器系の疾患</c:v>
                </c:pt>
                <c:pt idx="5">
                  <c:v>骨折</c:v>
                </c:pt>
                <c:pt idx="6">
                  <c:v>気分（感情）障害（躁うつ病を含む）</c:v>
                </c:pt>
                <c:pt idx="7">
                  <c:v>その他の悪性新生物</c:v>
                </c:pt>
                <c:pt idx="8">
                  <c:v>その他の特殊目的用コード</c:v>
                </c:pt>
                <c:pt idx="9">
                  <c:v>その他の筋骨格系及び結合組織の疾患</c:v>
                </c:pt>
              </c:strCache>
            </c:strRef>
          </c:cat>
          <c:val>
            <c:numRef>
              <c:f>Sheet1!$B$2:$B$11</c:f>
              <c:numCache>
                <c:formatCode>#,##0_ </c:formatCode>
                <c:ptCount val="10"/>
                <c:pt idx="0">
                  <c:v>6380</c:v>
                </c:pt>
                <c:pt idx="1">
                  <c:v>6300</c:v>
                </c:pt>
                <c:pt idx="2">
                  <c:v>5690</c:v>
                </c:pt>
                <c:pt idx="3">
                  <c:v>5480</c:v>
                </c:pt>
                <c:pt idx="4">
                  <c:v>5390</c:v>
                </c:pt>
                <c:pt idx="5">
                  <c:v>5110</c:v>
                </c:pt>
                <c:pt idx="6">
                  <c:v>4200</c:v>
                </c:pt>
                <c:pt idx="7">
                  <c:v>3910</c:v>
                </c:pt>
                <c:pt idx="8">
                  <c:v>3210</c:v>
                </c:pt>
                <c:pt idx="9">
                  <c:v>3200</c:v>
                </c:pt>
              </c:numCache>
            </c:numRef>
          </c:val>
          <c:extLst>
            <c:ext xmlns:c16="http://schemas.microsoft.com/office/drawing/2014/chart" uri="{C3380CC4-5D6E-409C-BE32-E72D297353CC}">
              <c16:uniqueId val="{00000000-78FC-47E2-A22B-A8459F09BD81}"/>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Sheet1!$C$1</c:f>
              <c:strCache>
                <c:ptCount val="1"/>
                <c:pt idx="0">
                  <c:v>標準化比</c:v>
                </c:pt>
              </c:strCache>
            </c:strRef>
          </c:tx>
          <c:spPr>
            <a:ln w="25400" cap="rnd">
              <a:solidFill>
                <a:srgbClr val="FFAA99"/>
              </a:solidFill>
              <a:round/>
            </a:ln>
            <a:effectLst/>
          </c:spPr>
          <c:marker>
            <c:symbol val="circle"/>
            <c:size val="5"/>
            <c:spPr>
              <a:solidFill>
                <a:srgbClr val="FFAA99"/>
              </a:solidFill>
              <a:ln w="9525">
                <a:solidFill>
                  <a:srgbClr val="FFAA99"/>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統合失調症、統合失調症型障害及び妄想性障害</c:v>
                </c:pt>
                <c:pt idx="1">
                  <c:v>関節症</c:v>
                </c:pt>
                <c:pt idx="2">
                  <c:v>その他の神経系の疾患</c:v>
                </c:pt>
                <c:pt idx="3">
                  <c:v>その他の心疾患</c:v>
                </c:pt>
                <c:pt idx="4">
                  <c:v>その他の呼吸器系の疾患</c:v>
                </c:pt>
                <c:pt idx="5">
                  <c:v>骨折</c:v>
                </c:pt>
                <c:pt idx="6">
                  <c:v>気分（感情）障害（躁うつ病を含む）</c:v>
                </c:pt>
                <c:pt idx="7">
                  <c:v>その他の悪性新生物</c:v>
                </c:pt>
                <c:pt idx="8">
                  <c:v>その他の特殊目的用コード</c:v>
                </c:pt>
                <c:pt idx="9">
                  <c:v>その他の筋骨格系及び結合組織の疾患</c:v>
                </c:pt>
              </c:strCache>
            </c:strRef>
          </c:cat>
          <c:val>
            <c:numRef>
              <c:f>Sheet1!$C$2:$C$11</c:f>
              <c:numCache>
                <c:formatCode>0.0_ </c:formatCode>
                <c:ptCount val="10"/>
                <c:pt idx="0">
                  <c:v>69.598731999999998</c:v>
                </c:pt>
                <c:pt idx="1">
                  <c:v>99.024553999999995</c:v>
                </c:pt>
                <c:pt idx="2">
                  <c:v>106.781553</c:v>
                </c:pt>
                <c:pt idx="3">
                  <c:v>91.308170000000004</c:v>
                </c:pt>
                <c:pt idx="4">
                  <c:v>162.29942100000002</c:v>
                </c:pt>
                <c:pt idx="5">
                  <c:v>82.713630000000009</c:v>
                </c:pt>
                <c:pt idx="6">
                  <c:v>122.576317</c:v>
                </c:pt>
                <c:pt idx="7">
                  <c:v>57.038836000000003</c:v>
                </c:pt>
                <c:pt idx="8">
                  <c:v>184.52739</c:v>
                </c:pt>
                <c:pt idx="9">
                  <c:v>113.60124300000001</c:v>
                </c:pt>
              </c:numCache>
            </c:numRef>
          </c:val>
          <c:smooth val="0"/>
          <c:extLst>
            <c:ext xmlns:c16="http://schemas.microsoft.com/office/drawing/2014/chart" uri="{C3380CC4-5D6E-409C-BE32-E72D297353CC}">
              <c16:uniqueId val="{00000001-78FC-47E2-A22B-A8459F09BD81}"/>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234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一人当たり医療費（円）</a:t>
                </a:r>
              </a:p>
            </c:rich>
          </c:tx>
          <c:layout>
            <c:manualLayout>
              <c:xMode val="edge"/>
              <c:yMode val="edge"/>
              <c:x val="1.7104645113716142E-2"/>
              <c:y val="0.19050434975869951"/>
            </c:manualLayout>
          </c:layout>
          <c:overlay val="0"/>
          <c:spPr>
            <a:noFill/>
            <a:ln>
              <a:noFill/>
            </a:ln>
            <a:effectLst/>
          </c:spPr>
        </c:title>
        <c:numFmt formatCode="#,##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overlay val="0"/>
          <c:spPr>
            <a:noFill/>
            <a:ln>
              <a:noFill/>
            </a:ln>
            <a:effectLst/>
          </c:spPr>
        </c:title>
        <c:numFmt formatCode="0_ " sourceLinked="0"/>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Arial"/>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腎不全</c:v>
                </c:pt>
                <c:pt idx="1">
                  <c:v>糖尿病</c:v>
                </c:pt>
                <c:pt idx="2">
                  <c:v>その他の悪性新生物</c:v>
                </c:pt>
                <c:pt idx="3">
                  <c:v>高血圧症</c:v>
                </c:pt>
                <c:pt idx="4">
                  <c:v>その他の消化器系の疾患</c:v>
                </c:pt>
                <c:pt idx="5">
                  <c:v>その他の心疾患</c:v>
                </c:pt>
                <c:pt idx="6">
                  <c:v>その他の眼及び付属器の疾患</c:v>
                </c:pt>
                <c:pt idx="7">
                  <c:v>その他の神経系の疾患</c:v>
                </c:pt>
                <c:pt idx="8">
                  <c:v>気管、気管支及び肺の悪性新生物</c:v>
                </c:pt>
                <c:pt idx="9">
                  <c:v>脂質異常症</c:v>
                </c:pt>
              </c:strCache>
            </c:strRef>
          </c:cat>
          <c:val>
            <c:numRef>
              <c:f>Sheet1!$B$2:$B$11</c:f>
              <c:numCache>
                <c:formatCode>0.00_ </c:formatCode>
                <c:ptCount val="10"/>
                <c:pt idx="0">
                  <c:v>1.3887405319280381</c:v>
                </c:pt>
                <c:pt idx="1">
                  <c:v>1.0790919796172953</c:v>
                </c:pt>
                <c:pt idx="2">
                  <c:v>0.88514802750273613</c:v>
                </c:pt>
                <c:pt idx="3">
                  <c:v>0.82976083525431921</c:v>
                </c:pt>
                <c:pt idx="4">
                  <c:v>1.025604658650666</c:v>
                </c:pt>
                <c:pt idx="5">
                  <c:v>0.82521087414347505</c:v>
                </c:pt>
                <c:pt idx="6">
                  <c:v>0.83493317134859557</c:v>
                </c:pt>
                <c:pt idx="7">
                  <c:v>0.79673128896171452</c:v>
                </c:pt>
                <c:pt idx="8">
                  <c:v>0.88431549010527311</c:v>
                </c:pt>
                <c:pt idx="9">
                  <c:v>0.71425584080117455</c:v>
                </c:pt>
              </c:numCache>
            </c:numRef>
          </c:val>
          <c:extLst>
            <c:ext xmlns:c16="http://schemas.microsoft.com/office/drawing/2014/chart" uri="{C3380CC4-5D6E-409C-BE32-E72D297353CC}">
              <c16:uniqueId val="{00000000-FC5F-41DA-8E80-F5A24B4F0D91}"/>
            </c:ext>
          </c:extLst>
        </c:ser>
        <c:ser>
          <c:idx val="1"/>
          <c:order val="1"/>
          <c:tx>
            <c:strRef>
              <c:f>Sheet1!$C$1</c:f>
              <c:strCache>
                <c:ptCount val="1"/>
                <c:pt idx="0">
                  <c:v>県</c:v>
                </c:pt>
              </c:strCache>
            </c:strRef>
          </c:tx>
          <c:spPr>
            <a:solidFill>
              <a:srgbClr val="99ACFF"/>
            </a:solidFill>
            <a:ln>
              <a:noFill/>
            </a:ln>
            <a:effectLst/>
          </c:spPr>
          <c:invertIfNegative val="0"/>
          <c:cat>
            <c:strRef>
              <c:f>Sheet1!$A$2:$A$11</c:f>
              <c:strCache>
                <c:ptCount val="10"/>
                <c:pt idx="0">
                  <c:v>腎不全</c:v>
                </c:pt>
                <c:pt idx="1">
                  <c:v>糖尿病</c:v>
                </c:pt>
                <c:pt idx="2">
                  <c:v>その他の悪性新生物</c:v>
                </c:pt>
                <c:pt idx="3">
                  <c:v>高血圧症</c:v>
                </c:pt>
                <c:pt idx="4">
                  <c:v>その他の消化器系の疾患</c:v>
                </c:pt>
                <c:pt idx="5">
                  <c:v>その他の心疾患</c:v>
                </c:pt>
                <c:pt idx="6">
                  <c:v>その他の眼及び付属器の疾患</c:v>
                </c:pt>
                <c:pt idx="7">
                  <c:v>その他の神経系の疾患</c:v>
                </c:pt>
                <c:pt idx="8">
                  <c:v>気管、気管支及び肺の悪性新生物</c:v>
                </c:pt>
                <c:pt idx="9">
                  <c:v>脂質異常症</c:v>
                </c:pt>
              </c:strCache>
            </c:strRef>
          </c:cat>
          <c:val>
            <c:numRef>
              <c:f>Sheet1!$C$2:$C$11</c:f>
              <c:numCache>
                <c:formatCode>0.00_ </c:formatCode>
                <c:ptCount val="10"/>
                <c:pt idx="0">
                  <c:v>1.0498775138177467</c:v>
                </c:pt>
                <c:pt idx="1">
                  <c:v>0.92981812759291327</c:v>
                </c:pt>
                <c:pt idx="2">
                  <c:v>1.0148990742053257</c:v>
                </c:pt>
                <c:pt idx="3">
                  <c:v>0.88023702434742657</c:v>
                </c:pt>
                <c:pt idx="4">
                  <c:v>1.0169411059283242</c:v>
                </c:pt>
                <c:pt idx="5">
                  <c:v>0.91142218722817037</c:v>
                </c:pt>
                <c:pt idx="6">
                  <c:v>0.93517932769622802</c:v>
                </c:pt>
                <c:pt idx="7">
                  <c:v>0.90914731464458565</c:v>
                </c:pt>
                <c:pt idx="8">
                  <c:v>0.94658868418748643</c:v>
                </c:pt>
                <c:pt idx="9">
                  <c:v>0.89396075642265616</c:v>
                </c:pt>
              </c:numCache>
            </c:numRef>
          </c:val>
          <c:extLst>
            <c:ext xmlns:c16="http://schemas.microsoft.com/office/drawing/2014/chart" uri="{C3380CC4-5D6E-409C-BE32-E72D297353CC}">
              <c16:uniqueId val="{00000001-FC5F-41DA-8E80-F5A24B4F0D91}"/>
            </c:ext>
          </c:extLst>
        </c:ser>
        <c:ser>
          <c:idx val="2"/>
          <c:order val="2"/>
          <c:tx>
            <c:strRef>
              <c:f>Sheet1!$D$1</c:f>
              <c:strCache>
                <c:ptCount val="1"/>
                <c:pt idx="0">
                  <c:v>同規模</c:v>
                </c:pt>
              </c:strCache>
            </c:strRef>
          </c:tx>
          <c:spPr>
            <a:solidFill>
              <a:srgbClr val="CCD6FF"/>
            </a:solidFill>
            <a:ln>
              <a:noFill/>
            </a:ln>
            <a:effectLst/>
          </c:spPr>
          <c:invertIfNegative val="0"/>
          <c:cat>
            <c:strRef>
              <c:f>Sheet1!$A$2:$A$11</c:f>
              <c:strCache>
                <c:ptCount val="10"/>
                <c:pt idx="0">
                  <c:v>腎不全</c:v>
                </c:pt>
                <c:pt idx="1">
                  <c:v>糖尿病</c:v>
                </c:pt>
                <c:pt idx="2">
                  <c:v>その他の悪性新生物</c:v>
                </c:pt>
                <c:pt idx="3">
                  <c:v>高血圧症</c:v>
                </c:pt>
                <c:pt idx="4">
                  <c:v>その他の消化器系の疾患</c:v>
                </c:pt>
                <c:pt idx="5">
                  <c:v>その他の心疾患</c:v>
                </c:pt>
                <c:pt idx="6">
                  <c:v>その他の眼及び付属器の疾患</c:v>
                </c:pt>
                <c:pt idx="7">
                  <c:v>その他の神経系の疾患</c:v>
                </c:pt>
                <c:pt idx="8">
                  <c:v>気管、気管支及び肺の悪性新生物</c:v>
                </c:pt>
                <c:pt idx="9">
                  <c:v>脂質異常症</c:v>
                </c:pt>
              </c:strCache>
            </c:strRef>
          </c:cat>
          <c:val>
            <c:numRef>
              <c:f>Sheet1!$D$2:$D$11</c:f>
              <c:numCache>
                <c:formatCode>0.00_ </c:formatCode>
                <c:ptCount val="10"/>
                <c:pt idx="0">
                  <c:v>1.0252158075394404</c:v>
                </c:pt>
                <c:pt idx="1">
                  <c:v>1.093159610337098</c:v>
                </c:pt>
                <c:pt idx="2">
                  <c:v>1.0421525058759062</c:v>
                </c:pt>
                <c:pt idx="3">
                  <c:v>1.1094652482812473</c:v>
                </c:pt>
                <c:pt idx="4">
                  <c:v>1.0193776172741649</c:v>
                </c:pt>
                <c:pt idx="5">
                  <c:v>1.0529936973446661</c:v>
                </c:pt>
                <c:pt idx="6">
                  <c:v>1.0102482894053328</c:v>
                </c:pt>
                <c:pt idx="7">
                  <c:v>0.97531497296292546</c:v>
                </c:pt>
                <c:pt idx="8">
                  <c:v>1.0432336001103746</c:v>
                </c:pt>
                <c:pt idx="9">
                  <c:v>1.0619559200302324</c:v>
                </c:pt>
              </c:numCache>
            </c:numRef>
          </c:val>
          <c:extLst>
            <c:ext xmlns:c16="http://schemas.microsoft.com/office/drawing/2014/chart" uri="{C3380CC4-5D6E-409C-BE32-E72D297353CC}">
              <c16:uniqueId val="{00000002-FC5F-41DA-8E80-F5A24B4F0D91}"/>
            </c:ext>
          </c:extLst>
        </c:ser>
        <c:dLbls>
          <c:showLegendKey val="0"/>
          <c:showVal val="0"/>
          <c:showCatName val="0"/>
          <c:showSerName val="0"/>
          <c:showPercent val="0"/>
          <c:showBubbleSize val="0"/>
        </c:dLbls>
        <c:gapWidth val="219"/>
        <c:axId val="1"/>
        <c:axId val="2"/>
      </c:barChart>
      <c:catAx>
        <c:axId val="1"/>
        <c:scaling>
          <c:orientation val="minMax"/>
        </c:scaling>
        <c:delete val="0"/>
        <c:axPos val="b"/>
        <c:numFmt formatCode="General" sourceLinked="1"/>
        <c:majorTickMark val="none"/>
        <c:minorTickMark val="none"/>
        <c:tickLblPos val="low"/>
        <c:spPr>
          <a:noFill/>
          <a:ln w="9525" cap="flat" cmpd="sng" algn="ctr">
            <a:solidFill>
              <a:srgbClr val="CCD6FF"/>
            </a:solidFill>
            <a:round/>
          </a:ln>
          <a:effectLst/>
        </c:spPr>
        <c:txPr>
          <a:bodyPr rot="-180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At val="1"/>
        <c:auto val="1"/>
        <c:lblAlgn val="ctr"/>
        <c:lblOffset val="100"/>
        <c:noMultiLvlLbl val="0"/>
      </c:catAx>
      <c:valAx>
        <c:axId val="2"/>
        <c:scaling>
          <c:orientation val="minMax"/>
          <c:max val="1.5"/>
          <c:min val="0.5"/>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受診率の比（対国）</a:t>
                </a:r>
              </a:p>
            </c:rich>
          </c:tx>
          <c:overlay val="0"/>
          <c:spPr>
            <a:noFill/>
            <a:ln>
              <a:noFill/>
            </a:ln>
            <a:effectLst/>
          </c:spPr>
        </c:title>
        <c:numFmt formatCode="0.00_ " sourceLinked="1"/>
        <c:majorTickMark val="none"/>
        <c:minorTickMark val="none"/>
        <c:tickLblPos val="low"/>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Arial"/>
              </a:defRPr>
            </a:pPr>
            <a:endParaRPr lang="ja-JP"/>
          </a:p>
        </c:txPr>
        <c:crossAx val="1"/>
        <c:crosses val="autoZero"/>
        <c:crossBetween val="between"/>
        <c:majorUnit val="0.2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r>
              <a:rPr lang="ja-JP" altLang="en-US" sz="800" b="0" i="0" u="none" strike="noStrike" kern="1200" spc="0" baseline="0">
                <a:solidFill>
                  <a:srgbClr val="000540"/>
                </a:solidFill>
                <a:latin typeface="BIZ UDPゴシック"/>
                <a:ea typeface="BIZ UDPゴシック"/>
                <a:cs typeface="+mn-cs"/>
              </a:rPr>
              <a:t>男性</a:t>
            </a:r>
          </a:p>
        </c:rich>
      </c:tx>
      <c:layout>
        <c:manualLayout>
          <c:xMode val="edge"/>
          <c:yMode val="edge"/>
          <c:x val="2.9862920938631292E-2"/>
          <c:y val="4.9382881829568424E-2"/>
        </c:manualLayout>
      </c:layout>
      <c:overlay val="1"/>
      <c:spPr>
        <a:solidFill>
          <a:srgbClr val="CCD6FF"/>
        </a:solidFill>
        <a:ln>
          <a:noFill/>
        </a:ln>
        <a:effectLst/>
      </c:spPr>
      <c:txPr>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endParaRPr lang="ja-JP"/>
        </a:p>
      </c:txPr>
    </c:title>
    <c:autoTitleDeleted val="0"/>
    <c:plotArea>
      <c:layout/>
      <c:barChart>
        <c:barDir val="bar"/>
        <c:grouping val="clustered"/>
        <c:varyColors val="0"/>
        <c:ser>
          <c:idx val="0"/>
          <c:order val="0"/>
          <c:tx>
            <c:strRef>
              <c:f>Sheet1!$B$1</c:f>
              <c:strCache>
                <c:ptCount val="1"/>
                <c:pt idx="0">
                  <c:v>平均余命(年)</c:v>
                </c:pt>
              </c:strCache>
            </c:strRef>
          </c:tx>
          <c:spPr>
            <a:solidFill>
              <a:srgbClr val="5575FF"/>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八街市</c:v>
                </c:pt>
                <c:pt idx="1">
                  <c:v>国</c:v>
                </c:pt>
                <c:pt idx="2">
                  <c:v>県</c:v>
                </c:pt>
                <c:pt idx="3">
                  <c:v>同規模</c:v>
                </c:pt>
              </c:strCache>
            </c:strRef>
          </c:cat>
          <c:val>
            <c:numRef>
              <c:f>Sheet1!$B$2:$B$5</c:f>
              <c:numCache>
                <c:formatCode>0.0_ </c:formatCode>
                <c:ptCount val="4"/>
                <c:pt idx="0">
                  <c:v>80</c:v>
                </c:pt>
                <c:pt idx="1">
                  <c:v>81.7</c:v>
                </c:pt>
                <c:pt idx="2">
                  <c:v>81.8</c:v>
                </c:pt>
                <c:pt idx="3">
                  <c:v>81.599999999999994</c:v>
                </c:pt>
              </c:numCache>
            </c:numRef>
          </c:val>
          <c:extLst>
            <c:ext xmlns:c16="http://schemas.microsoft.com/office/drawing/2014/chart" uri="{C3380CC4-5D6E-409C-BE32-E72D297353CC}">
              <c16:uniqueId val="{00000000-92C1-492B-9155-80DE140426AC}"/>
            </c:ext>
          </c:extLst>
        </c:ser>
        <c:ser>
          <c:idx val="1"/>
          <c:order val="1"/>
          <c:tx>
            <c:strRef>
              <c:f>Sheet1!$C$1</c:f>
              <c:strCache>
                <c:ptCount val="1"/>
                <c:pt idx="0">
                  <c:v>平均自立期間(年)</c:v>
                </c:pt>
              </c:strCache>
            </c:strRef>
          </c:tx>
          <c:spPr>
            <a:solidFill>
              <a:srgbClr val="00B0F0"/>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八街市</c:v>
                </c:pt>
                <c:pt idx="1">
                  <c:v>国</c:v>
                </c:pt>
                <c:pt idx="2">
                  <c:v>県</c:v>
                </c:pt>
                <c:pt idx="3">
                  <c:v>同規模</c:v>
                </c:pt>
              </c:strCache>
            </c:strRef>
          </c:cat>
          <c:val>
            <c:numRef>
              <c:f>Sheet1!$C$2:$C$5</c:f>
              <c:numCache>
                <c:formatCode>0.0_ </c:formatCode>
                <c:ptCount val="4"/>
                <c:pt idx="0">
                  <c:v>78.7</c:v>
                </c:pt>
                <c:pt idx="1">
                  <c:v>80.099999999999994</c:v>
                </c:pt>
                <c:pt idx="2">
                  <c:v>80.2</c:v>
                </c:pt>
                <c:pt idx="3">
                  <c:v>80.099999999999994</c:v>
                </c:pt>
              </c:numCache>
            </c:numRef>
          </c:val>
          <c:extLst>
            <c:ext xmlns:c16="http://schemas.microsoft.com/office/drawing/2014/chart" uri="{C3380CC4-5D6E-409C-BE32-E72D297353CC}">
              <c16:uniqueId val="{00000001-92C1-492B-9155-80DE140426AC}"/>
            </c:ext>
          </c:extLst>
        </c:ser>
        <c:dLbls>
          <c:showLegendKey val="0"/>
          <c:showVal val="0"/>
          <c:showCatName val="0"/>
          <c:showSerName val="0"/>
          <c:showPercent val="0"/>
          <c:showBubbleSize val="0"/>
        </c:dLbls>
        <c:gapWidth val="219"/>
        <c:axId val="1"/>
        <c:axId val="2"/>
      </c:barChart>
      <c:catAx>
        <c:axId val="1"/>
        <c:scaling>
          <c:orientation val="maxMin"/>
        </c:scaling>
        <c:delete val="0"/>
        <c:axPos val="l"/>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b"/>
        <c:majorGridlines>
          <c:spPr>
            <a:ln w="9525" cap="flat" cmpd="sng" algn="ctr">
              <a:solidFill>
                <a:srgbClr val="CCD6FF"/>
              </a:solidFill>
              <a:round/>
            </a:ln>
            <a:effectLst/>
          </c:spPr>
        </c:majorGridlines>
        <c:numFmt formatCode="0.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4">
    <c:autoUpdate val="0"/>
  </c:externalData>
  <c:extLst/>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57134004082824"/>
          <c:y val="0.1226984126984127"/>
          <c:w val="0.77601469087197439"/>
          <c:h val="0.43079240220980441"/>
        </c:manualLayout>
      </c:layout>
      <c:barChart>
        <c:barDir val="col"/>
        <c:grouping val="clustered"/>
        <c:varyColors val="0"/>
        <c:ser>
          <c:idx val="0"/>
          <c:order val="0"/>
          <c:tx>
            <c:strRef>
              <c:f>Sheet1!$B$1</c:f>
              <c:strCache>
                <c:ptCount val="1"/>
                <c:pt idx="0">
                  <c:v>一人当たり医療費</c:v>
                </c:pt>
              </c:strCache>
            </c:strRef>
          </c:tx>
          <c:spPr>
            <a:solidFill>
              <a:srgbClr val="5575FF"/>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腎不全</c:v>
                </c:pt>
                <c:pt idx="1">
                  <c:v>糖尿病</c:v>
                </c:pt>
                <c:pt idx="2">
                  <c:v>その他の悪性新生物</c:v>
                </c:pt>
                <c:pt idx="3">
                  <c:v>気管、気管支及び肺の悪性新生物</c:v>
                </c:pt>
                <c:pt idx="4">
                  <c:v>その他の心疾患</c:v>
                </c:pt>
                <c:pt idx="5">
                  <c:v>高血圧症</c:v>
                </c:pt>
                <c:pt idx="6">
                  <c:v>その他の神経系の疾患</c:v>
                </c:pt>
                <c:pt idx="7">
                  <c:v>その他の消化器系の疾患</c:v>
                </c:pt>
                <c:pt idx="8">
                  <c:v>その他の内分泌、栄養及び代謝障害</c:v>
                </c:pt>
                <c:pt idx="9">
                  <c:v>その他の眼及び付属器の疾患</c:v>
                </c:pt>
              </c:strCache>
            </c:strRef>
          </c:cat>
          <c:val>
            <c:numRef>
              <c:f>Sheet1!$B$2:$B$11</c:f>
              <c:numCache>
                <c:formatCode>#,##0_ </c:formatCode>
                <c:ptCount val="10"/>
                <c:pt idx="0">
                  <c:v>36990</c:v>
                </c:pt>
                <c:pt idx="1">
                  <c:v>23990</c:v>
                </c:pt>
                <c:pt idx="2">
                  <c:v>12350</c:v>
                </c:pt>
                <c:pt idx="3">
                  <c:v>10270</c:v>
                </c:pt>
                <c:pt idx="4">
                  <c:v>9340</c:v>
                </c:pt>
                <c:pt idx="5">
                  <c:v>9290</c:v>
                </c:pt>
                <c:pt idx="6">
                  <c:v>7400</c:v>
                </c:pt>
                <c:pt idx="7">
                  <c:v>7280</c:v>
                </c:pt>
                <c:pt idx="8">
                  <c:v>6960</c:v>
                </c:pt>
                <c:pt idx="9">
                  <c:v>6960</c:v>
                </c:pt>
              </c:numCache>
            </c:numRef>
          </c:val>
          <c:extLst>
            <c:ext xmlns:c16="http://schemas.microsoft.com/office/drawing/2014/chart" uri="{C3380CC4-5D6E-409C-BE32-E72D297353CC}">
              <c16:uniqueId val="{00000000-FF99-4A58-B128-36918660B196}"/>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Sheet1!$C$1</c:f>
              <c:strCache>
                <c:ptCount val="1"/>
                <c:pt idx="0">
                  <c:v>標準化比</c:v>
                </c:pt>
              </c:strCache>
            </c:strRef>
          </c:tx>
          <c:spPr>
            <a:ln w="25400" cap="rnd">
              <a:solidFill>
                <a:srgbClr val="CCD6FF"/>
              </a:solidFill>
              <a:round/>
            </a:ln>
            <a:effectLst/>
          </c:spPr>
          <c:marker>
            <c:symbol val="circle"/>
            <c:size val="5"/>
            <c:spPr>
              <a:solidFill>
                <a:srgbClr val="CCD6FF"/>
              </a:solidFill>
              <a:ln w="9525">
                <a:solidFill>
                  <a:srgbClr val="CCD6FF"/>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腎不全</c:v>
                </c:pt>
                <c:pt idx="1">
                  <c:v>糖尿病</c:v>
                </c:pt>
                <c:pt idx="2">
                  <c:v>その他の悪性新生物</c:v>
                </c:pt>
                <c:pt idx="3">
                  <c:v>気管、気管支及び肺の悪性新生物</c:v>
                </c:pt>
                <c:pt idx="4">
                  <c:v>その他の心疾患</c:v>
                </c:pt>
                <c:pt idx="5">
                  <c:v>高血圧症</c:v>
                </c:pt>
                <c:pt idx="6">
                  <c:v>その他の神経系の疾患</c:v>
                </c:pt>
                <c:pt idx="7">
                  <c:v>その他の消化器系の疾患</c:v>
                </c:pt>
                <c:pt idx="8">
                  <c:v>その他の内分泌、栄養及び代謝障害</c:v>
                </c:pt>
                <c:pt idx="9">
                  <c:v>その他の眼及び付属器の疾患</c:v>
                </c:pt>
              </c:strCache>
            </c:strRef>
          </c:cat>
          <c:val>
            <c:numRef>
              <c:f>Sheet1!$C$2:$C$11</c:f>
              <c:numCache>
                <c:formatCode>0.0_ </c:formatCode>
                <c:ptCount val="10"/>
                <c:pt idx="0">
                  <c:v>155.53238099999999</c:v>
                </c:pt>
                <c:pt idx="1">
                  <c:v>107.82532199999999</c:v>
                </c:pt>
                <c:pt idx="2">
                  <c:v>77.404055999999997</c:v>
                </c:pt>
                <c:pt idx="3">
                  <c:v>146.29539300000002</c:v>
                </c:pt>
                <c:pt idx="4">
                  <c:v>90.439435000000003</c:v>
                </c:pt>
                <c:pt idx="5">
                  <c:v>86.452603999999994</c:v>
                </c:pt>
                <c:pt idx="6">
                  <c:v>117.212304</c:v>
                </c:pt>
                <c:pt idx="7">
                  <c:v>88.790298000000007</c:v>
                </c:pt>
                <c:pt idx="8">
                  <c:v>251.984363</c:v>
                </c:pt>
                <c:pt idx="9">
                  <c:v>102.42816699999999</c:v>
                </c:pt>
              </c:numCache>
            </c:numRef>
          </c:val>
          <c:smooth val="0"/>
          <c:extLst>
            <c:ext xmlns:c16="http://schemas.microsoft.com/office/drawing/2014/chart" uri="{C3380CC4-5D6E-409C-BE32-E72D297353CC}">
              <c16:uniqueId val="{00000001-FF99-4A58-B128-36918660B196}"/>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一人当たり医療費（円）</a:t>
                </a:r>
              </a:p>
            </c:rich>
          </c:tx>
          <c:layout>
            <c:manualLayout>
              <c:xMode val="edge"/>
              <c:yMode val="edge"/>
              <c:x val="1.2828736369467608E-2"/>
              <c:y val="0.19050434975869951"/>
            </c:manualLayout>
          </c:layout>
          <c:overlay val="0"/>
          <c:spPr>
            <a:noFill/>
            <a:ln>
              <a:noFill/>
            </a:ln>
            <a:effectLst/>
          </c:spPr>
        </c:title>
        <c:numFmt formatCode="#,##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layout>
            <c:manualLayout>
              <c:xMode val="edge"/>
              <c:yMode val="edge"/>
              <c:x val="0.95819818545773505"/>
              <c:y val="0.32171267780035562"/>
            </c:manualLayout>
          </c:layout>
          <c:overlay val="0"/>
          <c:spPr>
            <a:noFill/>
            <a:ln>
              <a:noFill/>
            </a:ln>
            <a:effectLst/>
          </c:spPr>
        </c:title>
        <c:numFmt formatCode="0_ " sourceLinked="0"/>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57134004082824"/>
          <c:y val="0.1226984126984127"/>
          <c:w val="0.77601469087197439"/>
          <c:h val="0.42827025654051298"/>
        </c:manualLayout>
      </c:layout>
      <c:barChart>
        <c:barDir val="col"/>
        <c:grouping val="clustered"/>
        <c:varyColors val="0"/>
        <c:ser>
          <c:idx val="0"/>
          <c:order val="0"/>
          <c:tx>
            <c:strRef>
              <c:f>Sheet1!$B$1</c:f>
              <c:strCache>
                <c:ptCount val="1"/>
                <c:pt idx="0">
                  <c:v>一人当たり医療費</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糖尿病</c:v>
                </c:pt>
                <c:pt idx="1">
                  <c:v>腎不全</c:v>
                </c:pt>
                <c:pt idx="2">
                  <c:v>高血圧症</c:v>
                </c:pt>
                <c:pt idx="3">
                  <c:v>その他の悪性新生物</c:v>
                </c:pt>
                <c:pt idx="4">
                  <c:v>その他の消化器系の疾患</c:v>
                </c:pt>
                <c:pt idx="5">
                  <c:v>その他の眼及び付属器の疾患</c:v>
                </c:pt>
                <c:pt idx="6">
                  <c:v>炎症性多発性関節障害</c:v>
                </c:pt>
                <c:pt idx="7">
                  <c:v>脂質異常症</c:v>
                </c:pt>
                <c:pt idx="8">
                  <c:v>乳房の悪性新生物</c:v>
                </c:pt>
                <c:pt idx="9">
                  <c:v>その他の心疾患</c:v>
                </c:pt>
              </c:strCache>
            </c:strRef>
          </c:cat>
          <c:val>
            <c:numRef>
              <c:f>Sheet1!$B$2:$B$11</c:f>
              <c:numCache>
                <c:formatCode>#,##0_ </c:formatCode>
                <c:ptCount val="10"/>
                <c:pt idx="0">
                  <c:v>19140</c:v>
                </c:pt>
                <c:pt idx="1">
                  <c:v>15340</c:v>
                </c:pt>
                <c:pt idx="2">
                  <c:v>9500</c:v>
                </c:pt>
                <c:pt idx="3">
                  <c:v>8700</c:v>
                </c:pt>
                <c:pt idx="4">
                  <c:v>7960</c:v>
                </c:pt>
                <c:pt idx="5">
                  <c:v>7750</c:v>
                </c:pt>
                <c:pt idx="6">
                  <c:v>7440</c:v>
                </c:pt>
                <c:pt idx="7">
                  <c:v>6980</c:v>
                </c:pt>
                <c:pt idx="8">
                  <c:v>6760</c:v>
                </c:pt>
                <c:pt idx="9">
                  <c:v>5630</c:v>
                </c:pt>
              </c:numCache>
            </c:numRef>
          </c:val>
          <c:extLst>
            <c:ext xmlns:c16="http://schemas.microsoft.com/office/drawing/2014/chart" uri="{C3380CC4-5D6E-409C-BE32-E72D297353CC}">
              <c16:uniqueId val="{00000000-7E78-4530-95EA-ED07B94815AD}"/>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Sheet1!$C$1</c:f>
              <c:strCache>
                <c:ptCount val="1"/>
                <c:pt idx="0">
                  <c:v>標準化比</c:v>
                </c:pt>
              </c:strCache>
            </c:strRef>
          </c:tx>
          <c:spPr>
            <a:ln w="25400" cap="rnd">
              <a:solidFill>
                <a:srgbClr val="FFAA99"/>
              </a:solidFill>
              <a:round/>
            </a:ln>
            <a:effectLst/>
          </c:spPr>
          <c:marker>
            <c:symbol val="circle"/>
            <c:size val="5"/>
            <c:spPr>
              <a:solidFill>
                <a:srgbClr val="FFAA99"/>
              </a:solidFill>
              <a:ln w="9525">
                <a:solidFill>
                  <a:srgbClr val="FFAA99"/>
                </a:solidFill>
              </a:ln>
              <a:effectLst/>
            </c:spPr>
          </c:marker>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糖尿病</c:v>
                </c:pt>
                <c:pt idx="1">
                  <c:v>腎不全</c:v>
                </c:pt>
                <c:pt idx="2">
                  <c:v>高血圧症</c:v>
                </c:pt>
                <c:pt idx="3">
                  <c:v>その他の悪性新生物</c:v>
                </c:pt>
                <c:pt idx="4">
                  <c:v>その他の消化器系の疾患</c:v>
                </c:pt>
                <c:pt idx="5">
                  <c:v>その他の眼及び付属器の疾患</c:v>
                </c:pt>
                <c:pt idx="6">
                  <c:v>炎症性多発性関節障害</c:v>
                </c:pt>
                <c:pt idx="7">
                  <c:v>脂質異常症</c:v>
                </c:pt>
                <c:pt idx="8">
                  <c:v>乳房の悪性新生物</c:v>
                </c:pt>
                <c:pt idx="9">
                  <c:v>その他の心疾患</c:v>
                </c:pt>
              </c:strCache>
            </c:strRef>
          </c:cat>
          <c:val>
            <c:numRef>
              <c:f>Sheet1!$C$2:$C$11</c:f>
              <c:numCache>
                <c:formatCode>0.0_ </c:formatCode>
                <c:ptCount val="10"/>
                <c:pt idx="0">
                  <c:v>132.13614199999998</c:v>
                </c:pt>
                <c:pt idx="1">
                  <c:v>150.78542399999998</c:v>
                </c:pt>
                <c:pt idx="2">
                  <c:v>95.386966999999999</c:v>
                </c:pt>
                <c:pt idx="3">
                  <c:v>101.335472</c:v>
                </c:pt>
                <c:pt idx="4">
                  <c:v>113.04274100000001</c:v>
                </c:pt>
                <c:pt idx="5">
                  <c:v>86.637310999999997</c:v>
                </c:pt>
                <c:pt idx="6">
                  <c:v>105.259229</c:v>
                </c:pt>
                <c:pt idx="7">
                  <c:v>78.889551999999995</c:v>
                </c:pt>
                <c:pt idx="8">
                  <c:v>81.174849000000009</c:v>
                </c:pt>
                <c:pt idx="9">
                  <c:v>91.127345000000005</c:v>
                </c:pt>
              </c:numCache>
            </c:numRef>
          </c:val>
          <c:smooth val="0"/>
          <c:extLst>
            <c:ext xmlns:c16="http://schemas.microsoft.com/office/drawing/2014/chart" uri="{C3380CC4-5D6E-409C-BE32-E72D297353CC}">
              <c16:uniqueId val="{00000001-7E78-4530-95EA-ED07B94815AD}"/>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一人当たり医療費（円）</a:t>
                </a:r>
              </a:p>
            </c:rich>
          </c:tx>
          <c:layout>
            <c:manualLayout>
              <c:xMode val="edge"/>
              <c:yMode val="edge"/>
              <c:x val="1.2828736369467608E-2"/>
              <c:y val="0.19050434975869951"/>
            </c:manualLayout>
          </c:layout>
          <c:overlay val="0"/>
          <c:spPr>
            <a:noFill/>
            <a:ln>
              <a:noFill/>
            </a:ln>
            <a:effectLst/>
          </c:spPr>
        </c:title>
        <c:numFmt formatCode="#,##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標準化比</a:t>
                </a:r>
              </a:p>
            </c:rich>
          </c:tx>
          <c:layout>
            <c:manualLayout>
              <c:xMode val="edge"/>
              <c:yMode val="edge"/>
              <c:x val="0.95839061650327706"/>
              <c:y val="0.34439412941325881"/>
            </c:manualLayout>
          </c:layout>
          <c:overlay val="0"/>
          <c:spPr>
            <a:noFill/>
            <a:ln>
              <a:noFill/>
            </a:ln>
            <a:effectLst/>
          </c:spPr>
        </c:title>
        <c:numFmt formatCode="0_ " sourceLinked="0"/>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r>
              <a:rPr lang="ja-JP" altLang="en-US" sz="800" b="0" i="0" u="none" strike="noStrike" kern="1200" spc="0" baseline="0">
                <a:solidFill>
                  <a:srgbClr val="000540"/>
                </a:solidFill>
                <a:latin typeface="BIZ UDPゴシック"/>
                <a:ea typeface="BIZ UDPゴシック"/>
                <a:cs typeface="+mn-cs"/>
              </a:rPr>
              <a:t>重篤な疾患</a:t>
            </a:r>
            <a:endParaRPr lang="en-US" altLang="ja-JP" sz="800" b="0" i="0" u="none" strike="noStrike" kern="1200" spc="0" baseline="0">
              <a:solidFill>
                <a:srgbClr val="000540"/>
              </a:solidFill>
              <a:latin typeface="BIZ UDPゴシック"/>
              <a:ea typeface="BIZ UDPゴシック"/>
              <a:cs typeface="+mn-cs"/>
            </a:endParaRPr>
          </a:p>
        </c:rich>
      </c:tx>
      <c:layout>
        <c:manualLayout>
          <c:xMode val="edge"/>
          <c:yMode val="edge"/>
          <c:x val="2.0637039995138426E-2"/>
          <c:y val="4.8192865924102914E-2"/>
        </c:manualLayout>
      </c:layout>
      <c:overlay val="1"/>
      <c:spPr>
        <a:solidFill>
          <a:srgbClr val="CCD6FF"/>
        </a:solidFill>
        <a:ln>
          <a:noFill/>
        </a:ln>
        <a:effectLst/>
      </c:spPr>
    </c:title>
    <c:autoTitleDeleted val="0"/>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虚血性心疾患</c:v>
                </c:pt>
                <c:pt idx="1">
                  <c:v>脳血管疾患</c:v>
                </c:pt>
                <c:pt idx="2">
                  <c:v>慢性腎臓病（透析あり）</c:v>
                </c:pt>
              </c:strCache>
            </c:strRef>
          </c:cat>
          <c:val>
            <c:numRef>
              <c:f>Sheet1!$B$2:$B$4</c:f>
              <c:numCache>
                <c:formatCode>0.00_ </c:formatCode>
                <c:ptCount val="3"/>
                <c:pt idx="0">
                  <c:v>0.93225508999999995</c:v>
                </c:pt>
                <c:pt idx="1">
                  <c:v>0.83469939999999998</c:v>
                </c:pt>
                <c:pt idx="2">
                  <c:v>1.4059150499999999</c:v>
                </c:pt>
              </c:numCache>
            </c:numRef>
          </c:val>
          <c:extLst>
            <c:ext xmlns:c16="http://schemas.microsoft.com/office/drawing/2014/chart" uri="{C3380CC4-5D6E-409C-BE32-E72D297353CC}">
              <c16:uniqueId val="{00000000-B328-47AB-9E7C-8FD62F97FCF8}"/>
            </c:ext>
          </c:extLst>
        </c:ser>
        <c:dLbls>
          <c:showLegendKey val="0"/>
          <c:showVal val="0"/>
          <c:showCatName val="0"/>
          <c:showSerName val="0"/>
          <c:showPercent val="0"/>
          <c:showBubbleSize val="0"/>
        </c:dLbls>
        <c:gapWidth val="100"/>
        <c:axId val="1"/>
        <c:axId val="2"/>
      </c:barChart>
      <c:catAx>
        <c:axId val="1"/>
        <c:scaling>
          <c:orientation val="minMax"/>
        </c:scaling>
        <c:delete val="0"/>
        <c:axPos val="b"/>
        <c:numFmt formatCode="General" sourceLinked="1"/>
        <c:majorTickMark val="none"/>
        <c:minorTickMark val="none"/>
        <c:tickLblPos val="low"/>
        <c:spPr>
          <a:noFill/>
          <a:ln w="9525" cap="flat" cmpd="sng" algn="ctr">
            <a:solidFill>
              <a:srgbClr val="CCD6FF"/>
            </a:solidFill>
            <a:round/>
          </a:ln>
          <a:effectLst/>
        </c:spPr>
        <c:txPr>
          <a:bodyPr rot="-900000" spcFirstLastPara="1" vertOverflow="ellipsis" horzOverflow="overflow" wrap="square" anchor="ctr" anchorCtr="1"/>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crossAx val="2"/>
        <c:crossesAt val="1"/>
        <c:auto val="1"/>
        <c:lblAlgn val="ctr"/>
        <c:lblOffset val="100"/>
        <c:noMultiLvlLbl val="0"/>
      </c:catAx>
      <c:valAx>
        <c:axId val="2"/>
        <c:scaling>
          <c:orientation val="minMax"/>
          <c:max val="1.5"/>
          <c:min val="0.5"/>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受診率の比（対国）</a:t>
                </a:r>
              </a:p>
            </c:rich>
          </c:tx>
          <c:overlay val="0"/>
          <c:spPr>
            <a:noFill/>
            <a:ln>
              <a:noFill/>
            </a:ln>
            <a:effectLst/>
          </c:spPr>
        </c:title>
        <c:numFmt formatCode="0.00_ " sourceLinked="1"/>
        <c:majorTickMark val="none"/>
        <c:minorTickMark val="none"/>
        <c:tickLblPos val="low"/>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r>
              <a:rPr lang="ja-JP" altLang="en-US" sz="800" b="0" i="0" u="none" strike="noStrike" kern="1200" spc="0" baseline="0">
                <a:solidFill>
                  <a:srgbClr val="000540"/>
                </a:solidFill>
                <a:latin typeface="BIZ UDPゴシック"/>
                <a:ea typeface="BIZ UDPゴシック"/>
                <a:cs typeface="+mn-cs"/>
              </a:rPr>
              <a:t>基礎疾患</a:t>
            </a:r>
            <a:endParaRPr lang="en-US" altLang="ja-JP" sz="800" b="0" i="0" u="none" strike="noStrike" kern="1200" spc="0" baseline="0">
              <a:solidFill>
                <a:srgbClr val="000540"/>
              </a:solidFill>
              <a:latin typeface="BIZ UDPゴシック"/>
              <a:ea typeface="BIZ UDPゴシック"/>
              <a:cs typeface="+mn-cs"/>
            </a:endParaRPr>
          </a:p>
        </c:rich>
      </c:tx>
      <c:layout>
        <c:manualLayout>
          <c:xMode val="edge"/>
          <c:yMode val="edge"/>
          <c:x val="1.8970561425136082E-3"/>
          <c:y val="4.8192865924102914E-2"/>
        </c:manualLayout>
      </c:layout>
      <c:overlay val="1"/>
      <c:spPr>
        <a:solidFill>
          <a:srgbClr val="CCD6FF"/>
        </a:solidFill>
        <a:ln>
          <a:noFill/>
        </a:ln>
        <a:effectLst/>
      </c:spPr>
    </c:title>
    <c:autoTitleDeleted val="0"/>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糖尿病</c:v>
                </c:pt>
                <c:pt idx="1">
                  <c:v>高血圧症</c:v>
                </c:pt>
                <c:pt idx="2">
                  <c:v>脂質異常症</c:v>
                </c:pt>
                <c:pt idx="3">
                  <c:v>慢性腎臓病（透析なし）</c:v>
                </c:pt>
              </c:strCache>
            </c:strRef>
          </c:cat>
          <c:val>
            <c:numRef>
              <c:f>Sheet1!$B$2:$B$5</c:f>
              <c:numCache>
                <c:formatCode>0.00_ </c:formatCode>
                <c:ptCount val="4"/>
                <c:pt idx="0">
                  <c:v>1.0790919800000001</c:v>
                </c:pt>
                <c:pt idx="1">
                  <c:v>0.82976084000000006</c:v>
                </c:pt>
                <c:pt idx="2">
                  <c:v>0.71425583999999998</c:v>
                </c:pt>
                <c:pt idx="3">
                  <c:v>1.1139176799999999</c:v>
                </c:pt>
              </c:numCache>
            </c:numRef>
          </c:val>
          <c:extLst>
            <c:ext xmlns:c16="http://schemas.microsoft.com/office/drawing/2014/chart" uri="{C3380CC4-5D6E-409C-BE32-E72D297353CC}">
              <c16:uniqueId val="{00000000-0879-4557-B474-35E304E3C46B}"/>
            </c:ext>
          </c:extLst>
        </c:ser>
        <c:dLbls>
          <c:showLegendKey val="0"/>
          <c:showVal val="0"/>
          <c:showCatName val="0"/>
          <c:showSerName val="0"/>
          <c:showPercent val="0"/>
          <c:showBubbleSize val="0"/>
        </c:dLbls>
        <c:gapWidth val="100"/>
        <c:axId val="1"/>
        <c:axId val="2"/>
      </c:barChart>
      <c:catAx>
        <c:axId val="1"/>
        <c:scaling>
          <c:orientation val="minMax"/>
        </c:scaling>
        <c:delete val="0"/>
        <c:axPos val="b"/>
        <c:numFmt formatCode="General" sourceLinked="1"/>
        <c:majorTickMark val="none"/>
        <c:minorTickMark val="none"/>
        <c:tickLblPos val="low"/>
        <c:spPr>
          <a:noFill/>
          <a:ln w="9525" cap="flat" cmpd="sng" algn="ctr">
            <a:solidFill>
              <a:srgbClr val="CCD6FF"/>
            </a:solidFill>
            <a:round/>
          </a:ln>
          <a:effectLst/>
        </c:spPr>
        <c:txPr>
          <a:bodyPr rot="-900000" spcFirstLastPara="1" vertOverflow="ellipsis" horzOverflow="overflow" wrap="square" anchor="ctr" anchorCtr="1"/>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crossAx val="2"/>
        <c:crossesAt val="1"/>
        <c:auto val="1"/>
        <c:lblAlgn val="ctr"/>
        <c:lblOffset val="100"/>
        <c:noMultiLvlLbl val="0"/>
      </c:catAx>
      <c:valAx>
        <c:axId val="2"/>
        <c:scaling>
          <c:orientation val="minMax"/>
          <c:max val="1.5"/>
          <c:min val="0.5"/>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受診率の比（対国）</a:t>
                </a:r>
              </a:p>
            </c:rich>
          </c:tx>
          <c:overlay val="0"/>
          <c:spPr>
            <a:noFill/>
            <a:ln>
              <a:noFill/>
            </a:ln>
            <a:effectLst/>
          </c:spPr>
        </c:title>
        <c:numFmt formatCode="0.00_ " sourceLinked="1"/>
        <c:majorTickMark val="none"/>
        <c:minorTickMark val="none"/>
        <c:tickLblPos val="low"/>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r>
              <a:rPr lang="ja-JP" altLang="en-US" sz="800" b="0" i="0" u="none" strike="noStrike" kern="1200" spc="0" baseline="0">
                <a:solidFill>
                  <a:srgbClr val="000540"/>
                </a:solidFill>
                <a:latin typeface="BIZ UDPゴシック"/>
                <a:ea typeface="BIZ UDPゴシック"/>
                <a:cs typeface="+mn-cs"/>
              </a:rPr>
              <a:t>男性</a:t>
            </a:r>
            <a:endParaRPr lang="en-US" altLang="ja-JP" sz="800" b="0" i="0" u="none" strike="noStrike" kern="1200" spc="0" baseline="0">
              <a:solidFill>
                <a:srgbClr val="000540"/>
              </a:solidFill>
              <a:latin typeface="BIZ UDPゴシック"/>
              <a:ea typeface="BIZ UDPゴシック"/>
              <a:cs typeface="+mn-cs"/>
            </a:endParaRPr>
          </a:p>
        </c:rich>
      </c:tx>
      <c:layout>
        <c:manualLayout>
          <c:xMode val="edge"/>
          <c:yMode val="edge"/>
          <c:x val="2.0637039995138426E-2"/>
          <c:y val="4.8192865924102914E-2"/>
        </c:manualLayout>
      </c:layout>
      <c:overlay val="1"/>
      <c:spPr>
        <a:solidFill>
          <a:srgbClr val="CCD6FF"/>
        </a:solidFill>
        <a:ln>
          <a:noFill/>
        </a:ln>
        <a:effectLst/>
      </c:spPr>
    </c:title>
    <c:autoTitleDeleted val="0"/>
    <c:plotArea>
      <c:layout/>
      <c:barChart>
        <c:barDir val="col"/>
        <c:grouping val="clustered"/>
        <c:varyColors val="0"/>
        <c:ser>
          <c:idx val="0"/>
          <c:order val="0"/>
          <c:tx>
            <c:strRef>
              <c:f>Sheet1!$B$1</c:f>
              <c:strCache>
                <c:ptCount val="1"/>
                <c:pt idx="0">
                  <c:v>八街市</c:v>
                </c:pt>
              </c:strCache>
            </c:strRef>
          </c:tx>
          <c:spPr>
            <a:solidFill>
              <a:srgbClr val="5575FF"/>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骨折</c:v>
                </c:pt>
                <c:pt idx="1">
                  <c:v>骨粗しょう症</c:v>
                </c:pt>
              </c:strCache>
            </c:strRef>
          </c:cat>
          <c:val>
            <c:numRef>
              <c:f>Sheet1!$B$2:$B$3</c:f>
              <c:numCache>
                <c:formatCode>0.00_ </c:formatCode>
                <c:ptCount val="2"/>
                <c:pt idx="0">
                  <c:v>0.97659987999999998</c:v>
                </c:pt>
                <c:pt idx="1">
                  <c:v>0.70760497</c:v>
                </c:pt>
              </c:numCache>
            </c:numRef>
          </c:val>
          <c:extLst>
            <c:ext xmlns:c16="http://schemas.microsoft.com/office/drawing/2014/chart" uri="{C3380CC4-5D6E-409C-BE32-E72D297353CC}">
              <c16:uniqueId val="{00000000-1D4D-4F2D-B83A-B9800BBBE3BF}"/>
            </c:ext>
          </c:extLst>
        </c:ser>
        <c:dLbls>
          <c:showLegendKey val="0"/>
          <c:showVal val="0"/>
          <c:showCatName val="0"/>
          <c:showSerName val="0"/>
          <c:showPercent val="0"/>
          <c:showBubbleSize val="0"/>
        </c:dLbls>
        <c:gapWidth val="100"/>
        <c:axId val="1"/>
        <c:axId val="2"/>
      </c:barChart>
      <c:catAx>
        <c:axId val="1"/>
        <c:scaling>
          <c:orientation val="minMax"/>
        </c:scaling>
        <c:delete val="0"/>
        <c:axPos val="b"/>
        <c:numFmt formatCode="General" sourceLinked="1"/>
        <c:majorTickMark val="none"/>
        <c:minorTickMark val="none"/>
        <c:tickLblPos val="low"/>
        <c:spPr>
          <a:noFill/>
          <a:ln w="9525" cap="flat" cmpd="sng" algn="ctr">
            <a:solidFill>
              <a:srgbClr val="CCD6FF"/>
            </a:solidFill>
            <a:round/>
          </a:ln>
          <a:effectLst/>
        </c:spPr>
        <c:txPr>
          <a:bodyPr rot="-900000" spcFirstLastPara="1" vertOverflow="ellipsis" horzOverflow="overflow" wrap="square" anchor="ctr" anchorCtr="1"/>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crossAx val="2"/>
        <c:crossesAt val="1"/>
        <c:auto val="1"/>
        <c:lblAlgn val="ctr"/>
        <c:lblOffset val="100"/>
        <c:noMultiLvlLbl val="0"/>
      </c:catAx>
      <c:valAx>
        <c:axId val="2"/>
        <c:scaling>
          <c:orientation val="minMax"/>
          <c:max val="1.5"/>
          <c:min val="0.5"/>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受診率の比（対国）</a:t>
                </a:r>
              </a:p>
            </c:rich>
          </c:tx>
          <c:overlay val="0"/>
          <c:spPr>
            <a:noFill/>
            <a:ln>
              <a:noFill/>
            </a:ln>
            <a:effectLst/>
          </c:spPr>
        </c:title>
        <c:numFmt formatCode="0.00_ " sourceLinked="1"/>
        <c:majorTickMark val="none"/>
        <c:minorTickMark val="none"/>
        <c:tickLblPos val="low"/>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r>
              <a:rPr lang="ja-JP" altLang="en-US" sz="800" b="0" i="0" u="none" strike="noStrike" kern="1200" spc="0" baseline="0">
                <a:solidFill>
                  <a:srgbClr val="000540"/>
                </a:solidFill>
                <a:latin typeface="BIZ UDPゴシック"/>
                <a:ea typeface="BIZ UDPゴシック"/>
                <a:cs typeface="+mn-cs"/>
              </a:rPr>
              <a:t>女性</a:t>
            </a:r>
            <a:endParaRPr lang="en-US" altLang="ja-JP" sz="800" b="0" i="0" u="none" strike="noStrike" kern="1200" spc="0" baseline="0">
              <a:solidFill>
                <a:srgbClr val="000540"/>
              </a:solidFill>
              <a:latin typeface="BIZ UDPゴシック"/>
              <a:ea typeface="BIZ UDPゴシック"/>
              <a:cs typeface="+mn-cs"/>
            </a:endParaRPr>
          </a:p>
        </c:rich>
      </c:tx>
      <c:layout>
        <c:manualLayout>
          <c:xMode val="edge"/>
          <c:yMode val="edge"/>
          <c:x val="2.0637039995138426E-2"/>
          <c:y val="4.8192865924102914E-2"/>
        </c:manualLayout>
      </c:layout>
      <c:overlay val="1"/>
      <c:spPr>
        <a:solidFill>
          <a:srgbClr val="FFE1DB"/>
        </a:solidFill>
        <a:ln>
          <a:noFill/>
        </a:ln>
        <a:effectLst/>
      </c:spPr>
    </c:title>
    <c:autoTitleDeleted val="0"/>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骨折</c:v>
                </c:pt>
                <c:pt idx="1">
                  <c:v>骨粗しょう症</c:v>
                </c:pt>
              </c:strCache>
            </c:strRef>
          </c:cat>
          <c:val>
            <c:numRef>
              <c:f>Sheet1!$B$2:$B$3</c:f>
              <c:numCache>
                <c:formatCode>0.00_ </c:formatCode>
                <c:ptCount val="2"/>
                <c:pt idx="0">
                  <c:v>1.12654718</c:v>
                </c:pt>
                <c:pt idx="1">
                  <c:v>0.68829114000000002</c:v>
                </c:pt>
              </c:numCache>
            </c:numRef>
          </c:val>
          <c:extLst>
            <c:ext xmlns:c16="http://schemas.microsoft.com/office/drawing/2014/chart" uri="{C3380CC4-5D6E-409C-BE32-E72D297353CC}">
              <c16:uniqueId val="{00000000-5B1C-4E8D-B373-BA7192B9CB51}"/>
            </c:ext>
          </c:extLst>
        </c:ser>
        <c:dLbls>
          <c:showLegendKey val="0"/>
          <c:showVal val="0"/>
          <c:showCatName val="0"/>
          <c:showSerName val="0"/>
          <c:showPercent val="0"/>
          <c:showBubbleSize val="0"/>
        </c:dLbls>
        <c:gapWidth val="100"/>
        <c:axId val="1"/>
        <c:axId val="2"/>
      </c:barChart>
      <c:catAx>
        <c:axId val="1"/>
        <c:scaling>
          <c:orientation val="minMax"/>
        </c:scaling>
        <c:delete val="0"/>
        <c:axPos val="b"/>
        <c:numFmt formatCode="General" sourceLinked="1"/>
        <c:majorTickMark val="none"/>
        <c:minorTickMark val="none"/>
        <c:tickLblPos val="low"/>
        <c:spPr>
          <a:noFill/>
          <a:ln w="9525" cap="flat" cmpd="sng" algn="ctr">
            <a:solidFill>
              <a:srgbClr val="CCD6FF"/>
            </a:solidFill>
            <a:round/>
          </a:ln>
          <a:effectLst/>
        </c:spPr>
        <c:txPr>
          <a:bodyPr rot="-900000" spcFirstLastPara="1" vertOverflow="ellipsis" horzOverflow="overflow" wrap="square" anchor="ctr" anchorCtr="1"/>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crossAx val="2"/>
        <c:crossesAt val="1"/>
        <c:auto val="1"/>
        <c:lblAlgn val="ctr"/>
        <c:lblOffset val="100"/>
        <c:noMultiLvlLbl val="0"/>
      </c:catAx>
      <c:valAx>
        <c:axId val="2"/>
        <c:scaling>
          <c:orientation val="minMax"/>
          <c:max val="1.5"/>
          <c:min val="0.5"/>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受診率の比（対国）</a:t>
                </a:r>
              </a:p>
            </c:rich>
          </c:tx>
          <c:overlay val="0"/>
          <c:spPr>
            <a:noFill/>
            <a:ln>
              <a:noFill/>
            </a:ln>
            <a:effectLst/>
          </c:spPr>
        </c:title>
        <c:numFmt formatCode="0.00_ " sourceLinked="1"/>
        <c:majorTickMark val="none"/>
        <c:minorTickMark val="none"/>
        <c:tickLblPos val="low"/>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871051085852172"/>
          <c:w val="0.7752161708953047"/>
          <c:h val="0.71208645542291082"/>
        </c:manualLayout>
      </c:layout>
      <c:barChart>
        <c:barDir val="col"/>
        <c:grouping val="clustered"/>
        <c:varyColors val="0"/>
        <c:ser>
          <c:idx val="0"/>
          <c:order val="0"/>
          <c:tx>
            <c:strRef>
              <c:f>Sheet1!$A$2</c:f>
              <c:strCache>
                <c:ptCount val="1"/>
                <c:pt idx="0">
                  <c:v>対象者数</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13547</c:v>
                </c:pt>
                <c:pt idx="1">
                  <c:v>13421</c:v>
                </c:pt>
                <c:pt idx="2">
                  <c:v>13185</c:v>
                </c:pt>
                <c:pt idx="3">
                  <c:v>12442</c:v>
                </c:pt>
              </c:numCache>
            </c:numRef>
          </c:val>
          <c:extLst>
            <c:ext xmlns:c16="http://schemas.microsoft.com/office/drawing/2014/chart" uri="{C3380CC4-5D6E-409C-BE32-E72D297353CC}">
              <c16:uniqueId val="{00000000-A9A8-4D6C-9BDF-9A37E076028B}"/>
            </c:ext>
          </c:extLst>
        </c:ser>
        <c:ser>
          <c:idx val="1"/>
          <c:order val="1"/>
          <c:tx>
            <c:strRef>
              <c:f>Sheet1!$A$3</c:f>
              <c:strCache>
                <c:ptCount val="1"/>
                <c:pt idx="0">
                  <c:v>受診者数</c:v>
                </c:pt>
              </c:strCache>
            </c:strRef>
          </c:tx>
          <c:spPr>
            <a:solidFill>
              <a:srgbClr val="CCD6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4899</c:v>
                </c:pt>
                <c:pt idx="1">
                  <c:v>2624</c:v>
                </c:pt>
                <c:pt idx="2">
                  <c:v>3789</c:v>
                </c:pt>
                <c:pt idx="3">
                  <c:v>3599</c:v>
                </c:pt>
              </c:numCache>
            </c:numRef>
          </c:val>
          <c:extLst>
            <c:ext xmlns:c16="http://schemas.microsoft.com/office/drawing/2014/chart" uri="{C3380CC4-5D6E-409C-BE32-E72D297353CC}">
              <c16:uniqueId val="{00000001-A9A8-4D6C-9BDF-9A37E076028B}"/>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八街市_目標値</c:v>
                </c:pt>
              </c:strCache>
            </c:strRef>
          </c:tx>
          <c:spPr>
            <a:ln w="25400" cap="rnd">
              <a:solidFill>
                <a:srgbClr val="FFE1DB"/>
              </a:solidFill>
              <a:round/>
            </a:ln>
            <a:effectLst/>
          </c:spPr>
          <c:marker>
            <c:symbol val="circle"/>
            <c:size val="5"/>
            <c:spPr>
              <a:solidFill>
                <a:srgbClr val="FFE1DB"/>
              </a:solidFill>
              <a:ln w="9525">
                <a:solidFill>
                  <a:srgbClr val="FFE1DB"/>
                </a:solidFill>
              </a:ln>
              <a:effectLst/>
            </c:spPr>
          </c:marker>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0.6</c:v>
                </c:pt>
                <c:pt idx="1">
                  <c:v>0.6</c:v>
                </c:pt>
                <c:pt idx="2">
                  <c:v>0.4</c:v>
                </c:pt>
                <c:pt idx="3">
                  <c:v>0.4</c:v>
                </c:pt>
              </c:numCache>
            </c:numRef>
          </c:val>
          <c:smooth val="0"/>
          <c:extLst>
            <c:ext xmlns:c16="http://schemas.microsoft.com/office/drawing/2014/chart" uri="{C3380CC4-5D6E-409C-BE32-E72D297353CC}">
              <c16:uniqueId val="{00000002-A9A8-4D6C-9BDF-9A37E076028B}"/>
            </c:ext>
          </c:extLst>
        </c:ser>
        <c:ser>
          <c:idx val="3"/>
          <c:order val="3"/>
          <c:tx>
            <c:strRef>
              <c:f>Sheet1!$A$5</c:f>
              <c:strCache>
                <c:ptCount val="1"/>
                <c:pt idx="0">
                  <c:v>八街市_実績値</c:v>
                </c:pt>
              </c:strCache>
            </c:strRef>
          </c:tx>
          <c:spPr>
            <a:ln w="25400" cap="rnd">
              <a:solidFill>
                <a:srgbClr val="FF7463"/>
              </a:solidFill>
              <a:prstDash val="solid"/>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0.36199999999999999</c:v>
                </c:pt>
                <c:pt idx="1">
                  <c:v>0.19600000000000001</c:v>
                </c:pt>
                <c:pt idx="2">
                  <c:v>0.28699999999999998</c:v>
                </c:pt>
                <c:pt idx="3">
                  <c:v>0.28926217649895508</c:v>
                </c:pt>
              </c:numCache>
            </c:numRef>
          </c:val>
          <c:smooth val="0"/>
          <c:extLst>
            <c:ext xmlns:c16="http://schemas.microsoft.com/office/drawing/2014/chart" uri="{C3380CC4-5D6E-409C-BE32-E72D297353CC}">
              <c16:uniqueId val="{00000003-A9A8-4D6C-9BDF-9A37E076028B}"/>
            </c:ext>
          </c:extLst>
        </c:ser>
        <c:ser>
          <c:idx val="4"/>
          <c:order val="4"/>
          <c:tx>
            <c:strRef>
              <c:f>Sheet1!$A$6</c:f>
              <c:strCache>
                <c:ptCount val="1"/>
                <c:pt idx="0">
                  <c:v>国_受診率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0.38</c:v>
                </c:pt>
                <c:pt idx="1">
                  <c:v>0.33700000000000002</c:v>
                </c:pt>
                <c:pt idx="2">
                  <c:v>0.36399999999999999</c:v>
                </c:pt>
              </c:numCache>
            </c:numRef>
          </c:val>
          <c:smooth val="0"/>
          <c:extLst>
            <c:ext xmlns:c16="http://schemas.microsoft.com/office/drawing/2014/chart" uri="{C3380CC4-5D6E-409C-BE32-E72D297353CC}">
              <c16:uniqueId val="{00000004-A9A8-4D6C-9BDF-9A37E076028B}"/>
            </c:ext>
          </c:extLst>
        </c:ser>
        <c:ser>
          <c:idx val="5"/>
          <c:order val="5"/>
          <c:tx>
            <c:strRef>
              <c:f>Sheet1!$A$7</c:f>
              <c:strCache>
                <c:ptCount val="1"/>
                <c:pt idx="0">
                  <c:v>県_受診率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Sheet1!$B$7:$E$7</c:f>
              <c:numCache>
                <c:formatCode>0.0%</c:formatCode>
                <c:ptCount val="4"/>
                <c:pt idx="0">
                  <c:v>0.40899999999999997</c:v>
                </c:pt>
                <c:pt idx="1">
                  <c:v>0.33</c:v>
                </c:pt>
                <c:pt idx="2">
                  <c:v>0.36599999999999999</c:v>
                </c:pt>
                <c:pt idx="3">
                  <c:v>0.38200000000000001</c:v>
                </c:pt>
              </c:numCache>
            </c:numRef>
          </c:val>
          <c:smooth val="0"/>
          <c:extLst>
            <c:ext xmlns:c16="http://schemas.microsoft.com/office/drawing/2014/chart" uri="{C3380CC4-5D6E-409C-BE32-E72D297353CC}">
              <c16:uniqueId val="{00000005-A9A8-4D6C-9BDF-9A37E076028B}"/>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令和1年度</c:v>
                </c:pt>
              </c:strCache>
            </c:strRef>
          </c:tx>
          <c:spPr>
            <a:solidFill>
              <a:srgbClr val="CCD6FF"/>
            </a:solidFill>
            <a:ln>
              <a:noFill/>
            </a:ln>
            <a:effectLst/>
          </c:spPr>
          <c:invertIfNegative val="0"/>
          <c:cat>
            <c:strRef>
              <c:f>Sheet1!$B$1:$H$1</c:f>
              <c:strCache>
                <c:ptCount val="7"/>
                <c:pt idx="0">
                  <c:v>40-44歳</c:v>
                </c:pt>
                <c:pt idx="1">
                  <c:v>45-49歳</c:v>
                </c:pt>
                <c:pt idx="2">
                  <c:v>50-54歳</c:v>
                </c:pt>
                <c:pt idx="3">
                  <c:v>55-59歳</c:v>
                </c:pt>
                <c:pt idx="4">
                  <c:v>60-64歳</c:v>
                </c:pt>
                <c:pt idx="5">
                  <c:v>65-69歳</c:v>
                </c:pt>
                <c:pt idx="6">
                  <c:v>70-74歳</c:v>
                </c:pt>
              </c:strCache>
            </c:strRef>
          </c:cat>
          <c:val>
            <c:numRef>
              <c:f>Sheet1!$B$2:$H$2</c:f>
              <c:numCache>
                <c:formatCode>0.0%</c:formatCode>
                <c:ptCount val="7"/>
                <c:pt idx="0">
                  <c:v>0.20399999999999999</c:v>
                </c:pt>
                <c:pt idx="1">
                  <c:v>0.222</c:v>
                </c:pt>
                <c:pt idx="2">
                  <c:v>0.21299999999999999</c:v>
                </c:pt>
                <c:pt idx="3">
                  <c:v>0.25900000000000001</c:v>
                </c:pt>
                <c:pt idx="4">
                  <c:v>0.317</c:v>
                </c:pt>
                <c:pt idx="5">
                  <c:v>0.40899999999999997</c:v>
                </c:pt>
                <c:pt idx="6">
                  <c:v>0.40699999999999997</c:v>
                </c:pt>
              </c:numCache>
            </c:numRef>
          </c:val>
          <c:extLst>
            <c:ext xmlns:c16="http://schemas.microsoft.com/office/drawing/2014/chart" uri="{C3380CC4-5D6E-409C-BE32-E72D297353CC}">
              <c16:uniqueId val="{00000000-57AE-4423-9E6F-8A9E6676A2BB}"/>
            </c:ext>
          </c:extLst>
        </c:ser>
        <c:ser>
          <c:idx val="1"/>
          <c:order val="1"/>
          <c:tx>
            <c:strRef>
              <c:f>Sheet1!$A$3</c:f>
              <c:strCache>
                <c:ptCount val="1"/>
                <c:pt idx="0">
                  <c:v>令和2年度</c:v>
                </c:pt>
              </c:strCache>
            </c:strRef>
          </c:tx>
          <c:spPr>
            <a:solidFill>
              <a:srgbClr val="99ACFF"/>
            </a:solidFill>
            <a:ln>
              <a:noFill/>
            </a:ln>
            <a:effectLst/>
          </c:spPr>
          <c:invertIfNegative val="0"/>
          <c:cat>
            <c:strRef>
              <c:f>Sheet1!$B$1:$H$1</c:f>
              <c:strCache>
                <c:ptCount val="7"/>
                <c:pt idx="0">
                  <c:v>40-44歳</c:v>
                </c:pt>
                <c:pt idx="1">
                  <c:v>45-49歳</c:v>
                </c:pt>
                <c:pt idx="2">
                  <c:v>50-54歳</c:v>
                </c:pt>
                <c:pt idx="3">
                  <c:v>55-59歳</c:v>
                </c:pt>
                <c:pt idx="4">
                  <c:v>60-64歳</c:v>
                </c:pt>
                <c:pt idx="5">
                  <c:v>65-69歳</c:v>
                </c:pt>
                <c:pt idx="6">
                  <c:v>70-74歳</c:v>
                </c:pt>
              </c:strCache>
            </c:strRef>
          </c:cat>
          <c:val>
            <c:numRef>
              <c:f>Sheet1!$B$3:$H$3</c:f>
              <c:numCache>
                <c:formatCode>0.0%</c:formatCode>
                <c:ptCount val="7"/>
                <c:pt idx="0">
                  <c:v>0.112</c:v>
                </c:pt>
                <c:pt idx="1">
                  <c:v>0.115</c:v>
                </c:pt>
                <c:pt idx="2">
                  <c:v>0.13100000000000001</c:v>
                </c:pt>
                <c:pt idx="3">
                  <c:v>0.13900000000000001</c:v>
                </c:pt>
                <c:pt idx="4" formatCode="0%">
                  <c:v>0.182</c:v>
                </c:pt>
                <c:pt idx="5">
                  <c:v>0.25</c:v>
                </c:pt>
                <c:pt idx="6">
                  <c:v>0.22700000000000001</c:v>
                </c:pt>
              </c:numCache>
            </c:numRef>
          </c:val>
          <c:extLst>
            <c:ext xmlns:c16="http://schemas.microsoft.com/office/drawing/2014/chart" uri="{C3380CC4-5D6E-409C-BE32-E72D297353CC}">
              <c16:uniqueId val="{00000001-57AE-4423-9E6F-8A9E6676A2BB}"/>
            </c:ext>
          </c:extLst>
        </c:ser>
        <c:ser>
          <c:idx val="2"/>
          <c:order val="2"/>
          <c:tx>
            <c:strRef>
              <c:f>Sheet1!$A$4</c:f>
              <c:strCache>
                <c:ptCount val="1"/>
                <c:pt idx="0">
                  <c:v>令和3年度</c:v>
                </c:pt>
              </c:strCache>
            </c:strRef>
          </c:tx>
          <c:spPr>
            <a:solidFill>
              <a:srgbClr val="5575FF"/>
            </a:solidFill>
            <a:ln>
              <a:noFill/>
            </a:ln>
            <a:effectLst/>
          </c:spPr>
          <c:invertIfNegative val="0"/>
          <c:cat>
            <c:strRef>
              <c:f>Sheet1!$B$1:$H$1</c:f>
              <c:strCache>
                <c:ptCount val="7"/>
                <c:pt idx="0">
                  <c:v>40-44歳</c:v>
                </c:pt>
                <c:pt idx="1">
                  <c:v>45-49歳</c:v>
                </c:pt>
                <c:pt idx="2">
                  <c:v>50-54歳</c:v>
                </c:pt>
                <c:pt idx="3">
                  <c:v>55-59歳</c:v>
                </c:pt>
                <c:pt idx="4">
                  <c:v>60-64歳</c:v>
                </c:pt>
                <c:pt idx="5">
                  <c:v>65-69歳</c:v>
                </c:pt>
                <c:pt idx="6">
                  <c:v>70-74歳</c:v>
                </c:pt>
              </c:strCache>
            </c:strRef>
          </c:cat>
          <c:val>
            <c:numRef>
              <c:f>Sheet1!$B$4:$H$4</c:f>
              <c:numCache>
                <c:formatCode>0.0%</c:formatCode>
                <c:ptCount val="7"/>
                <c:pt idx="0">
                  <c:v>0.16900000000000001</c:v>
                </c:pt>
                <c:pt idx="1">
                  <c:v>0.13700000000000001</c:v>
                </c:pt>
                <c:pt idx="2">
                  <c:v>0.189</c:v>
                </c:pt>
                <c:pt idx="3">
                  <c:v>0.184</c:v>
                </c:pt>
                <c:pt idx="4">
                  <c:v>0.23599999999999999</c:v>
                </c:pt>
                <c:pt idx="5">
                  <c:v>0.33800000000000002</c:v>
                </c:pt>
                <c:pt idx="6">
                  <c:v>0.307</c:v>
                </c:pt>
              </c:numCache>
            </c:numRef>
          </c:val>
          <c:extLst>
            <c:ext xmlns:c16="http://schemas.microsoft.com/office/drawing/2014/chart" uri="{C3380CC4-5D6E-409C-BE32-E72D297353CC}">
              <c16:uniqueId val="{00000002-57AE-4423-9E6F-8A9E6676A2BB}"/>
            </c:ext>
          </c:extLst>
        </c:ser>
        <c:ser>
          <c:idx val="3"/>
          <c:order val="3"/>
          <c:tx>
            <c:strRef>
              <c:f>Sheet1!$A$5</c:f>
              <c:strCache>
                <c:ptCount val="1"/>
                <c:pt idx="0">
                  <c:v>令和4年度</c:v>
                </c:pt>
              </c:strCache>
            </c:strRef>
          </c:tx>
          <c:spPr>
            <a:solidFill>
              <a:srgbClr val="000540"/>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Sheet1!$B$1:$H$1</c:f>
              <c:strCache>
                <c:ptCount val="7"/>
                <c:pt idx="0">
                  <c:v>40-44歳</c:v>
                </c:pt>
                <c:pt idx="1">
                  <c:v>45-49歳</c:v>
                </c:pt>
                <c:pt idx="2">
                  <c:v>50-54歳</c:v>
                </c:pt>
                <c:pt idx="3">
                  <c:v>55-59歳</c:v>
                </c:pt>
                <c:pt idx="4">
                  <c:v>60-64歳</c:v>
                </c:pt>
                <c:pt idx="5">
                  <c:v>65-69歳</c:v>
                </c:pt>
                <c:pt idx="6">
                  <c:v>70-74歳</c:v>
                </c:pt>
              </c:strCache>
            </c:strRef>
          </c:cat>
          <c:val>
            <c:numRef>
              <c:f>Sheet1!$B$5:$H$5</c:f>
              <c:numCache>
                <c:formatCode>0.0%</c:formatCode>
                <c:ptCount val="7"/>
                <c:pt idx="0">
                  <c:v>0.153</c:v>
                </c:pt>
                <c:pt idx="1">
                  <c:v>0.16400000000000001</c:v>
                </c:pt>
                <c:pt idx="2">
                  <c:v>0.14699999999999999</c:v>
                </c:pt>
                <c:pt idx="3">
                  <c:v>0.187</c:v>
                </c:pt>
                <c:pt idx="4">
                  <c:v>0.25</c:v>
                </c:pt>
                <c:pt idx="5">
                  <c:v>0.35199999999999998</c:v>
                </c:pt>
                <c:pt idx="6">
                  <c:v>0.315</c:v>
                </c:pt>
              </c:numCache>
            </c:numRef>
          </c:val>
          <c:extLst>
            <c:ext xmlns:c16="http://schemas.microsoft.com/office/drawing/2014/chart" uri="{C3380CC4-5D6E-409C-BE32-E72D297353CC}">
              <c16:uniqueId val="{00000003-57AE-4423-9E6F-8A9E6676A2BB}"/>
            </c:ext>
          </c:extLst>
        </c:ser>
        <c:dLbls>
          <c:showLegendKey val="0"/>
          <c:showVal val="0"/>
          <c:showCatName val="0"/>
          <c:showSerName val="0"/>
          <c:showPercent val="0"/>
          <c:showBubbleSize val="0"/>
        </c:dLbls>
        <c:gapWidth val="219"/>
        <c:axId val="1"/>
        <c:axId val="2"/>
      </c:bar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numFmt formatCode="0.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1"/>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latin typeface="游ゴシック"/>
          <a:ea typeface="游ゴシック"/>
        </a:defRPr>
      </a:pPr>
      <a:endParaRPr lang="ja-JP"/>
    </a:p>
  </c:txPr>
  <c:externalData r:id="rId4">
    <c:autoUpdate val="0"/>
  </c:externalData>
  <c:extLst/>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令和1年度</c:v>
                </c:pt>
              </c:strCache>
            </c:strRef>
          </c:tx>
          <c:spPr>
            <a:solidFill>
              <a:srgbClr val="FFE1DB"/>
            </a:solidFill>
            <a:ln>
              <a:noFill/>
            </a:ln>
            <a:effectLst/>
          </c:spPr>
          <c:invertIfNegative val="0"/>
          <c:cat>
            <c:strRef>
              <c:f>Sheet1!$B$1:$H$1</c:f>
              <c:strCache>
                <c:ptCount val="7"/>
                <c:pt idx="0">
                  <c:v>40-44歳</c:v>
                </c:pt>
                <c:pt idx="1">
                  <c:v>45-49歳</c:v>
                </c:pt>
                <c:pt idx="2">
                  <c:v>50-54歳</c:v>
                </c:pt>
                <c:pt idx="3">
                  <c:v>55-59歳</c:v>
                </c:pt>
                <c:pt idx="4">
                  <c:v>60-64歳</c:v>
                </c:pt>
                <c:pt idx="5">
                  <c:v>65-69歳</c:v>
                </c:pt>
                <c:pt idx="6">
                  <c:v>70-74歳</c:v>
                </c:pt>
              </c:strCache>
            </c:strRef>
          </c:cat>
          <c:val>
            <c:numRef>
              <c:f>Sheet1!$B$2:$H$2</c:f>
              <c:numCache>
                <c:formatCode>0.0%</c:formatCode>
                <c:ptCount val="7"/>
                <c:pt idx="0">
                  <c:v>0.309</c:v>
                </c:pt>
                <c:pt idx="1">
                  <c:v>0.26800000000000002</c:v>
                </c:pt>
                <c:pt idx="2">
                  <c:v>0.29199999999999998</c:v>
                </c:pt>
                <c:pt idx="3">
                  <c:v>0.30599999999999999</c:v>
                </c:pt>
                <c:pt idx="4">
                  <c:v>0.40600000000000003</c:v>
                </c:pt>
                <c:pt idx="5">
                  <c:v>0.441</c:v>
                </c:pt>
                <c:pt idx="6">
                  <c:v>0.41499999999999998</c:v>
                </c:pt>
              </c:numCache>
            </c:numRef>
          </c:val>
          <c:extLst>
            <c:ext xmlns:c16="http://schemas.microsoft.com/office/drawing/2014/chart" uri="{C3380CC4-5D6E-409C-BE32-E72D297353CC}">
              <c16:uniqueId val="{00000000-8015-4009-96D4-C75D8701DDDA}"/>
            </c:ext>
          </c:extLst>
        </c:ser>
        <c:ser>
          <c:idx val="1"/>
          <c:order val="1"/>
          <c:tx>
            <c:strRef>
              <c:f>Sheet1!$A$3</c:f>
              <c:strCache>
                <c:ptCount val="1"/>
                <c:pt idx="0">
                  <c:v>令和2年度</c:v>
                </c:pt>
              </c:strCache>
            </c:strRef>
          </c:tx>
          <c:spPr>
            <a:solidFill>
              <a:srgbClr val="FFCCC2"/>
            </a:solidFill>
            <a:ln>
              <a:noFill/>
            </a:ln>
            <a:effectLst/>
          </c:spPr>
          <c:invertIfNegative val="0"/>
          <c:cat>
            <c:strRef>
              <c:f>Sheet1!$B$1:$H$1</c:f>
              <c:strCache>
                <c:ptCount val="7"/>
                <c:pt idx="0">
                  <c:v>40-44歳</c:v>
                </c:pt>
                <c:pt idx="1">
                  <c:v>45-49歳</c:v>
                </c:pt>
                <c:pt idx="2">
                  <c:v>50-54歳</c:v>
                </c:pt>
                <c:pt idx="3">
                  <c:v>55-59歳</c:v>
                </c:pt>
                <c:pt idx="4">
                  <c:v>60-64歳</c:v>
                </c:pt>
                <c:pt idx="5">
                  <c:v>65-69歳</c:v>
                </c:pt>
                <c:pt idx="6">
                  <c:v>70-74歳</c:v>
                </c:pt>
              </c:strCache>
            </c:strRef>
          </c:cat>
          <c:val>
            <c:numRef>
              <c:f>Sheet1!$B$3:$H$3</c:f>
              <c:numCache>
                <c:formatCode>0.0%</c:formatCode>
                <c:ptCount val="7"/>
                <c:pt idx="0">
                  <c:v>0.19</c:v>
                </c:pt>
                <c:pt idx="1">
                  <c:v>0.13600000000000001</c:v>
                </c:pt>
                <c:pt idx="2">
                  <c:v>0.151</c:v>
                </c:pt>
                <c:pt idx="3">
                  <c:v>0.14699999999999999</c:v>
                </c:pt>
                <c:pt idx="4" formatCode="0%">
                  <c:v>0.20399999999999999</c:v>
                </c:pt>
                <c:pt idx="5">
                  <c:v>0.23100000000000001</c:v>
                </c:pt>
                <c:pt idx="6">
                  <c:v>0.21199999999999999</c:v>
                </c:pt>
              </c:numCache>
            </c:numRef>
          </c:val>
          <c:extLst>
            <c:ext xmlns:c16="http://schemas.microsoft.com/office/drawing/2014/chart" uri="{C3380CC4-5D6E-409C-BE32-E72D297353CC}">
              <c16:uniqueId val="{00000001-8015-4009-96D4-C75D8701DDDA}"/>
            </c:ext>
          </c:extLst>
        </c:ser>
        <c:ser>
          <c:idx val="2"/>
          <c:order val="2"/>
          <c:tx>
            <c:strRef>
              <c:f>Sheet1!$A$4</c:f>
              <c:strCache>
                <c:ptCount val="1"/>
                <c:pt idx="0">
                  <c:v>令和3年度</c:v>
                </c:pt>
              </c:strCache>
            </c:strRef>
          </c:tx>
          <c:spPr>
            <a:solidFill>
              <a:srgbClr val="FFAA99"/>
            </a:solidFill>
            <a:ln>
              <a:noFill/>
            </a:ln>
            <a:effectLst/>
          </c:spPr>
          <c:invertIfNegative val="0"/>
          <c:cat>
            <c:strRef>
              <c:f>Sheet1!$B$1:$H$1</c:f>
              <c:strCache>
                <c:ptCount val="7"/>
                <c:pt idx="0">
                  <c:v>40-44歳</c:v>
                </c:pt>
                <c:pt idx="1">
                  <c:v>45-49歳</c:v>
                </c:pt>
                <c:pt idx="2">
                  <c:v>50-54歳</c:v>
                </c:pt>
                <c:pt idx="3">
                  <c:v>55-59歳</c:v>
                </c:pt>
                <c:pt idx="4">
                  <c:v>60-64歳</c:v>
                </c:pt>
                <c:pt idx="5">
                  <c:v>65-69歳</c:v>
                </c:pt>
                <c:pt idx="6">
                  <c:v>70-74歳</c:v>
                </c:pt>
              </c:strCache>
            </c:strRef>
          </c:cat>
          <c:val>
            <c:numRef>
              <c:f>Sheet1!$B$4:$H$4</c:f>
              <c:numCache>
                <c:formatCode>0.0%</c:formatCode>
                <c:ptCount val="7"/>
                <c:pt idx="0">
                  <c:v>0.28599999999999998</c:v>
                </c:pt>
                <c:pt idx="1">
                  <c:v>0.22600000000000001</c:v>
                </c:pt>
                <c:pt idx="2">
                  <c:v>0.24299999999999999</c:v>
                </c:pt>
                <c:pt idx="3">
                  <c:v>0.27900000000000003</c:v>
                </c:pt>
                <c:pt idx="4">
                  <c:v>0.28699999999999998</c:v>
                </c:pt>
                <c:pt idx="5">
                  <c:v>0.36299999999999999</c:v>
                </c:pt>
                <c:pt idx="6">
                  <c:v>0.33300000000000002</c:v>
                </c:pt>
              </c:numCache>
            </c:numRef>
          </c:val>
          <c:extLst>
            <c:ext xmlns:c16="http://schemas.microsoft.com/office/drawing/2014/chart" uri="{C3380CC4-5D6E-409C-BE32-E72D297353CC}">
              <c16:uniqueId val="{00000002-8015-4009-96D4-C75D8701DDDA}"/>
            </c:ext>
          </c:extLst>
        </c:ser>
        <c:ser>
          <c:idx val="3"/>
          <c:order val="3"/>
          <c:tx>
            <c:strRef>
              <c:f>Sheet1!$A$5</c:f>
              <c:strCache>
                <c:ptCount val="1"/>
                <c:pt idx="0">
                  <c:v>令和4年度</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Sheet1!$B$1:$H$1</c:f>
              <c:strCache>
                <c:ptCount val="7"/>
                <c:pt idx="0">
                  <c:v>40-44歳</c:v>
                </c:pt>
                <c:pt idx="1">
                  <c:v>45-49歳</c:v>
                </c:pt>
                <c:pt idx="2">
                  <c:v>50-54歳</c:v>
                </c:pt>
                <c:pt idx="3">
                  <c:v>55-59歳</c:v>
                </c:pt>
                <c:pt idx="4">
                  <c:v>60-64歳</c:v>
                </c:pt>
                <c:pt idx="5">
                  <c:v>65-69歳</c:v>
                </c:pt>
                <c:pt idx="6">
                  <c:v>70-74歳</c:v>
                </c:pt>
              </c:strCache>
            </c:strRef>
          </c:cat>
          <c:val>
            <c:numRef>
              <c:f>Sheet1!$B$5:$H$5</c:f>
              <c:numCache>
                <c:formatCode>0.0%</c:formatCode>
                <c:ptCount val="7"/>
                <c:pt idx="0">
                  <c:v>0.24099999999999999</c:v>
                </c:pt>
                <c:pt idx="1">
                  <c:v>0.254</c:v>
                </c:pt>
                <c:pt idx="2">
                  <c:v>0.20399999999999999</c:v>
                </c:pt>
                <c:pt idx="3">
                  <c:v>0.25900000000000001</c:v>
                </c:pt>
                <c:pt idx="4">
                  <c:v>0.311</c:v>
                </c:pt>
                <c:pt idx="5">
                  <c:v>0.34200000000000003</c:v>
                </c:pt>
                <c:pt idx="6">
                  <c:v>0.35399999999999998</c:v>
                </c:pt>
              </c:numCache>
            </c:numRef>
          </c:val>
          <c:extLst>
            <c:ext xmlns:c16="http://schemas.microsoft.com/office/drawing/2014/chart" uri="{C3380CC4-5D6E-409C-BE32-E72D297353CC}">
              <c16:uniqueId val="{00000003-8015-4009-96D4-C75D8701DDDA}"/>
            </c:ext>
          </c:extLst>
        </c:ser>
        <c:dLbls>
          <c:showLegendKey val="0"/>
          <c:showVal val="0"/>
          <c:showCatName val="0"/>
          <c:showSerName val="0"/>
          <c:showPercent val="0"/>
          <c:showBubbleSize val="0"/>
        </c:dLbls>
        <c:gapWidth val="219"/>
        <c:axId val="1"/>
        <c:axId val="2"/>
      </c:bar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numFmt formatCode="0.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1"/>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latin typeface="游ゴシック"/>
          <a:ea typeface="游ゴシック"/>
        </a:defRPr>
      </a:pPr>
      <a:endParaRPr lang="ja-JP"/>
    </a:p>
  </c:txPr>
  <c:externalData r:id="rId4">
    <c:autoUpdate val="0"/>
  </c:externalData>
  <c:extLst/>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19718575374650749"/>
          <c:w val="0.7752161708953047"/>
          <c:h val="0.70200581026162057"/>
        </c:manualLayout>
      </c:layout>
      <c:barChart>
        <c:barDir val="col"/>
        <c:grouping val="clustered"/>
        <c:varyColors val="0"/>
        <c:ser>
          <c:idx val="0"/>
          <c:order val="0"/>
          <c:tx>
            <c:strRef>
              <c:f>Sheet1!$A$2</c:f>
              <c:strCache>
                <c:ptCount val="1"/>
                <c:pt idx="0">
                  <c:v>対象者数</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818</c:v>
                </c:pt>
                <c:pt idx="1">
                  <c:v>458</c:v>
                </c:pt>
                <c:pt idx="2">
                  <c:v>731</c:v>
                </c:pt>
                <c:pt idx="3">
                  <c:v>540</c:v>
                </c:pt>
              </c:numCache>
            </c:numRef>
          </c:val>
          <c:extLst>
            <c:ext xmlns:c16="http://schemas.microsoft.com/office/drawing/2014/chart" uri="{C3380CC4-5D6E-409C-BE32-E72D297353CC}">
              <c16:uniqueId val="{00000000-CA65-4273-BEC2-26697D2170EF}"/>
            </c:ext>
          </c:extLst>
        </c:ser>
        <c:ser>
          <c:idx val="1"/>
          <c:order val="1"/>
          <c:tx>
            <c:strRef>
              <c:f>Sheet1!$A$3</c:f>
              <c:strCache>
                <c:ptCount val="1"/>
                <c:pt idx="0">
                  <c:v>実施者数</c:v>
                </c:pt>
              </c:strCache>
            </c:strRef>
          </c:tx>
          <c:spPr>
            <a:solidFill>
              <a:srgbClr val="CCD6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149</c:v>
                </c:pt>
                <c:pt idx="1">
                  <c:v>78</c:v>
                </c:pt>
                <c:pt idx="2">
                  <c:v>149</c:v>
                </c:pt>
                <c:pt idx="3">
                  <c:v>146</c:v>
                </c:pt>
              </c:numCache>
            </c:numRef>
          </c:val>
          <c:extLst>
            <c:ext xmlns:c16="http://schemas.microsoft.com/office/drawing/2014/chart" uri="{C3380CC4-5D6E-409C-BE32-E72D297353CC}">
              <c16:uniqueId val="{00000001-CA65-4273-BEC2-26697D2170EF}"/>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八街市_目標値</c:v>
                </c:pt>
              </c:strCache>
            </c:strRef>
          </c:tx>
          <c:spPr>
            <a:ln w="25400" cap="rnd">
              <a:solidFill>
                <a:srgbClr val="FFE1DB"/>
              </a:solidFill>
              <a:round/>
            </a:ln>
            <a:effectLst/>
          </c:spPr>
          <c:marker>
            <c:symbol val="circle"/>
            <c:size val="5"/>
            <c:spPr>
              <a:solidFill>
                <a:srgbClr val="FFE1DB"/>
              </a:solidFill>
              <a:ln w="9525">
                <a:solidFill>
                  <a:srgbClr val="FFE1DB"/>
                </a:solidFill>
              </a:ln>
              <a:effectLst/>
            </c:spPr>
          </c:marker>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0.6</c:v>
                </c:pt>
                <c:pt idx="1">
                  <c:v>0.6</c:v>
                </c:pt>
                <c:pt idx="2">
                  <c:v>0.25</c:v>
                </c:pt>
                <c:pt idx="3">
                  <c:v>0.25</c:v>
                </c:pt>
              </c:numCache>
            </c:numRef>
          </c:val>
          <c:smooth val="0"/>
          <c:extLst>
            <c:ext xmlns:c16="http://schemas.microsoft.com/office/drawing/2014/chart" uri="{C3380CC4-5D6E-409C-BE32-E72D297353CC}">
              <c16:uniqueId val="{00000002-CA65-4273-BEC2-26697D2170EF}"/>
            </c:ext>
          </c:extLst>
        </c:ser>
        <c:ser>
          <c:idx val="3"/>
          <c:order val="3"/>
          <c:tx>
            <c:strRef>
              <c:f>Sheet1!$A$5</c:f>
              <c:strCache>
                <c:ptCount val="1"/>
                <c:pt idx="0">
                  <c:v>八街市_実績値</c:v>
                </c:pt>
              </c:strCache>
            </c:strRef>
          </c:tx>
          <c:spPr>
            <a:ln w="25400" cap="rnd">
              <a:solidFill>
                <a:srgbClr val="FF7463"/>
              </a:solidFill>
              <a:prstDash val="solid"/>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0.182</c:v>
                </c:pt>
                <c:pt idx="1">
                  <c:v>0.17</c:v>
                </c:pt>
                <c:pt idx="2">
                  <c:v>0.20399999999999999</c:v>
                </c:pt>
                <c:pt idx="3">
                  <c:v>0.26984126984126983</c:v>
                </c:pt>
              </c:numCache>
            </c:numRef>
          </c:val>
          <c:smooth val="0"/>
          <c:extLst>
            <c:ext xmlns:c16="http://schemas.microsoft.com/office/drawing/2014/chart" uri="{C3380CC4-5D6E-409C-BE32-E72D297353CC}">
              <c16:uniqueId val="{00000003-CA65-4273-BEC2-26697D2170EF}"/>
            </c:ext>
          </c:extLst>
        </c:ser>
        <c:ser>
          <c:idx val="4"/>
          <c:order val="4"/>
          <c:tx>
            <c:strRef>
              <c:f>Sheet1!$A$6</c:f>
              <c:strCache>
                <c:ptCount val="1"/>
                <c:pt idx="0">
                  <c:v>国_実施率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0.29299999999999998</c:v>
                </c:pt>
                <c:pt idx="1">
                  <c:v>0.27900000000000003</c:v>
                </c:pt>
                <c:pt idx="2">
                  <c:v>0.27900000000000003</c:v>
                </c:pt>
              </c:numCache>
            </c:numRef>
          </c:val>
          <c:smooth val="0"/>
          <c:extLst>
            <c:ext xmlns:c16="http://schemas.microsoft.com/office/drawing/2014/chart" uri="{C3380CC4-5D6E-409C-BE32-E72D297353CC}">
              <c16:uniqueId val="{00000004-CA65-4273-BEC2-26697D2170EF}"/>
            </c:ext>
          </c:extLst>
        </c:ser>
        <c:ser>
          <c:idx val="5"/>
          <c:order val="5"/>
          <c:tx>
            <c:strRef>
              <c:f>Sheet1!$A$7</c:f>
              <c:strCache>
                <c:ptCount val="1"/>
                <c:pt idx="0">
                  <c:v>県_実施率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Sheet1!$B$7:$E$7</c:f>
              <c:numCache>
                <c:formatCode>0.0%</c:formatCode>
                <c:ptCount val="4"/>
                <c:pt idx="0">
                  <c:v>0.248</c:v>
                </c:pt>
                <c:pt idx="1">
                  <c:v>0.218</c:v>
                </c:pt>
                <c:pt idx="2">
                  <c:v>0.222</c:v>
                </c:pt>
                <c:pt idx="3">
                  <c:v>0.24299999999999999</c:v>
                </c:pt>
              </c:numCache>
            </c:numRef>
          </c:val>
          <c:smooth val="0"/>
          <c:extLst>
            <c:ext xmlns:c16="http://schemas.microsoft.com/office/drawing/2014/chart" uri="{C3380CC4-5D6E-409C-BE32-E72D297353CC}">
              <c16:uniqueId val="{00000005-CA65-4273-BEC2-26697D2170EF}"/>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実施率（％）</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r>
              <a:rPr lang="ja-JP" altLang="en-US" sz="800" b="0" i="0" u="none" strike="noStrike" kern="1200" spc="0" baseline="0">
                <a:solidFill>
                  <a:srgbClr val="000540"/>
                </a:solidFill>
                <a:latin typeface="BIZ UDPゴシック"/>
                <a:ea typeface="BIZ UDPゴシック"/>
                <a:cs typeface="+mn-cs"/>
              </a:rPr>
              <a:t>女性</a:t>
            </a:r>
          </a:p>
        </c:rich>
      </c:tx>
      <c:layout>
        <c:manualLayout>
          <c:xMode val="edge"/>
          <c:yMode val="edge"/>
          <c:x val="2.3986665393396937E-2"/>
          <c:y val="4.9382881829568424E-2"/>
        </c:manualLayout>
      </c:layout>
      <c:overlay val="1"/>
      <c:spPr>
        <a:solidFill>
          <a:srgbClr val="FFE1DB"/>
        </a:solidFill>
        <a:ln>
          <a:noFill/>
        </a:ln>
        <a:effectLst/>
      </c:spPr>
      <c:txPr>
        <a:bodyPr rot="0" spcFirstLastPara="1" vertOverflow="ellipsis" horzOverflow="overflow" vert="horz" wrap="square" anchor="ctr" anchorCtr="1"/>
        <a:lstStyle/>
        <a:p>
          <a:pPr algn="ctr" rtl="0">
            <a:defRPr lang="ja-JP" altLang="en-US" sz="800" b="0" i="0" u="none" strike="noStrike" kern="1200" spc="0" baseline="0">
              <a:solidFill>
                <a:srgbClr val="000540"/>
              </a:solidFill>
              <a:latin typeface="BIZ UDPゴシック"/>
              <a:ea typeface="BIZ UDPゴシック"/>
              <a:cs typeface="+mn-cs"/>
            </a:defRPr>
          </a:pPr>
          <a:endParaRPr lang="ja-JP"/>
        </a:p>
      </c:txPr>
    </c:title>
    <c:autoTitleDeleted val="0"/>
    <c:plotArea>
      <c:layout/>
      <c:barChart>
        <c:barDir val="bar"/>
        <c:grouping val="clustered"/>
        <c:varyColors val="0"/>
        <c:ser>
          <c:idx val="0"/>
          <c:order val="0"/>
          <c:tx>
            <c:strRef>
              <c:f>Sheet1!$B$1</c:f>
              <c:strCache>
                <c:ptCount val="1"/>
                <c:pt idx="0">
                  <c:v>平均余命(年)</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八街市</c:v>
                </c:pt>
                <c:pt idx="1">
                  <c:v>国</c:v>
                </c:pt>
                <c:pt idx="2">
                  <c:v>県</c:v>
                </c:pt>
                <c:pt idx="3">
                  <c:v>同規模</c:v>
                </c:pt>
              </c:strCache>
            </c:strRef>
          </c:cat>
          <c:val>
            <c:numRef>
              <c:f>Sheet1!$B$2:$B$5</c:f>
              <c:numCache>
                <c:formatCode>0.0_ </c:formatCode>
                <c:ptCount val="4"/>
                <c:pt idx="0">
                  <c:v>85.6</c:v>
                </c:pt>
                <c:pt idx="1">
                  <c:v>87.8</c:v>
                </c:pt>
                <c:pt idx="2">
                  <c:v>87.8</c:v>
                </c:pt>
                <c:pt idx="3">
                  <c:v>87.6</c:v>
                </c:pt>
              </c:numCache>
            </c:numRef>
          </c:val>
          <c:extLst>
            <c:ext xmlns:c16="http://schemas.microsoft.com/office/drawing/2014/chart" uri="{C3380CC4-5D6E-409C-BE32-E72D297353CC}">
              <c16:uniqueId val="{00000000-04FD-4B9E-9612-550B72692FAA}"/>
            </c:ext>
          </c:extLst>
        </c:ser>
        <c:ser>
          <c:idx val="1"/>
          <c:order val="1"/>
          <c:tx>
            <c:strRef>
              <c:f>Sheet1!$C$1</c:f>
              <c:strCache>
                <c:ptCount val="1"/>
                <c:pt idx="0">
                  <c:v>平均自立期間(年)</c:v>
                </c:pt>
              </c:strCache>
            </c:strRef>
          </c:tx>
          <c:spPr>
            <a:solidFill>
              <a:srgbClr val="FFC000"/>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八街市</c:v>
                </c:pt>
                <c:pt idx="1">
                  <c:v>国</c:v>
                </c:pt>
                <c:pt idx="2">
                  <c:v>県</c:v>
                </c:pt>
                <c:pt idx="3">
                  <c:v>同規模</c:v>
                </c:pt>
              </c:strCache>
            </c:strRef>
          </c:cat>
          <c:val>
            <c:numRef>
              <c:f>Sheet1!$C$2:$C$5</c:f>
              <c:numCache>
                <c:formatCode>0.0_ </c:formatCode>
                <c:ptCount val="4"/>
                <c:pt idx="0">
                  <c:v>83</c:v>
                </c:pt>
                <c:pt idx="1">
                  <c:v>84.4</c:v>
                </c:pt>
                <c:pt idx="2">
                  <c:v>84.4</c:v>
                </c:pt>
                <c:pt idx="3">
                  <c:v>84.4</c:v>
                </c:pt>
              </c:numCache>
            </c:numRef>
          </c:val>
          <c:extLst>
            <c:ext xmlns:c16="http://schemas.microsoft.com/office/drawing/2014/chart" uri="{C3380CC4-5D6E-409C-BE32-E72D297353CC}">
              <c16:uniqueId val="{00000001-04FD-4B9E-9612-550B72692FAA}"/>
            </c:ext>
          </c:extLst>
        </c:ser>
        <c:dLbls>
          <c:showLegendKey val="0"/>
          <c:showVal val="0"/>
          <c:showCatName val="0"/>
          <c:showSerName val="0"/>
          <c:showPercent val="0"/>
          <c:showBubbleSize val="0"/>
        </c:dLbls>
        <c:gapWidth val="219"/>
        <c:axId val="1"/>
        <c:axId val="2"/>
      </c:barChart>
      <c:catAx>
        <c:axId val="1"/>
        <c:scaling>
          <c:orientation val="maxMin"/>
        </c:scaling>
        <c:delete val="0"/>
        <c:axPos val="l"/>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b"/>
        <c:majorGridlines>
          <c:spPr>
            <a:ln w="9525" cap="flat" cmpd="sng" algn="ctr">
              <a:solidFill>
                <a:srgbClr val="CCD6FF"/>
              </a:solidFill>
              <a:round/>
            </a:ln>
            <a:effectLst/>
          </c:spPr>
        </c:majorGridlines>
        <c:numFmt formatCode="0.0_ "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4">
    <c:autoUpdate val="0"/>
  </c:externalData>
  <c:extLst/>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22651752158362001"/>
          <c:w val="0.7752161708953047"/>
          <c:h val="0.67771463042926094"/>
        </c:manualLayout>
      </c:layout>
      <c:barChart>
        <c:barDir val="col"/>
        <c:grouping val="clustered"/>
        <c:varyColors val="0"/>
        <c:ser>
          <c:idx val="0"/>
          <c:order val="0"/>
          <c:tx>
            <c:strRef>
              <c:f>Sheet1!$A$2</c:f>
              <c:strCache>
                <c:ptCount val="1"/>
                <c:pt idx="0">
                  <c:v>該当者数（男性）</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595</c:v>
                </c:pt>
                <c:pt idx="1">
                  <c:v>358</c:v>
                </c:pt>
                <c:pt idx="2">
                  <c:v>515</c:v>
                </c:pt>
                <c:pt idx="3">
                  <c:v>480</c:v>
                </c:pt>
              </c:numCache>
            </c:numRef>
          </c:val>
          <c:extLst>
            <c:ext xmlns:c16="http://schemas.microsoft.com/office/drawing/2014/chart" uri="{C3380CC4-5D6E-409C-BE32-E72D297353CC}">
              <c16:uniqueId val="{00000000-B64F-4E95-AB9A-BFFEAEC2821A}"/>
            </c:ext>
          </c:extLst>
        </c:ser>
        <c:ser>
          <c:idx val="1"/>
          <c:order val="1"/>
          <c:tx>
            <c:strRef>
              <c:f>Sheet1!$A$3</c:f>
              <c:strCache>
                <c:ptCount val="1"/>
                <c:pt idx="0">
                  <c:v>該当者数（女性）</c:v>
                </c:pt>
              </c:strCache>
            </c:strRef>
          </c:tx>
          <c:spPr>
            <a:solidFill>
              <a:srgbClr val="FF7463"/>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251</c:v>
                </c:pt>
                <c:pt idx="1">
                  <c:v>120</c:v>
                </c:pt>
                <c:pt idx="2">
                  <c:v>215</c:v>
                </c:pt>
                <c:pt idx="3">
                  <c:v>196</c:v>
                </c:pt>
              </c:numCache>
            </c:numRef>
          </c:val>
          <c:extLst>
            <c:ext xmlns:c16="http://schemas.microsoft.com/office/drawing/2014/chart" uri="{C3380CC4-5D6E-409C-BE32-E72D297353CC}">
              <c16:uniqueId val="{00000001-B64F-4E95-AB9A-BFFEAEC2821A}"/>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八街市_該当者割合</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0.17199999999999999</c:v>
                </c:pt>
                <c:pt idx="1">
                  <c:v>0.18099999999999999</c:v>
                </c:pt>
                <c:pt idx="2">
                  <c:v>0.193</c:v>
                </c:pt>
                <c:pt idx="3">
                  <c:v>0.187</c:v>
                </c:pt>
              </c:numCache>
            </c:numRef>
          </c:val>
          <c:smooth val="0"/>
          <c:extLst>
            <c:ext xmlns:c16="http://schemas.microsoft.com/office/drawing/2014/chart" uri="{C3380CC4-5D6E-409C-BE32-E72D297353CC}">
              <c16:uniqueId val="{00000002-B64F-4E95-AB9A-BFFEAEC2821A}"/>
            </c:ext>
          </c:extLst>
        </c:ser>
        <c:ser>
          <c:idx val="3"/>
          <c:order val="3"/>
          <c:tx>
            <c:strRef>
              <c:f>Sheet1!$A$5</c:f>
              <c:strCache>
                <c:ptCount val="1"/>
                <c:pt idx="0">
                  <c:v>国_該当者割合</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0.192</c:v>
                </c:pt>
                <c:pt idx="1">
                  <c:v>0.20799999999999999</c:v>
                </c:pt>
                <c:pt idx="2">
                  <c:v>0.20599999999999999</c:v>
                </c:pt>
                <c:pt idx="3">
                  <c:v>0.20599999999999999</c:v>
                </c:pt>
              </c:numCache>
            </c:numRef>
          </c:val>
          <c:smooth val="0"/>
          <c:extLst>
            <c:ext xmlns:c16="http://schemas.microsoft.com/office/drawing/2014/chart" uri="{C3380CC4-5D6E-409C-BE32-E72D297353CC}">
              <c16:uniqueId val="{00000003-B64F-4E95-AB9A-BFFEAEC2821A}"/>
            </c:ext>
          </c:extLst>
        </c:ser>
        <c:ser>
          <c:idx val="4"/>
          <c:order val="4"/>
          <c:tx>
            <c:strRef>
              <c:f>Sheet1!$A$6</c:f>
              <c:strCache>
                <c:ptCount val="1"/>
                <c:pt idx="0">
                  <c:v>県_該当者割合</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0.185</c:v>
                </c:pt>
                <c:pt idx="1">
                  <c:v>0.20599999999999999</c:v>
                </c:pt>
                <c:pt idx="2">
                  <c:v>0.20200000000000001</c:v>
                </c:pt>
                <c:pt idx="3">
                  <c:v>0.20300000000000001</c:v>
                </c:pt>
              </c:numCache>
            </c:numRef>
          </c:val>
          <c:smooth val="0"/>
          <c:extLst>
            <c:ext xmlns:c16="http://schemas.microsoft.com/office/drawing/2014/chart" uri="{C3380CC4-5D6E-409C-BE32-E72D297353CC}">
              <c16:uniqueId val="{00000004-B64F-4E95-AB9A-BFFEAEC2821A}"/>
            </c:ext>
          </c:extLst>
        </c:ser>
        <c:ser>
          <c:idx val="5"/>
          <c:order val="5"/>
          <c:tx>
            <c:strRef>
              <c:f>Sheet1!$A$7</c:f>
              <c:strCache>
                <c:ptCount val="1"/>
                <c:pt idx="0">
                  <c:v>同規模_該当者割合</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Sheet1!$B$1:$E$1</c:f>
              <c:strCache>
                <c:ptCount val="4"/>
                <c:pt idx="0">
                  <c:v>令和1年度</c:v>
                </c:pt>
                <c:pt idx="1">
                  <c:v>令和2年度</c:v>
                </c:pt>
                <c:pt idx="2">
                  <c:v>令和3年度</c:v>
                </c:pt>
                <c:pt idx="3">
                  <c:v>令和4年度</c:v>
                </c:pt>
              </c:strCache>
            </c:strRef>
          </c:cat>
          <c:val>
            <c:numRef>
              <c:f>Sheet1!$B$7:$E$7</c:f>
              <c:numCache>
                <c:formatCode>0.0%</c:formatCode>
                <c:ptCount val="4"/>
                <c:pt idx="0">
                  <c:v>0.19400000000000001</c:v>
                </c:pt>
                <c:pt idx="1">
                  <c:v>0.21</c:v>
                </c:pt>
                <c:pt idx="2">
                  <c:v>0.20799999999999999</c:v>
                </c:pt>
                <c:pt idx="3">
                  <c:v>0.20899999999999999</c:v>
                </c:pt>
              </c:numCache>
            </c:numRef>
          </c:val>
          <c:smooth val="0"/>
          <c:extLst>
            <c:ext xmlns:c16="http://schemas.microsoft.com/office/drawing/2014/chart" uri="{C3380CC4-5D6E-409C-BE32-E72D297353CC}">
              <c16:uniqueId val="{00000005-B64F-4E95-AB9A-BFFEAEC2821A}"/>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該当者割合（％）</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layout>
        <c:manualLayout>
          <c:xMode val="edge"/>
          <c:yMode val="edge"/>
          <c:x val="1.4603378233910624E-2"/>
          <c:y val="3.0241935483870969E-2"/>
          <c:w val="0.96010262989095585"/>
          <c:h val="0.15756048387096774"/>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22181274623664279"/>
          <c:w val="0.7752161708953047"/>
          <c:h val="0.67233855092710171"/>
        </c:manualLayout>
      </c:layout>
      <c:barChart>
        <c:barDir val="col"/>
        <c:grouping val="clustered"/>
        <c:varyColors val="0"/>
        <c:ser>
          <c:idx val="0"/>
          <c:order val="0"/>
          <c:tx>
            <c:strRef>
              <c:f>Sheet1!$A$2</c:f>
              <c:strCache>
                <c:ptCount val="1"/>
                <c:pt idx="0">
                  <c:v>該当者数（男性）</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461</c:v>
                </c:pt>
                <c:pt idx="1">
                  <c:v>269</c:v>
                </c:pt>
                <c:pt idx="2">
                  <c:v>375</c:v>
                </c:pt>
                <c:pt idx="3">
                  <c:v>322</c:v>
                </c:pt>
              </c:numCache>
            </c:numRef>
          </c:val>
          <c:extLst>
            <c:ext xmlns:c16="http://schemas.microsoft.com/office/drawing/2014/chart" uri="{C3380CC4-5D6E-409C-BE32-E72D297353CC}">
              <c16:uniqueId val="{00000000-B062-4604-A93B-3CDE1A5CCFC4}"/>
            </c:ext>
          </c:extLst>
        </c:ser>
        <c:ser>
          <c:idx val="1"/>
          <c:order val="1"/>
          <c:tx>
            <c:strRef>
              <c:f>Sheet1!$A$3</c:f>
              <c:strCache>
                <c:ptCount val="1"/>
                <c:pt idx="0">
                  <c:v>該当者数（女性）</c:v>
                </c:pt>
              </c:strCache>
            </c:strRef>
          </c:tx>
          <c:spPr>
            <a:solidFill>
              <a:srgbClr val="FF7463"/>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172</c:v>
                </c:pt>
                <c:pt idx="1">
                  <c:v>110</c:v>
                </c:pt>
                <c:pt idx="2">
                  <c:v>171</c:v>
                </c:pt>
                <c:pt idx="3">
                  <c:v>130</c:v>
                </c:pt>
              </c:numCache>
            </c:numRef>
          </c:val>
          <c:extLst>
            <c:ext xmlns:c16="http://schemas.microsoft.com/office/drawing/2014/chart" uri="{C3380CC4-5D6E-409C-BE32-E72D297353CC}">
              <c16:uniqueId val="{00000001-B062-4604-A93B-3CDE1A5CCFC4}"/>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八街市_該当者割合</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Lbls>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0.129</c:v>
                </c:pt>
                <c:pt idx="1">
                  <c:v>0.14399999999999999</c:v>
                </c:pt>
                <c:pt idx="2">
                  <c:v>0.14399999999999999</c:v>
                </c:pt>
                <c:pt idx="3">
                  <c:v>0.125</c:v>
                </c:pt>
              </c:numCache>
            </c:numRef>
          </c:val>
          <c:smooth val="0"/>
          <c:extLst>
            <c:ext xmlns:c16="http://schemas.microsoft.com/office/drawing/2014/chart" uri="{C3380CC4-5D6E-409C-BE32-E72D297353CC}">
              <c16:uniqueId val="{00000002-B062-4604-A93B-3CDE1A5CCFC4}"/>
            </c:ext>
          </c:extLst>
        </c:ser>
        <c:ser>
          <c:idx val="3"/>
          <c:order val="3"/>
          <c:tx>
            <c:strRef>
              <c:f>Sheet1!$A$5</c:f>
              <c:strCache>
                <c:ptCount val="1"/>
                <c:pt idx="0">
                  <c:v>国_該当者割合</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0.111</c:v>
                </c:pt>
                <c:pt idx="1">
                  <c:v>0.113</c:v>
                </c:pt>
                <c:pt idx="2">
                  <c:v>0.112</c:v>
                </c:pt>
                <c:pt idx="3">
                  <c:v>0.111</c:v>
                </c:pt>
              </c:numCache>
            </c:numRef>
          </c:val>
          <c:smooth val="0"/>
          <c:extLst>
            <c:ext xmlns:c16="http://schemas.microsoft.com/office/drawing/2014/chart" uri="{C3380CC4-5D6E-409C-BE32-E72D297353CC}">
              <c16:uniqueId val="{00000003-B062-4604-A93B-3CDE1A5CCFC4}"/>
            </c:ext>
          </c:extLst>
        </c:ser>
        <c:ser>
          <c:idx val="4"/>
          <c:order val="4"/>
          <c:tx>
            <c:strRef>
              <c:f>Sheet1!$A$6</c:f>
              <c:strCache>
                <c:ptCount val="1"/>
                <c:pt idx="0">
                  <c:v>県_該当者割合</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0.113</c:v>
                </c:pt>
                <c:pt idx="1">
                  <c:v>0.115</c:v>
                </c:pt>
                <c:pt idx="2">
                  <c:v>0.11700000000000001</c:v>
                </c:pt>
                <c:pt idx="3">
                  <c:v>0.113</c:v>
                </c:pt>
              </c:numCache>
            </c:numRef>
          </c:val>
          <c:smooth val="0"/>
          <c:extLst>
            <c:ext xmlns:c16="http://schemas.microsoft.com/office/drawing/2014/chart" uri="{C3380CC4-5D6E-409C-BE32-E72D297353CC}">
              <c16:uniqueId val="{00000004-B062-4604-A93B-3CDE1A5CCFC4}"/>
            </c:ext>
          </c:extLst>
        </c:ser>
        <c:ser>
          <c:idx val="5"/>
          <c:order val="5"/>
          <c:tx>
            <c:strRef>
              <c:f>Sheet1!$A$7</c:f>
              <c:strCache>
                <c:ptCount val="1"/>
                <c:pt idx="0">
                  <c:v>同規模_該当者割合</c:v>
                </c:pt>
              </c:strCache>
            </c:strRef>
          </c:tx>
          <c:spPr>
            <a:ln w="25400" cap="rnd">
              <a:solidFill>
                <a:srgbClr val="2DBEA5"/>
              </a:solidFill>
              <a:prstDash val="sysDot"/>
              <a:round/>
            </a:ln>
            <a:effectLst/>
          </c:spPr>
          <c:marker>
            <c:symbol val="circle"/>
            <c:size val="5"/>
            <c:spPr>
              <a:solidFill>
                <a:srgbClr val="2DBEA5"/>
              </a:solidFill>
              <a:ln w="9525">
                <a:solidFill>
                  <a:srgbClr val="2DBEA5"/>
                </a:solidFill>
              </a:ln>
              <a:effectLst/>
            </c:spPr>
          </c:marker>
          <c:cat>
            <c:strRef>
              <c:f>Sheet1!$B$1:$E$1</c:f>
              <c:strCache>
                <c:ptCount val="4"/>
                <c:pt idx="0">
                  <c:v>令和1年度</c:v>
                </c:pt>
                <c:pt idx="1">
                  <c:v>令和2年度</c:v>
                </c:pt>
                <c:pt idx="2">
                  <c:v>令和3年度</c:v>
                </c:pt>
                <c:pt idx="3">
                  <c:v>令和4年度</c:v>
                </c:pt>
              </c:strCache>
            </c:strRef>
          </c:cat>
          <c:val>
            <c:numRef>
              <c:f>Sheet1!$B$7:$E$7</c:f>
              <c:numCache>
                <c:formatCode>0.0%</c:formatCode>
                <c:ptCount val="4"/>
                <c:pt idx="0">
                  <c:v>0.111</c:v>
                </c:pt>
                <c:pt idx="1">
                  <c:v>0.113</c:v>
                </c:pt>
                <c:pt idx="2">
                  <c:v>0.113</c:v>
                </c:pt>
                <c:pt idx="3">
                  <c:v>0.11</c:v>
                </c:pt>
              </c:numCache>
            </c:numRef>
          </c:val>
          <c:smooth val="0"/>
          <c:extLst>
            <c:ext xmlns:c16="http://schemas.microsoft.com/office/drawing/2014/chart" uri="{C3380CC4-5D6E-409C-BE32-E72D297353CC}">
              <c16:uniqueId val="{00000005-B062-4604-A93B-3CDE1A5CCFC4}"/>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該当者割合（％）</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layout>
        <c:manualLayout>
          <c:xMode val="edge"/>
          <c:yMode val="edge"/>
          <c:x val="3.1708360059867428E-2"/>
          <c:y val="3.0241935483870969E-2"/>
          <c:w val="0.93230703442377605"/>
          <c:h val="0.15252016129032259"/>
        </c:manualLayout>
      </c:layou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糖尿病</c:v>
                </c:pt>
                <c:pt idx="1">
                  <c:v>高血圧症</c:v>
                </c:pt>
                <c:pt idx="2">
                  <c:v>脂質異常症</c:v>
                </c:pt>
                <c:pt idx="3">
                  <c:v>心臓病</c:v>
                </c:pt>
                <c:pt idx="4">
                  <c:v>脳血管</c:v>
                </c:pt>
                <c:pt idx="5">
                  <c:v>がん</c:v>
                </c:pt>
                <c:pt idx="6">
                  <c:v>精神疾患</c:v>
                </c:pt>
                <c:pt idx="7">
                  <c:v>（再掲）認知症</c:v>
                </c:pt>
                <c:pt idx="8">
                  <c:v>アルツハイマー病</c:v>
                </c:pt>
                <c:pt idx="9">
                  <c:v>筋・骨格</c:v>
                </c:pt>
              </c:strCache>
            </c:strRef>
          </c:cat>
          <c:val>
            <c:numRef>
              <c:f>Sheet1!$B$2:$B$11</c:f>
              <c:numCache>
                <c:formatCode>0.0%</c:formatCode>
                <c:ptCount val="10"/>
                <c:pt idx="0">
                  <c:v>0.29699999999999999</c:v>
                </c:pt>
                <c:pt idx="1">
                  <c:v>0.46899999999999997</c:v>
                </c:pt>
                <c:pt idx="2">
                  <c:v>0.26600000000000001</c:v>
                </c:pt>
                <c:pt idx="3">
                  <c:v>0.52900000000000003</c:v>
                </c:pt>
                <c:pt idx="4">
                  <c:v>0.17899999999999999</c:v>
                </c:pt>
                <c:pt idx="5">
                  <c:v>9.7000000000000003E-2</c:v>
                </c:pt>
                <c:pt idx="6">
                  <c:v>0.28699999999999998</c:v>
                </c:pt>
                <c:pt idx="7">
                  <c:v>0.17199999999999999</c:v>
                </c:pt>
                <c:pt idx="8">
                  <c:v>0.13600000000000001</c:v>
                </c:pt>
                <c:pt idx="9">
                  <c:v>0.441</c:v>
                </c:pt>
              </c:numCache>
            </c:numRef>
          </c:val>
          <c:extLst>
            <c:ext xmlns:c16="http://schemas.microsoft.com/office/drawing/2014/chart" uri="{C3380CC4-5D6E-409C-BE32-E72D297353CC}">
              <c16:uniqueId val="{00000000-1258-4921-9CF8-5E794EE582D1}"/>
            </c:ext>
          </c:extLst>
        </c:ser>
        <c:ser>
          <c:idx val="1"/>
          <c:order val="1"/>
          <c:tx>
            <c:strRef>
              <c:f>Sheet1!$C$1</c:f>
              <c:strCache>
                <c:ptCount val="1"/>
                <c:pt idx="0">
                  <c:v>国</c:v>
                </c:pt>
              </c:strCache>
            </c:strRef>
          </c:tx>
          <c:spPr>
            <a:solidFill>
              <a:srgbClr val="5575FF"/>
            </a:solidFill>
            <a:ln>
              <a:noFill/>
            </a:ln>
            <a:effectLst/>
          </c:spPr>
          <c:invertIfNegative val="0"/>
          <c:cat>
            <c:strRef>
              <c:f>Sheet1!$A$2:$A$11</c:f>
              <c:strCache>
                <c:ptCount val="10"/>
                <c:pt idx="0">
                  <c:v>糖尿病</c:v>
                </c:pt>
                <c:pt idx="1">
                  <c:v>高血圧症</c:v>
                </c:pt>
                <c:pt idx="2">
                  <c:v>脂質異常症</c:v>
                </c:pt>
                <c:pt idx="3">
                  <c:v>心臓病</c:v>
                </c:pt>
                <c:pt idx="4">
                  <c:v>脳血管</c:v>
                </c:pt>
                <c:pt idx="5">
                  <c:v>がん</c:v>
                </c:pt>
                <c:pt idx="6">
                  <c:v>精神疾患</c:v>
                </c:pt>
                <c:pt idx="7">
                  <c:v>（再掲）認知症</c:v>
                </c:pt>
                <c:pt idx="8">
                  <c:v>アルツハイマー病</c:v>
                </c:pt>
                <c:pt idx="9">
                  <c:v>筋・骨格</c:v>
                </c:pt>
              </c:strCache>
            </c:strRef>
          </c:cat>
          <c:val>
            <c:numRef>
              <c:f>Sheet1!$C$2:$C$11</c:f>
              <c:numCache>
                <c:formatCode>0.0%</c:formatCode>
                <c:ptCount val="10"/>
                <c:pt idx="0">
                  <c:v>0.24299999999999999</c:v>
                </c:pt>
                <c:pt idx="1">
                  <c:v>0.53300000000000003</c:v>
                </c:pt>
                <c:pt idx="2">
                  <c:v>0.32600000000000001</c:v>
                </c:pt>
                <c:pt idx="3">
                  <c:v>0.60299999999999998</c:v>
                </c:pt>
                <c:pt idx="4">
                  <c:v>0.22600000000000001</c:v>
                </c:pt>
                <c:pt idx="5">
                  <c:v>0.11799999999999999</c:v>
                </c:pt>
                <c:pt idx="6">
                  <c:v>0.36799999999999999</c:v>
                </c:pt>
                <c:pt idx="7">
                  <c:v>0.24</c:v>
                </c:pt>
                <c:pt idx="8">
                  <c:v>0.18099999999999999</c:v>
                </c:pt>
                <c:pt idx="9">
                  <c:v>0.53400000000000003</c:v>
                </c:pt>
              </c:numCache>
            </c:numRef>
          </c:val>
          <c:extLst>
            <c:ext xmlns:c16="http://schemas.microsoft.com/office/drawing/2014/chart" uri="{C3380CC4-5D6E-409C-BE32-E72D297353CC}">
              <c16:uniqueId val="{00000001-1258-4921-9CF8-5E794EE582D1}"/>
            </c:ext>
          </c:extLst>
        </c:ser>
        <c:ser>
          <c:idx val="2"/>
          <c:order val="2"/>
          <c:tx>
            <c:strRef>
              <c:f>Sheet1!$D$1</c:f>
              <c:strCache>
                <c:ptCount val="1"/>
                <c:pt idx="0">
                  <c:v>県</c:v>
                </c:pt>
              </c:strCache>
            </c:strRef>
          </c:tx>
          <c:spPr>
            <a:solidFill>
              <a:srgbClr val="99ACFF"/>
            </a:solidFill>
            <a:ln>
              <a:noFill/>
            </a:ln>
            <a:effectLst/>
          </c:spPr>
          <c:invertIfNegative val="0"/>
          <c:cat>
            <c:strRef>
              <c:f>Sheet1!$A$2:$A$11</c:f>
              <c:strCache>
                <c:ptCount val="10"/>
                <c:pt idx="0">
                  <c:v>糖尿病</c:v>
                </c:pt>
                <c:pt idx="1">
                  <c:v>高血圧症</c:v>
                </c:pt>
                <c:pt idx="2">
                  <c:v>脂質異常症</c:v>
                </c:pt>
                <c:pt idx="3">
                  <c:v>心臓病</c:v>
                </c:pt>
                <c:pt idx="4">
                  <c:v>脳血管</c:v>
                </c:pt>
                <c:pt idx="5">
                  <c:v>がん</c:v>
                </c:pt>
                <c:pt idx="6">
                  <c:v>精神疾患</c:v>
                </c:pt>
                <c:pt idx="7">
                  <c:v>（再掲）認知症</c:v>
                </c:pt>
                <c:pt idx="8">
                  <c:v>アルツハイマー病</c:v>
                </c:pt>
                <c:pt idx="9">
                  <c:v>筋・骨格</c:v>
                </c:pt>
              </c:strCache>
            </c:strRef>
          </c:cat>
          <c:val>
            <c:numRef>
              <c:f>Sheet1!$D$2:$D$11</c:f>
              <c:numCache>
                <c:formatCode>0.0%</c:formatCode>
                <c:ptCount val="10"/>
                <c:pt idx="0">
                  <c:v>0.23699999999999999</c:v>
                </c:pt>
                <c:pt idx="1">
                  <c:v>0.50900000000000001</c:v>
                </c:pt>
                <c:pt idx="2">
                  <c:v>0.30599999999999999</c:v>
                </c:pt>
                <c:pt idx="3">
                  <c:v>0.57499999999999996</c:v>
                </c:pt>
                <c:pt idx="4">
                  <c:v>0.21299999999999999</c:v>
                </c:pt>
                <c:pt idx="5">
                  <c:v>0.123</c:v>
                </c:pt>
                <c:pt idx="6">
                  <c:v>0.33700000000000002</c:v>
                </c:pt>
                <c:pt idx="7">
                  <c:v>0.21099999999999999</c:v>
                </c:pt>
                <c:pt idx="8">
                  <c:v>0.156</c:v>
                </c:pt>
                <c:pt idx="9">
                  <c:v>0.504</c:v>
                </c:pt>
              </c:numCache>
            </c:numRef>
          </c:val>
          <c:extLst>
            <c:ext xmlns:c16="http://schemas.microsoft.com/office/drawing/2014/chart" uri="{C3380CC4-5D6E-409C-BE32-E72D297353CC}">
              <c16:uniqueId val="{00000002-1258-4921-9CF8-5E794EE582D1}"/>
            </c:ext>
          </c:extLst>
        </c:ser>
        <c:ser>
          <c:idx val="3"/>
          <c:order val="3"/>
          <c:tx>
            <c:strRef>
              <c:f>Sheet1!$E$1</c:f>
              <c:strCache>
                <c:ptCount val="1"/>
                <c:pt idx="0">
                  <c:v>同規模</c:v>
                </c:pt>
              </c:strCache>
            </c:strRef>
          </c:tx>
          <c:spPr>
            <a:solidFill>
              <a:srgbClr val="CCD6FF"/>
            </a:solidFill>
            <a:ln>
              <a:noFill/>
            </a:ln>
            <a:effectLst/>
          </c:spPr>
          <c:invertIfNegative val="0"/>
          <c:cat>
            <c:strRef>
              <c:f>Sheet1!$A$2:$A$11</c:f>
              <c:strCache>
                <c:ptCount val="10"/>
                <c:pt idx="0">
                  <c:v>糖尿病</c:v>
                </c:pt>
                <c:pt idx="1">
                  <c:v>高血圧症</c:v>
                </c:pt>
                <c:pt idx="2">
                  <c:v>脂質異常症</c:v>
                </c:pt>
                <c:pt idx="3">
                  <c:v>心臓病</c:v>
                </c:pt>
                <c:pt idx="4">
                  <c:v>脳血管</c:v>
                </c:pt>
                <c:pt idx="5">
                  <c:v>がん</c:v>
                </c:pt>
                <c:pt idx="6">
                  <c:v>精神疾患</c:v>
                </c:pt>
                <c:pt idx="7">
                  <c:v>（再掲）認知症</c:v>
                </c:pt>
                <c:pt idx="8">
                  <c:v>アルツハイマー病</c:v>
                </c:pt>
                <c:pt idx="9">
                  <c:v>筋・骨格</c:v>
                </c:pt>
              </c:strCache>
            </c:strRef>
          </c:cat>
          <c:val>
            <c:numRef>
              <c:f>Sheet1!$E$2:$E$11</c:f>
              <c:numCache>
                <c:formatCode>0.0%</c:formatCode>
                <c:ptCount val="10"/>
                <c:pt idx="0">
                  <c:v>0.24199999999999999</c:v>
                </c:pt>
                <c:pt idx="1">
                  <c:v>0.53800000000000003</c:v>
                </c:pt>
                <c:pt idx="2">
                  <c:v>0.318</c:v>
                </c:pt>
                <c:pt idx="3">
                  <c:v>0.60799999999999998</c:v>
                </c:pt>
                <c:pt idx="4">
                  <c:v>0.23100000000000001</c:v>
                </c:pt>
                <c:pt idx="5">
                  <c:v>0.113</c:v>
                </c:pt>
                <c:pt idx="6">
                  <c:v>0.37</c:v>
                </c:pt>
                <c:pt idx="7">
                  <c:v>0.24399999999999999</c:v>
                </c:pt>
                <c:pt idx="8">
                  <c:v>0.185</c:v>
                </c:pt>
                <c:pt idx="9">
                  <c:v>0.53100000000000003</c:v>
                </c:pt>
              </c:numCache>
            </c:numRef>
          </c:val>
          <c:extLst>
            <c:ext xmlns:c16="http://schemas.microsoft.com/office/drawing/2014/chart" uri="{C3380CC4-5D6E-409C-BE32-E72D297353CC}">
              <c16:uniqueId val="{00000003-1258-4921-9CF8-5E794EE582D1}"/>
            </c:ext>
          </c:extLst>
        </c:ser>
        <c:dLbls>
          <c:showLegendKey val="0"/>
          <c:showVal val="0"/>
          <c:showCatName val="0"/>
          <c:showSerName val="0"/>
          <c:showPercent val="0"/>
          <c:showBubbleSize val="0"/>
        </c:dLbls>
        <c:gapWidth val="219"/>
        <c:axId val="1"/>
        <c:axId val="2"/>
      </c:bar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1800000" spcFirstLastPara="1" vertOverflow="ellipsis" horzOverflow="overflow"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numFmt formatCode="0.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2"/>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4">
    <c:autoUpdate val="0"/>
  </c:externalData>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八街市</c:v>
                </c:pt>
              </c:strCache>
            </c:strRef>
          </c:tx>
          <c:spPr>
            <a:solidFill>
              <a:srgbClr val="FF7463"/>
            </a:solidFill>
            <a:ln>
              <a:noFill/>
            </a:ln>
            <a:effectLst/>
          </c:spPr>
          <c:invertIfNegative val="0"/>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Sheet1!$A$2:$A$16</c:f>
              <c:strCache>
                <c:ptCount val="15"/>
                <c:pt idx="0">
                  <c:v>心不全</c:v>
                </c:pt>
                <c:pt idx="1">
                  <c:v>老衰</c:v>
                </c:pt>
                <c:pt idx="2">
                  <c:v>脳血管疾患</c:v>
                </c:pt>
                <c:pt idx="3">
                  <c:v>肺炎</c:v>
                </c:pt>
                <c:pt idx="4">
                  <c:v>大腸の悪性新生物</c:v>
                </c:pt>
                <c:pt idx="5">
                  <c:v>気管、気管支及び肺の悪性新生物</c:v>
                </c:pt>
                <c:pt idx="6">
                  <c:v>胃の悪性新生物</c:v>
                </c:pt>
                <c:pt idx="7">
                  <c:v>膵の悪性新生物</c:v>
                </c:pt>
                <c:pt idx="8">
                  <c:v>虚血性心疾患</c:v>
                </c:pt>
                <c:pt idx="9">
                  <c:v>不整脈及び伝導障害</c:v>
                </c:pt>
                <c:pt idx="10">
                  <c:v>肝疾患</c:v>
                </c:pt>
                <c:pt idx="11">
                  <c:v>自殺</c:v>
                </c:pt>
                <c:pt idx="12">
                  <c:v>腎不全</c:v>
                </c:pt>
                <c:pt idx="13">
                  <c:v>胆のう及びその他の胆道の悪性新生物</c:v>
                </c:pt>
                <c:pt idx="14">
                  <c:v>慢性閉塞性肺疾患</c:v>
                </c:pt>
              </c:strCache>
            </c:strRef>
          </c:cat>
          <c:val>
            <c:numRef>
              <c:f>Sheet1!$B$2:$B$16</c:f>
              <c:numCache>
                <c:formatCode>0.0%</c:formatCode>
                <c:ptCount val="15"/>
                <c:pt idx="0">
                  <c:v>0.09</c:v>
                </c:pt>
                <c:pt idx="1">
                  <c:v>0.08</c:v>
                </c:pt>
                <c:pt idx="2">
                  <c:v>7.0999999999999994E-2</c:v>
                </c:pt>
                <c:pt idx="3">
                  <c:v>6.9000000000000006E-2</c:v>
                </c:pt>
                <c:pt idx="4">
                  <c:v>4.4999999999999998E-2</c:v>
                </c:pt>
                <c:pt idx="5">
                  <c:v>4.3999999999999997E-2</c:v>
                </c:pt>
                <c:pt idx="6">
                  <c:v>3.7999999999999999E-2</c:v>
                </c:pt>
                <c:pt idx="7">
                  <c:v>3.4000000000000002E-2</c:v>
                </c:pt>
                <c:pt idx="8">
                  <c:v>2.8000000000000001E-2</c:v>
                </c:pt>
                <c:pt idx="9">
                  <c:v>2.7E-2</c:v>
                </c:pt>
                <c:pt idx="10">
                  <c:v>2.1999999999999999E-2</c:v>
                </c:pt>
                <c:pt idx="11">
                  <c:v>2.1000000000000001E-2</c:v>
                </c:pt>
                <c:pt idx="12">
                  <c:v>1.7999999999999999E-2</c:v>
                </c:pt>
                <c:pt idx="13">
                  <c:v>1.4999999999999999E-2</c:v>
                </c:pt>
                <c:pt idx="14">
                  <c:v>1.4999999999999999E-2</c:v>
                </c:pt>
              </c:numCache>
            </c:numRef>
          </c:val>
          <c:extLst>
            <c:ext xmlns:c16="http://schemas.microsoft.com/office/drawing/2014/chart" uri="{C3380CC4-5D6E-409C-BE32-E72D297353CC}">
              <c16:uniqueId val="{00000000-3060-4509-A90A-57EDEB16EAF7}"/>
            </c:ext>
          </c:extLst>
        </c:ser>
        <c:ser>
          <c:idx val="1"/>
          <c:order val="1"/>
          <c:tx>
            <c:strRef>
              <c:f>Sheet1!$C$1</c:f>
              <c:strCache>
                <c:ptCount val="1"/>
                <c:pt idx="0">
                  <c:v>国</c:v>
                </c:pt>
              </c:strCache>
            </c:strRef>
          </c:tx>
          <c:spPr>
            <a:solidFill>
              <a:srgbClr val="5575FF"/>
            </a:solidFill>
            <a:ln>
              <a:noFill/>
            </a:ln>
            <a:effectLst/>
          </c:spPr>
          <c:invertIfNegative val="0"/>
          <c:cat>
            <c:strRef>
              <c:f>Sheet1!$A$2:$A$16</c:f>
              <c:strCache>
                <c:ptCount val="15"/>
                <c:pt idx="0">
                  <c:v>心不全</c:v>
                </c:pt>
                <c:pt idx="1">
                  <c:v>老衰</c:v>
                </c:pt>
                <c:pt idx="2">
                  <c:v>脳血管疾患</c:v>
                </c:pt>
                <c:pt idx="3">
                  <c:v>肺炎</c:v>
                </c:pt>
                <c:pt idx="4">
                  <c:v>大腸の悪性新生物</c:v>
                </c:pt>
                <c:pt idx="5">
                  <c:v>気管、気管支及び肺の悪性新生物</c:v>
                </c:pt>
                <c:pt idx="6">
                  <c:v>胃の悪性新生物</c:v>
                </c:pt>
                <c:pt idx="7">
                  <c:v>膵の悪性新生物</c:v>
                </c:pt>
                <c:pt idx="8">
                  <c:v>虚血性心疾患</c:v>
                </c:pt>
                <c:pt idx="9">
                  <c:v>不整脈及び伝導障害</c:v>
                </c:pt>
                <c:pt idx="10">
                  <c:v>肝疾患</c:v>
                </c:pt>
                <c:pt idx="11">
                  <c:v>自殺</c:v>
                </c:pt>
                <c:pt idx="12">
                  <c:v>腎不全</c:v>
                </c:pt>
                <c:pt idx="13">
                  <c:v>胆のう及びその他の胆道の悪性新生物</c:v>
                </c:pt>
                <c:pt idx="14">
                  <c:v>慢性閉塞性肺疾患</c:v>
                </c:pt>
              </c:strCache>
            </c:strRef>
          </c:cat>
          <c:val>
            <c:numRef>
              <c:f>Sheet1!$C$2:$C$16</c:f>
              <c:numCache>
                <c:formatCode>0.0%</c:formatCode>
                <c:ptCount val="15"/>
                <c:pt idx="0">
                  <c:v>6.2E-2</c:v>
                </c:pt>
                <c:pt idx="1">
                  <c:v>0.106</c:v>
                </c:pt>
                <c:pt idx="2">
                  <c:v>7.2999999999999995E-2</c:v>
                </c:pt>
                <c:pt idx="3">
                  <c:v>5.0999999999999997E-2</c:v>
                </c:pt>
                <c:pt idx="4">
                  <c:v>3.5999999999999997E-2</c:v>
                </c:pt>
                <c:pt idx="5">
                  <c:v>5.2999999999999999E-2</c:v>
                </c:pt>
                <c:pt idx="6">
                  <c:v>2.9000000000000001E-2</c:v>
                </c:pt>
                <c:pt idx="7">
                  <c:v>2.7E-2</c:v>
                </c:pt>
                <c:pt idx="8">
                  <c:v>4.7E-2</c:v>
                </c:pt>
                <c:pt idx="9">
                  <c:v>2.3E-2</c:v>
                </c:pt>
                <c:pt idx="10">
                  <c:v>1.2999999999999999E-2</c:v>
                </c:pt>
                <c:pt idx="11">
                  <c:v>1.4E-2</c:v>
                </c:pt>
                <c:pt idx="12">
                  <c:v>0.02</c:v>
                </c:pt>
                <c:pt idx="13">
                  <c:v>1.2999999999999999E-2</c:v>
                </c:pt>
                <c:pt idx="14">
                  <c:v>1.0999999999999999E-2</c:v>
                </c:pt>
              </c:numCache>
            </c:numRef>
          </c:val>
          <c:extLst>
            <c:ext xmlns:c16="http://schemas.microsoft.com/office/drawing/2014/chart" uri="{C3380CC4-5D6E-409C-BE32-E72D297353CC}">
              <c16:uniqueId val="{00000001-3060-4509-A90A-57EDEB16EAF7}"/>
            </c:ext>
          </c:extLst>
        </c:ser>
        <c:ser>
          <c:idx val="2"/>
          <c:order val="2"/>
          <c:tx>
            <c:strRef>
              <c:f>Sheet1!$D$1</c:f>
              <c:strCache>
                <c:ptCount val="1"/>
                <c:pt idx="0">
                  <c:v>県</c:v>
                </c:pt>
              </c:strCache>
            </c:strRef>
          </c:tx>
          <c:spPr>
            <a:solidFill>
              <a:srgbClr val="99ACFF"/>
            </a:solidFill>
            <a:ln>
              <a:noFill/>
            </a:ln>
            <a:effectLst/>
          </c:spPr>
          <c:invertIfNegative val="0"/>
          <c:cat>
            <c:strRef>
              <c:f>Sheet1!$A$2:$A$16</c:f>
              <c:strCache>
                <c:ptCount val="15"/>
                <c:pt idx="0">
                  <c:v>心不全</c:v>
                </c:pt>
                <c:pt idx="1">
                  <c:v>老衰</c:v>
                </c:pt>
                <c:pt idx="2">
                  <c:v>脳血管疾患</c:v>
                </c:pt>
                <c:pt idx="3">
                  <c:v>肺炎</c:v>
                </c:pt>
                <c:pt idx="4">
                  <c:v>大腸の悪性新生物</c:v>
                </c:pt>
                <c:pt idx="5">
                  <c:v>気管、気管支及び肺の悪性新生物</c:v>
                </c:pt>
                <c:pt idx="6">
                  <c:v>胃の悪性新生物</c:v>
                </c:pt>
                <c:pt idx="7">
                  <c:v>膵の悪性新生物</c:v>
                </c:pt>
                <c:pt idx="8">
                  <c:v>虚血性心疾患</c:v>
                </c:pt>
                <c:pt idx="9">
                  <c:v>不整脈及び伝導障害</c:v>
                </c:pt>
                <c:pt idx="10">
                  <c:v>肝疾患</c:v>
                </c:pt>
                <c:pt idx="11">
                  <c:v>自殺</c:v>
                </c:pt>
                <c:pt idx="12">
                  <c:v>腎不全</c:v>
                </c:pt>
                <c:pt idx="13">
                  <c:v>胆のう及びその他の胆道の悪性新生物</c:v>
                </c:pt>
                <c:pt idx="14">
                  <c:v>慢性閉塞性肺疾患</c:v>
                </c:pt>
              </c:strCache>
            </c:strRef>
          </c:cat>
          <c:val>
            <c:numRef>
              <c:f>Sheet1!$D$2:$D$16</c:f>
              <c:numCache>
                <c:formatCode>0.0%</c:formatCode>
                <c:ptCount val="15"/>
                <c:pt idx="0">
                  <c:v>6.0999999999999999E-2</c:v>
                </c:pt>
                <c:pt idx="1">
                  <c:v>9.8000000000000004E-2</c:v>
                </c:pt>
                <c:pt idx="2">
                  <c:v>7.1999999999999995E-2</c:v>
                </c:pt>
                <c:pt idx="3">
                  <c:v>5.6000000000000001E-2</c:v>
                </c:pt>
                <c:pt idx="4">
                  <c:v>3.5999999999999997E-2</c:v>
                </c:pt>
                <c:pt idx="5">
                  <c:v>5.5E-2</c:v>
                </c:pt>
                <c:pt idx="6">
                  <c:v>0.03</c:v>
                </c:pt>
                <c:pt idx="7">
                  <c:v>2.8000000000000001E-2</c:v>
                </c:pt>
                <c:pt idx="8">
                  <c:v>4.1000000000000002E-2</c:v>
                </c:pt>
                <c:pt idx="9">
                  <c:v>3.6999999999999998E-2</c:v>
                </c:pt>
                <c:pt idx="10">
                  <c:v>1.2E-2</c:v>
                </c:pt>
                <c:pt idx="11">
                  <c:v>1.4999999999999999E-2</c:v>
                </c:pt>
                <c:pt idx="12">
                  <c:v>1.7000000000000001E-2</c:v>
                </c:pt>
                <c:pt idx="13">
                  <c:v>1.2E-2</c:v>
                </c:pt>
                <c:pt idx="14">
                  <c:v>1.0999999999999999E-2</c:v>
                </c:pt>
              </c:numCache>
            </c:numRef>
          </c:val>
          <c:extLst>
            <c:ext xmlns:c16="http://schemas.microsoft.com/office/drawing/2014/chart" uri="{C3380CC4-5D6E-409C-BE32-E72D297353CC}">
              <c16:uniqueId val="{00000002-3060-4509-A90A-57EDEB16EAF7}"/>
            </c:ext>
          </c:extLst>
        </c:ser>
        <c:dLbls>
          <c:showLegendKey val="0"/>
          <c:showVal val="0"/>
          <c:showCatName val="0"/>
          <c:showSerName val="0"/>
          <c:showPercent val="0"/>
          <c:showBubbleSize val="0"/>
        </c:dLbls>
        <c:gapWidth val="219"/>
        <c:axId val="1"/>
        <c:axId val="2"/>
      </c:bar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numFmt formatCode="0.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majorUnit val="0.05"/>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4">
    <c:autoUpdate val="0"/>
  </c:externalData>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91506270049576"/>
          <c:y val="0.1226984126984127"/>
          <c:w val="0.78339895013123362"/>
          <c:h val="0.66108017747781522"/>
        </c:manualLayout>
      </c:layout>
      <c:barChart>
        <c:barDir val="col"/>
        <c:grouping val="clustered"/>
        <c:varyColors val="0"/>
        <c:ser>
          <c:idx val="0"/>
          <c:order val="0"/>
          <c:tx>
            <c:strRef>
              <c:f>Sheet1!$B$1</c:f>
              <c:strCache>
                <c:ptCount val="1"/>
                <c:pt idx="0">
                  <c:v>死亡者数</c:v>
                </c:pt>
              </c:strCache>
            </c:strRef>
          </c:tx>
          <c:spPr>
            <a:solidFill>
              <a:srgbClr val="5575FF"/>
            </a:solidFill>
            <a:ln>
              <a:noFill/>
            </a:ln>
            <a:effectLst/>
          </c:spPr>
          <c:invertIfNegative val="0"/>
          <c:dPt>
            <c:idx val="13"/>
            <c:invertIfNegative val="0"/>
            <c:bubble3D val="0"/>
            <c:spPr>
              <a:solidFill>
                <a:srgbClr val="FF7463"/>
              </a:solidFill>
              <a:ln>
                <a:noFill/>
              </a:ln>
              <a:effectLst/>
            </c:spPr>
            <c:extLst>
              <c:ext xmlns:c16="http://schemas.microsoft.com/office/drawing/2014/chart" uri="{C3380CC4-5D6E-409C-BE32-E72D297353CC}">
                <c16:uniqueId val="{00000001-2186-46BB-97C8-4012A91FBCE8}"/>
              </c:ext>
            </c:extLst>
          </c:dPt>
          <c:dPt>
            <c:idx val="14"/>
            <c:invertIfNegative val="0"/>
            <c:bubble3D val="0"/>
            <c:spPr>
              <a:solidFill>
                <a:srgbClr val="FF7463"/>
              </a:solidFill>
              <a:ln>
                <a:noFill/>
              </a:ln>
              <a:effectLst/>
            </c:spPr>
            <c:extLst>
              <c:ext xmlns:c16="http://schemas.microsoft.com/office/drawing/2014/chart" uri="{C3380CC4-5D6E-409C-BE32-E72D297353CC}">
                <c16:uniqueId val="{00000003-2186-46BB-97C8-4012A91FBCE8}"/>
              </c:ext>
            </c:extLst>
          </c:dPt>
          <c:dPt>
            <c:idx val="15"/>
            <c:invertIfNegative val="0"/>
            <c:bubble3D val="0"/>
            <c:spPr>
              <a:solidFill>
                <a:srgbClr val="FF7463"/>
              </a:solidFill>
              <a:ln>
                <a:noFill/>
              </a:ln>
              <a:effectLst/>
            </c:spPr>
            <c:extLst>
              <c:ext xmlns:c16="http://schemas.microsoft.com/office/drawing/2014/chart" uri="{C3380CC4-5D6E-409C-BE32-E72D297353CC}">
                <c16:uniqueId val="{00000005-2186-46BB-97C8-4012A91FBCE8}"/>
              </c:ext>
            </c:extLst>
          </c:dPt>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脳血管疾患</c:v>
                </c:pt>
                <c:pt idx="1">
                  <c:v>肺炎</c:v>
                </c:pt>
                <c:pt idx="2">
                  <c:v>心不全</c:v>
                </c:pt>
                <c:pt idx="3">
                  <c:v>気管、気管支及び肺の悪性新生物</c:v>
                </c:pt>
                <c:pt idx="4">
                  <c:v>胃の悪性新生物</c:v>
                </c:pt>
                <c:pt idx="5">
                  <c:v>大腸の悪性新生物</c:v>
                </c:pt>
                <c:pt idx="6">
                  <c:v>不慮の事故</c:v>
                </c:pt>
                <c:pt idx="7">
                  <c:v>肝及び肝内胆管の悪性新生物</c:v>
                </c:pt>
                <c:pt idx="8">
                  <c:v>急性心筋梗塞</c:v>
                </c:pt>
                <c:pt idx="9">
                  <c:v>自殺</c:v>
                </c:pt>
                <c:pt idx="10">
                  <c:v>肝疾患</c:v>
                </c:pt>
                <c:pt idx="11">
                  <c:v>腎不全</c:v>
                </c:pt>
                <c:pt idx="12">
                  <c:v>老衰</c:v>
                </c:pt>
                <c:pt idx="13">
                  <c:v>がん</c:v>
                </c:pt>
                <c:pt idx="14">
                  <c:v>心疾患</c:v>
                </c:pt>
                <c:pt idx="15">
                  <c:v>全死因</c:v>
                </c:pt>
              </c:strCache>
            </c:strRef>
          </c:cat>
          <c:val>
            <c:numRef>
              <c:f>Sheet1!$B$2:$B$17</c:f>
              <c:numCache>
                <c:formatCode>#,##0_);[Red]\(#,##0\)</c:formatCode>
                <c:ptCount val="16"/>
                <c:pt idx="0">
                  <c:v>195</c:v>
                </c:pt>
                <c:pt idx="1">
                  <c:v>186</c:v>
                </c:pt>
                <c:pt idx="2">
                  <c:v>169</c:v>
                </c:pt>
                <c:pt idx="3">
                  <c:v>145</c:v>
                </c:pt>
                <c:pt idx="4">
                  <c:v>104</c:v>
                </c:pt>
                <c:pt idx="5">
                  <c:v>95</c:v>
                </c:pt>
                <c:pt idx="6">
                  <c:v>73</c:v>
                </c:pt>
                <c:pt idx="7">
                  <c:v>50</c:v>
                </c:pt>
                <c:pt idx="8">
                  <c:v>50</c:v>
                </c:pt>
                <c:pt idx="9">
                  <c:v>49</c:v>
                </c:pt>
                <c:pt idx="10">
                  <c:v>33</c:v>
                </c:pt>
                <c:pt idx="11">
                  <c:v>30</c:v>
                </c:pt>
                <c:pt idx="12">
                  <c:v>30</c:v>
                </c:pt>
                <c:pt idx="13">
                  <c:v>644</c:v>
                </c:pt>
                <c:pt idx="14">
                  <c:v>369</c:v>
                </c:pt>
                <c:pt idx="15">
                  <c:v>1968</c:v>
                </c:pt>
              </c:numCache>
            </c:numRef>
          </c:val>
          <c:extLst>
            <c:ext xmlns:c16="http://schemas.microsoft.com/office/drawing/2014/chart" uri="{C3380CC4-5D6E-409C-BE32-E72D297353CC}">
              <c16:uniqueId val="{00000006-2186-46BB-97C8-4012A91FBCE8}"/>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Sheet1!$C$1</c:f>
              <c:strCache>
                <c:ptCount val="1"/>
                <c:pt idx="0">
                  <c:v>標準化死亡比（SMR）</c:v>
                </c:pt>
              </c:strCache>
            </c:strRef>
          </c:tx>
          <c:spPr>
            <a:ln w="25400" cap="rnd">
              <a:solidFill>
                <a:srgbClr val="5575FF"/>
              </a:solidFill>
              <a:round/>
            </a:ln>
            <a:effectLst/>
          </c:spPr>
          <c:marker>
            <c:symbol val="circle"/>
            <c:size val="5"/>
            <c:spPr>
              <a:solidFill>
                <a:srgbClr val="5575FF"/>
              </a:solidFill>
              <a:ln w="9525">
                <a:solidFill>
                  <a:srgbClr val="5575FF"/>
                </a:solidFill>
              </a:ln>
              <a:effectLst/>
            </c:spPr>
          </c:marker>
          <c:dPt>
            <c:idx val="13"/>
            <c:marker>
              <c:spPr>
                <a:solidFill>
                  <a:srgbClr val="FFAA99"/>
                </a:solidFill>
                <a:ln w="9525">
                  <a:solidFill>
                    <a:srgbClr val="FF7463"/>
                  </a:solidFill>
                </a:ln>
                <a:effectLst/>
              </c:spPr>
            </c:marker>
            <c:bubble3D val="0"/>
            <c:spPr>
              <a:ln w="25400" cap="rnd">
                <a:noFill/>
                <a:round/>
              </a:ln>
              <a:effectLst/>
            </c:spPr>
            <c:extLst>
              <c:ext xmlns:c16="http://schemas.microsoft.com/office/drawing/2014/chart" uri="{C3380CC4-5D6E-409C-BE32-E72D297353CC}">
                <c16:uniqueId val="{00000008-2186-46BB-97C8-4012A91FBCE8}"/>
              </c:ext>
            </c:extLst>
          </c:dPt>
          <c:dPt>
            <c:idx val="14"/>
            <c:marker>
              <c:spPr>
                <a:solidFill>
                  <a:srgbClr val="FFAA99"/>
                </a:solidFill>
                <a:ln w="9525">
                  <a:solidFill>
                    <a:srgbClr val="FFAA99"/>
                  </a:solidFill>
                </a:ln>
                <a:effectLst/>
              </c:spPr>
            </c:marker>
            <c:bubble3D val="0"/>
            <c:spPr>
              <a:ln w="25400" cap="rnd">
                <a:solidFill>
                  <a:srgbClr val="FFAA99"/>
                </a:solidFill>
                <a:round/>
              </a:ln>
              <a:effectLst/>
            </c:spPr>
            <c:extLst>
              <c:ext xmlns:c16="http://schemas.microsoft.com/office/drawing/2014/chart" uri="{C3380CC4-5D6E-409C-BE32-E72D297353CC}">
                <c16:uniqueId val="{0000000A-2186-46BB-97C8-4012A91FBCE8}"/>
              </c:ext>
            </c:extLst>
          </c:dPt>
          <c:dPt>
            <c:idx val="15"/>
            <c:marker>
              <c:spPr>
                <a:solidFill>
                  <a:srgbClr val="FFAA99"/>
                </a:solidFill>
                <a:ln w="9525">
                  <a:solidFill>
                    <a:srgbClr val="FFAA99"/>
                  </a:solidFill>
                </a:ln>
                <a:effectLst/>
              </c:spPr>
            </c:marker>
            <c:bubble3D val="0"/>
            <c:spPr>
              <a:ln w="25400" cap="rnd">
                <a:solidFill>
                  <a:srgbClr val="FFAA99"/>
                </a:solidFill>
                <a:round/>
              </a:ln>
              <a:effectLst/>
            </c:spPr>
            <c:extLst>
              <c:ext xmlns:c16="http://schemas.microsoft.com/office/drawing/2014/chart" uri="{C3380CC4-5D6E-409C-BE32-E72D297353CC}">
                <c16:uniqueId val="{0000000C-2186-46BB-97C8-4012A91FBCE8}"/>
              </c:ext>
            </c:extLst>
          </c:dPt>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脳血管疾患</c:v>
                </c:pt>
                <c:pt idx="1">
                  <c:v>肺炎</c:v>
                </c:pt>
                <c:pt idx="2">
                  <c:v>心不全</c:v>
                </c:pt>
                <c:pt idx="3">
                  <c:v>気管、気管支及び肺の悪性新生物</c:v>
                </c:pt>
                <c:pt idx="4">
                  <c:v>胃の悪性新生物</c:v>
                </c:pt>
                <c:pt idx="5">
                  <c:v>大腸の悪性新生物</c:v>
                </c:pt>
                <c:pt idx="6">
                  <c:v>不慮の事故</c:v>
                </c:pt>
                <c:pt idx="7">
                  <c:v>肝及び肝内胆管の悪性新生物</c:v>
                </c:pt>
                <c:pt idx="8">
                  <c:v>急性心筋梗塞</c:v>
                </c:pt>
                <c:pt idx="9">
                  <c:v>自殺</c:v>
                </c:pt>
                <c:pt idx="10">
                  <c:v>肝疾患</c:v>
                </c:pt>
                <c:pt idx="11">
                  <c:v>腎不全</c:v>
                </c:pt>
                <c:pt idx="12">
                  <c:v>老衰</c:v>
                </c:pt>
                <c:pt idx="13">
                  <c:v>がん</c:v>
                </c:pt>
                <c:pt idx="14">
                  <c:v>心疾患</c:v>
                </c:pt>
                <c:pt idx="15">
                  <c:v>全死因</c:v>
                </c:pt>
              </c:strCache>
            </c:strRef>
          </c:cat>
          <c:val>
            <c:numRef>
              <c:f>Sheet1!$C$2:$C$17</c:f>
              <c:numCache>
                <c:formatCode>0.0_ </c:formatCode>
                <c:ptCount val="16"/>
                <c:pt idx="0">
                  <c:v>137</c:v>
                </c:pt>
                <c:pt idx="1">
                  <c:v>127.5</c:v>
                </c:pt>
                <c:pt idx="2">
                  <c:v>257.8</c:v>
                </c:pt>
                <c:pt idx="3">
                  <c:v>98.6</c:v>
                </c:pt>
                <c:pt idx="4">
                  <c:v>116.8</c:v>
                </c:pt>
                <c:pt idx="5">
                  <c:v>115.4</c:v>
                </c:pt>
                <c:pt idx="6">
                  <c:v>114.2</c:v>
                </c:pt>
                <c:pt idx="7">
                  <c:v>94.5</c:v>
                </c:pt>
                <c:pt idx="8">
                  <c:v>90.9</c:v>
                </c:pt>
                <c:pt idx="9">
                  <c:v>102.8</c:v>
                </c:pt>
                <c:pt idx="10">
                  <c:v>97.4</c:v>
                </c:pt>
                <c:pt idx="11">
                  <c:v>99.2</c:v>
                </c:pt>
                <c:pt idx="12">
                  <c:v>75.900000000000006</c:v>
                </c:pt>
                <c:pt idx="13">
                  <c:v>105.6</c:v>
                </c:pt>
                <c:pt idx="14">
                  <c:v>153.19999999999999</c:v>
                </c:pt>
                <c:pt idx="15">
                  <c:v>115.2</c:v>
                </c:pt>
              </c:numCache>
            </c:numRef>
          </c:val>
          <c:smooth val="0"/>
          <c:extLst>
            <c:ext xmlns:c16="http://schemas.microsoft.com/office/drawing/2014/chart" uri="{C3380CC4-5D6E-409C-BE32-E72D297353CC}">
              <c16:uniqueId val="{0000000D-2186-46BB-97C8-4012A91FBCE8}"/>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死亡者数（人）</a:t>
                </a:r>
              </a:p>
            </c:rich>
          </c:tx>
          <c:layout>
            <c:manualLayout>
              <c:xMode val="edge"/>
              <c:yMode val="edge"/>
              <c:x val="9.2592499061414629E-3"/>
              <c:y val="0.30442873698247397"/>
            </c:manualLayout>
          </c:layout>
          <c:overlay val="0"/>
          <c:spPr>
            <a:noFill/>
            <a:ln>
              <a:noFill/>
            </a:ln>
            <a:effectLst/>
          </c:spPr>
        </c:title>
        <c:numFmt formatCode="#,##0_);[Red]\(#,##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標準化死亡比（ＳＭＲ）</a:t>
                </a:r>
              </a:p>
            </c:rich>
          </c:tx>
          <c:overlay val="0"/>
          <c:spPr>
            <a:noFill/>
            <a:ln>
              <a:noFill/>
            </a:ln>
            <a:effectLst/>
          </c:spPr>
        </c:title>
        <c:numFmt formatCode="0_ " sourceLinked="0"/>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91506270049576"/>
          <c:y val="0.1226984126984127"/>
          <c:w val="0.78339895013123362"/>
          <c:h val="0.66108017747781522"/>
        </c:manualLayout>
      </c:layout>
      <c:barChart>
        <c:barDir val="col"/>
        <c:grouping val="clustered"/>
        <c:varyColors val="0"/>
        <c:ser>
          <c:idx val="0"/>
          <c:order val="0"/>
          <c:tx>
            <c:strRef>
              <c:f>Sheet1!$B$1</c:f>
              <c:strCache>
                <c:ptCount val="1"/>
                <c:pt idx="0">
                  <c:v>死亡者数</c:v>
                </c:pt>
              </c:strCache>
            </c:strRef>
          </c:tx>
          <c:spPr>
            <a:solidFill>
              <a:srgbClr val="FF7463"/>
            </a:solidFill>
            <a:ln>
              <a:noFill/>
            </a:ln>
            <a:effectLst/>
          </c:spPr>
          <c:invertIfNegative val="0"/>
          <c:dPt>
            <c:idx val="13"/>
            <c:invertIfNegative val="0"/>
            <c:bubble3D val="0"/>
            <c:extLst>
              <c:ext xmlns:c16="http://schemas.microsoft.com/office/drawing/2014/chart" uri="{C3380CC4-5D6E-409C-BE32-E72D297353CC}">
                <c16:uniqueId val="{00000001-FED3-4571-B6FF-D179EB7317C4}"/>
              </c:ext>
            </c:extLst>
          </c:dPt>
          <c:dPt>
            <c:idx val="14"/>
            <c:invertIfNegative val="0"/>
            <c:bubble3D val="0"/>
            <c:extLst>
              <c:ext xmlns:c16="http://schemas.microsoft.com/office/drawing/2014/chart" uri="{C3380CC4-5D6E-409C-BE32-E72D297353CC}">
                <c16:uniqueId val="{00000003-FED3-4571-B6FF-D179EB7317C4}"/>
              </c:ext>
            </c:extLst>
          </c:dPt>
          <c:dPt>
            <c:idx val="15"/>
            <c:invertIfNegative val="0"/>
            <c:bubble3D val="0"/>
            <c:extLst>
              <c:ext xmlns:c16="http://schemas.microsoft.com/office/drawing/2014/chart" uri="{C3380CC4-5D6E-409C-BE32-E72D297353CC}">
                <c16:uniqueId val="{00000005-FED3-4571-B6FF-D179EB7317C4}"/>
              </c:ext>
            </c:extLst>
          </c:dPt>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心不全</c:v>
                </c:pt>
                <c:pt idx="1">
                  <c:v>脳血管疾患</c:v>
                </c:pt>
                <c:pt idx="2">
                  <c:v>肺炎</c:v>
                </c:pt>
                <c:pt idx="3">
                  <c:v>老衰</c:v>
                </c:pt>
                <c:pt idx="4">
                  <c:v>大腸の悪性新生物</c:v>
                </c:pt>
                <c:pt idx="5">
                  <c:v>気管、気管支及び肺の悪性新生物</c:v>
                </c:pt>
                <c:pt idx="6">
                  <c:v>胃の悪性新生物</c:v>
                </c:pt>
                <c:pt idx="7">
                  <c:v>不慮の事故</c:v>
                </c:pt>
                <c:pt idx="8">
                  <c:v>腎不全</c:v>
                </c:pt>
                <c:pt idx="9">
                  <c:v>急性心筋梗塞</c:v>
                </c:pt>
                <c:pt idx="10">
                  <c:v>肝及び肝内胆管の悪性新生物</c:v>
                </c:pt>
                <c:pt idx="11">
                  <c:v>自殺</c:v>
                </c:pt>
                <c:pt idx="12">
                  <c:v>肝疾患</c:v>
                </c:pt>
                <c:pt idx="13">
                  <c:v>がん</c:v>
                </c:pt>
                <c:pt idx="14">
                  <c:v>心疾患</c:v>
                </c:pt>
                <c:pt idx="15">
                  <c:v>全死因</c:v>
                </c:pt>
              </c:strCache>
            </c:strRef>
          </c:cat>
          <c:val>
            <c:numRef>
              <c:f>Sheet1!$B$2:$B$17</c:f>
              <c:numCache>
                <c:formatCode>#,##0_);[Red]\(#,##0\)</c:formatCode>
                <c:ptCount val="16"/>
                <c:pt idx="0">
                  <c:v>187</c:v>
                </c:pt>
                <c:pt idx="1">
                  <c:v>180</c:v>
                </c:pt>
                <c:pt idx="2">
                  <c:v>178</c:v>
                </c:pt>
                <c:pt idx="3">
                  <c:v>100</c:v>
                </c:pt>
                <c:pt idx="4">
                  <c:v>63</c:v>
                </c:pt>
                <c:pt idx="5">
                  <c:v>51</c:v>
                </c:pt>
                <c:pt idx="6">
                  <c:v>48</c:v>
                </c:pt>
                <c:pt idx="7">
                  <c:v>43</c:v>
                </c:pt>
                <c:pt idx="8">
                  <c:v>30</c:v>
                </c:pt>
                <c:pt idx="9">
                  <c:v>28</c:v>
                </c:pt>
                <c:pt idx="10">
                  <c:v>23</c:v>
                </c:pt>
                <c:pt idx="11">
                  <c:v>22</c:v>
                </c:pt>
                <c:pt idx="12">
                  <c:v>19</c:v>
                </c:pt>
                <c:pt idx="13">
                  <c:v>414</c:v>
                </c:pt>
                <c:pt idx="14">
                  <c:v>323</c:v>
                </c:pt>
                <c:pt idx="15">
                  <c:v>1686</c:v>
                </c:pt>
              </c:numCache>
            </c:numRef>
          </c:val>
          <c:extLst>
            <c:ext xmlns:c16="http://schemas.microsoft.com/office/drawing/2014/chart" uri="{C3380CC4-5D6E-409C-BE32-E72D297353CC}">
              <c16:uniqueId val="{00000006-FED3-4571-B6FF-D179EB7317C4}"/>
            </c:ext>
          </c:extLst>
        </c:ser>
        <c:dLbls>
          <c:showLegendKey val="0"/>
          <c:showVal val="0"/>
          <c:showCatName val="0"/>
          <c:showSerName val="0"/>
          <c:showPercent val="0"/>
          <c:showBubbleSize val="0"/>
        </c:dLbls>
        <c:gapWidth val="219"/>
        <c:axId val="1"/>
        <c:axId val="2"/>
      </c:barChart>
      <c:lineChart>
        <c:grouping val="standard"/>
        <c:varyColors val="0"/>
        <c:ser>
          <c:idx val="1"/>
          <c:order val="1"/>
          <c:tx>
            <c:strRef>
              <c:f>Sheet1!$C$1</c:f>
              <c:strCache>
                <c:ptCount val="1"/>
                <c:pt idx="0">
                  <c:v>標準化死亡比（SMR）</c:v>
                </c:pt>
              </c:strCache>
            </c:strRef>
          </c:tx>
          <c:spPr>
            <a:ln w="25400" cap="rnd">
              <a:solidFill>
                <a:srgbClr val="FFAA99"/>
              </a:solidFill>
              <a:round/>
            </a:ln>
            <a:effectLst/>
          </c:spPr>
          <c:marker>
            <c:symbol val="circle"/>
            <c:size val="5"/>
            <c:spPr>
              <a:solidFill>
                <a:srgbClr val="FFAA99"/>
              </a:solidFill>
              <a:ln w="9525">
                <a:solidFill>
                  <a:srgbClr val="FFAA99"/>
                </a:solidFill>
              </a:ln>
              <a:effectLst/>
            </c:spPr>
          </c:marker>
          <c:dPt>
            <c:idx val="13"/>
            <c:bubble3D val="0"/>
            <c:extLst>
              <c:ext xmlns:c16="http://schemas.microsoft.com/office/drawing/2014/chart" uri="{C3380CC4-5D6E-409C-BE32-E72D297353CC}">
                <c16:uniqueId val="{00000008-FED3-4571-B6FF-D179EB7317C4}"/>
              </c:ext>
            </c:extLst>
          </c:dPt>
          <c:dPt>
            <c:idx val="14"/>
            <c:bubble3D val="0"/>
            <c:extLst>
              <c:ext xmlns:c16="http://schemas.microsoft.com/office/drawing/2014/chart" uri="{C3380CC4-5D6E-409C-BE32-E72D297353CC}">
                <c16:uniqueId val="{0000000A-FED3-4571-B6FF-D179EB7317C4}"/>
              </c:ext>
            </c:extLst>
          </c:dPt>
          <c:dPt>
            <c:idx val="15"/>
            <c:bubble3D val="0"/>
            <c:extLst>
              <c:ext xmlns:c16="http://schemas.microsoft.com/office/drawing/2014/chart" uri="{C3380CC4-5D6E-409C-BE32-E72D297353CC}">
                <c16:uniqueId val="{0000000C-FED3-4571-B6FF-D179EB7317C4}"/>
              </c:ext>
            </c:extLst>
          </c:dPt>
          <c:dLbls>
            <c:spPr>
              <a:noFill/>
              <a:ln>
                <a:noFill/>
              </a:ln>
              <a:effectLst/>
            </c:spPr>
            <c:txPr>
              <a:bodyPr rot="0" spcFirstLastPara="1" vertOverflow="ellipsis" horzOverflow="overflow" vert="horz" wrap="square" lIns="38100" tIns="19050" rIns="38100" bIns="19050" anchor="ctr" anchorCtr="1">
                <a:spAutoFit/>
              </a:bodyPr>
              <a:lstStyle/>
              <a:p>
                <a:pPr algn="ctr" rtl="0">
                  <a:defRPr lang="ja-JP" altLang="en-US" sz="5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心不全</c:v>
                </c:pt>
                <c:pt idx="1">
                  <c:v>脳血管疾患</c:v>
                </c:pt>
                <c:pt idx="2">
                  <c:v>肺炎</c:v>
                </c:pt>
                <c:pt idx="3">
                  <c:v>老衰</c:v>
                </c:pt>
                <c:pt idx="4">
                  <c:v>大腸の悪性新生物</c:v>
                </c:pt>
                <c:pt idx="5">
                  <c:v>気管、気管支及び肺の悪性新生物</c:v>
                </c:pt>
                <c:pt idx="6">
                  <c:v>胃の悪性新生物</c:v>
                </c:pt>
                <c:pt idx="7">
                  <c:v>不慮の事故</c:v>
                </c:pt>
                <c:pt idx="8">
                  <c:v>腎不全</c:v>
                </c:pt>
                <c:pt idx="9">
                  <c:v>急性心筋梗塞</c:v>
                </c:pt>
                <c:pt idx="10">
                  <c:v>肝及び肝内胆管の悪性新生物</c:v>
                </c:pt>
                <c:pt idx="11">
                  <c:v>自殺</c:v>
                </c:pt>
                <c:pt idx="12">
                  <c:v>肝疾患</c:v>
                </c:pt>
                <c:pt idx="13">
                  <c:v>がん</c:v>
                </c:pt>
                <c:pt idx="14">
                  <c:v>心疾患</c:v>
                </c:pt>
                <c:pt idx="15">
                  <c:v>全死因</c:v>
                </c:pt>
              </c:strCache>
            </c:strRef>
          </c:cat>
          <c:val>
            <c:numRef>
              <c:f>Sheet1!$C$2:$C$17</c:f>
              <c:numCache>
                <c:formatCode>0.0_ </c:formatCode>
                <c:ptCount val="16"/>
                <c:pt idx="0">
                  <c:v>205</c:v>
                </c:pt>
                <c:pt idx="1">
                  <c:v>142.1</c:v>
                </c:pt>
                <c:pt idx="2">
                  <c:v>165.4</c:v>
                </c:pt>
                <c:pt idx="3">
                  <c:v>91.1</c:v>
                </c:pt>
                <c:pt idx="4">
                  <c:v>107.4</c:v>
                </c:pt>
                <c:pt idx="5">
                  <c:v>100.1</c:v>
                </c:pt>
                <c:pt idx="6">
                  <c:v>113.5</c:v>
                </c:pt>
                <c:pt idx="7">
                  <c:v>105.7</c:v>
                </c:pt>
                <c:pt idx="8">
                  <c:v>101.9</c:v>
                </c:pt>
                <c:pt idx="9">
                  <c:v>84.3</c:v>
                </c:pt>
                <c:pt idx="10">
                  <c:v>95.1</c:v>
                </c:pt>
                <c:pt idx="11">
                  <c:v>109</c:v>
                </c:pt>
                <c:pt idx="12">
                  <c:v>113.7</c:v>
                </c:pt>
                <c:pt idx="13">
                  <c:v>107</c:v>
                </c:pt>
                <c:pt idx="14">
                  <c:v>144.69999999999999</c:v>
                </c:pt>
                <c:pt idx="15">
                  <c:v>125.3</c:v>
                </c:pt>
              </c:numCache>
            </c:numRef>
          </c:val>
          <c:smooth val="0"/>
          <c:extLst>
            <c:ext xmlns:c16="http://schemas.microsoft.com/office/drawing/2014/chart" uri="{C3380CC4-5D6E-409C-BE32-E72D297353CC}">
              <c16:uniqueId val="{0000000D-FED3-4571-B6FF-D179EB7317C4}"/>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死亡者数（人）</a:t>
                </a:r>
              </a:p>
            </c:rich>
          </c:tx>
          <c:layout>
            <c:manualLayout>
              <c:xMode val="edge"/>
              <c:yMode val="edge"/>
              <c:x val="9.2594182622617975E-3"/>
              <c:y val="0.30442873698247397"/>
            </c:manualLayout>
          </c:layout>
          <c:overlay val="0"/>
          <c:spPr>
            <a:noFill/>
            <a:ln>
              <a:noFill/>
            </a:ln>
            <a:effectLst/>
          </c:spPr>
        </c:title>
        <c:numFmt formatCode="#,##0_);[Red]\(#,##0\)" sourceLinked="1"/>
        <c:majorTickMark val="none"/>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spcFirstLastPara="1" vertOverflow="ellipsis" horzOverflow="overflow" vert="eaVert"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標準化死亡比（ＳＭＲ）</a:t>
                </a:r>
              </a:p>
            </c:rich>
          </c:tx>
          <c:overlay val="0"/>
          <c:spPr>
            <a:noFill/>
            <a:ln>
              <a:noFill/>
            </a:ln>
            <a:effectLst/>
          </c:spPr>
        </c:title>
        <c:numFmt formatCode="0_ " sourceLinked="0"/>
        <c:majorTickMark val="out"/>
        <c:minorTickMark val="none"/>
        <c:tickLblPos val="nextTo"/>
        <c:spPr>
          <a:noFill/>
          <a:ln>
            <a:noFill/>
          </a:ln>
          <a:effectLst/>
        </c:spPr>
        <c:txPr>
          <a:bodyPr rot="-60000000" spcFirstLastPara="1" vertOverflow="ellipsis" horzOverflow="overflow" vert="horz" wrap="square" anchor="ctr" anchorCtr="1"/>
          <a:lstStyle/>
          <a:p>
            <a:pPr algn="ctr" rtl="0">
              <a:defRPr lang="ja-JP" altLang="en-US"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spcFirstLastPara="1" vertOverflow="ellipsis" horzOverflow="overflow" vert="horz" wrap="square" anchor="ctr" anchorCtr="1"/>
        <a:lstStyle/>
        <a:p>
          <a:pPr algn="l" rtl="0">
            <a:defRPr lang="ja-JP" altLang="en-US"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vertOverflow="overflow" horzOverflow="overflow" anchor="ctr" anchorCtr="1"/>
    <a:lstStyle/>
    <a:p>
      <a:pPr algn="ctr" rtl="0">
        <a:defRPr lang="ja-JP" altLang="en-US"/>
      </a:pPr>
      <a:endParaRPr lang="ja-JP"/>
    </a:p>
  </c:txPr>
  <c:externalData r:id="rId2">
    <c:autoUpdate val="0"/>
  </c:externalData>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19284047827355"/>
          <c:y val="0.20222607632715264"/>
          <c:w val="0.7752161708953047"/>
          <c:h val="0.71208645542291082"/>
        </c:manualLayout>
      </c:layout>
      <c:barChart>
        <c:barDir val="col"/>
        <c:grouping val="clustered"/>
        <c:varyColors val="0"/>
        <c:ser>
          <c:idx val="0"/>
          <c:order val="0"/>
          <c:tx>
            <c:strRef>
              <c:f>Sheet1!$A$2</c:f>
              <c:strCache>
                <c:ptCount val="1"/>
                <c:pt idx="0">
                  <c:v>対象者数</c:v>
                </c:pt>
              </c:strCache>
            </c:strRef>
          </c:tx>
          <c:spPr>
            <a:solidFill>
              <a:srgbClr val="5575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Sheet1!$B$2:$E$2</c:f>
              <c:numCache>
                <c:formatCode>#,##0_ </c:formatCode>
                <c:ptCount val="4"/>
                <c:pt idx="0">
                  <c:v>13547</c:v>
                </c:pt>
                <c:pt idx="1">
                  <c:v>13421</c:v>
                </c:pt>
                <c:pt idx="2">
                  <c:v>13185</c:v>
                </c:pt>
                <c:pt idx="3">
                  <c:v>12442</c:v>
                </c:pt>
              </c:numCache>
            </c:numRef>
          </c:val>
          <c:extLst>
            <c:ext xmlns:c16="http://schemas.microsoft.com/office/drawing/2014/chart" uri="{C3380CC4-5D6E-409C-BE32-E72D297353CC}">
              <c16:uniqueId val="{00000000-171E-4F9C-AE2E-851A3DB97275}"/>
            </c:ext>
          </c:extLst>
        </c:ser>
        <c:ser>
          <c:idx val="1"/>
          <c:order val="1"/>
          <c:tx>
            <c:strRef>
              <c:f>Sheet1!$A$3</c:f>
              <c:strCache>
                <c:ptCount val="1"/>
                <c:pt idx="0">
                  <c:v>受診者数</c:v>
                </c:pt>
              </c:strCache>
            </c:strRef>
          </c:tx>
          <c:spPr>
            <a:solidFill>
              <a:srgbClr val="CCD6FF"/>
            </a:solidFill>
            <a:ln>
              <a:noFill/>
            </a:ln>
            <a:effectLst/>
          </c:spPr>
          <c:invertIfNegative val="0"/>
          <c:cat>
            <c:strRef>
              <c:f>Sheet1!$B$1:$E$1</c:f>
              <c:strCache>
                <c:ptCount val="4"/>
                <c:pt idx="0">
                  <c:v>令和1年度</c:v>
                </c:pt>
                <c:pt idx="1">
                  <c:v>令和2年度</c:v>
                </c:pt>
                <c:pt idx="2">
                  <c:v>令和3年度</c:v>
                </c:pt>
                <c:pt idx="3">
                  <c:v>令和4年度</c:v>
                </c:pt>
              </c:strCache>
            </c:strRef>
          </c:cat>
          <c:val>
            <c:numRef>
              <c:f>Sheet1!$B$3:$E$3</c:f>
              <c:numCache>
                <c:formatCode>#,##0_ </c:formatCode>
                <c:ptCount val="4"/>
                <c:pt idx="0">
                  <c:v>4899</c:v>
                </c:pt>
                <c:pt idx="1">
                  <c:v>2624</c:v>
                </c:pt>
                <c:pt idx="2">
                  <c:v>3789</c:v>
                </c:pt>
                <c:pt idx="3">
                  <c:v>3599</c:v>
                </c:pt>
              </c:numCache>
            </c:numRef>
          </c:val>
          <c:extLst>
            <c:ext xmlns:c16="http://schemas.microsoft.com/office/drawing/2014/chart" uri="{C3380CC4-5D6E-409C-BE32-E72D297353CC}">
              <c16:uniqueId val="{00000001-171E-4F9C-AE2E-851A3DB97275}"/>
            </c:ext>
          </c:extLst>
        </c:ser>
        <c:dLbls>
          <c:showLegendKey val="0"/>
          <c:showVal val="0"/>
          <c:showCatName val="0"/>
          <c:showSerName val="0"/>
          <c:showPercent val="0"/>
          <c:showBubbleSize val="0"/>
        </c:dLbls>
        <c:gapWidth val="219"/>
        <c:axId val="1"/>
        <c:axId val="2"/>
      </c:barChart>
      <c:lineChart>
        <c:grouping val="standard"/>
        <c:varyColors val="0"/>
        <c:ser>
          <c:idx val="2"/>
          <c:order val="2"/>
          <c:tx>
            <c:strRef>
              <c:f>Sheet1!$A$4</c:f>
              <c:strCache>
                <c:ptCount val="1"/>
                <c:pt idx="0">
                  <c:v>八街市_受診率</c:v>
                </c:pt>
              </c:strCache>
            </c:strRef>
          </c:tx>
          <c:spPr>
            <a:ln w="25400" cap="rnd">
              <a:solidFill>
                <a:srgbClr val="FF7463"/>
              </a:solidFill>
              <a:round/>
            </a:ln>
            <a:effectLst/>
          </c:spPr>
          <c:marker>
            <c:symbol val="circle"/>
            <c:size val="5"/>
            <c:spPr>
              <a:solidFill>
                <a:srgbClr val="FF7463"/>
              </a:solidFill>
              <a:ln w="9525">
                <a:solidFill>
                  <a:srgbClr val="FF7463"/>
                </a:solidFill>
              </a:ln>
              <a:effectLst/>
            </c:spPr>
          </c:marker>
          <c:dPt>
            <c:idx val="0"/>
            <c:bubble3D val="0"/>
            <c:extLst>
              <c:ext xmlns:c16="http://schemas.microsoft.com/office/drawing/2014/chart" uri="{C3380CC4-5D6E-409C-BE32-E72D297353CC}">
                <c16:uniqueId val="{00000002-171E-4F9C-AE2E-851A3DB97275}"/>
              </c:ext>
            </c:extLst>
          </c:dPt>
          <c:dLbls>
            <c:dLbl>
              <c:idx val="0"/>
              <c:layout>
                <c:manualLayout>
                  <c:x val="-4.5477870429762667E-2"/>
                  <c:y val="-4.9899193548387094E-2"/>
                </c:manualLayout>
              </c:layout>
              <c:spPr>
                <a:noFill/>
                <a:ln>
                  <a:noFill/>
                </a:ln>
                <a:effectLst/>
              </c:spPr>
              <c:txPr>
                <a:bodyPr wrap="square" lIns="38100" tIns="19050" rIns="38100" bIns="19050">
                  <a:spAutoFit/>
                </a:bodyPr>
                <a:lstStyle/>
                <a:p>
                  <a:pPr>
                    <a:defRPr sz="600" b="0" i="0" u="none" strike="noStrike" kern="1200" baseline="0">
                      <a:solidFill>
                        <a:srgbClr val="000540"/>
                      </a:solidFill>
                      <a:latin typeface="BIZ UDPゴシック"/>
                      <a:ea typeface="BIZ UDPゴシック"/>
                      <a:cs typeface="+mn-cs"/>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1E-4F9C-AE2E-851A3DB97275}"/>
                </c:ext>
              </c:extLst>
            </c:dLbl>
            <c:spPr>
              <a:noFill/>
              <a:ln>
                <a:noFill/>
              </a:ln>
              <a:effectLst/>
            </c:spPr>
            <c:txPr>
              <a:bodyPr rot="0" horzOverflow="overflow" wrap="square" lIns="38100" tIns="19050" rIns="38100" bIns="19050" anchor="ctr" anchorCtr="1">
                <a:spAutoFit/>
              </a:bodyPr>
              <a:lstStyle/>
              <a:p>
                <a:pPr algn="ctr" rtl="0">
                  <a:defRPr sz="600" b="0" i="0" u="none" strike="noStrike" kern="1200" baseline="0">
                    <a:solidFill>
                      <a:srgbClr val="000540"/>
                    </a:solidFill>
                    <a:latin typeface="BIZ UDPゴシック"/>
                    <a:ea typeface="BIZ UDPゴシック"/>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令和1年度</c:v>
                </c:pt>
                <c:pt idx="1">
                  <c:v>令和2年度</c:v>
                </c:pt>
                <c:pt idx="2">
                  <c:v>令和3年度</c:v>
                </c:pt>
                <c:pt idx="3">
                  <c:v>令和4年度</c:v>
                </c:pt>
              </c:strCache>
            </c:strRef>
          </c:cat>
          <c:val>
            <c:numRef>
              <c:f>Sheet1!$B$4:$E$4</c:f>
              <c:numCache>
                <c:formatCode>0.0%</c:formatCode>
                <c:ptCount val="4"/>
                <c:pt idx="0">
                  <c:v>0.36199999999999999</c:v>
                </c:pt>
                <c:pt idx="1">
                  <c:v>0.19600000000000001</c:v>
                </c:pt>
                <c:pt idx="2">
                  <c:v>0.28699999999999998</c:v>
                </c:pt>
                <c:pt idx="3">
                  <c:v>0.28899999999999998</c:v>
                </c:pt>
              </c:numCache>
            </c:numRef>
          </c:val>
          <c:smooth val="0"/>
          <c:extLst>
            <c:ext xmlns:c16="http://schemas.microsoft.com/office/drawing/2014/chart" uri="{C3380CC4-5D6E-409C-BE32-E72D297353CC}">
              <c16:uniqueId val="{00000003-171E-4F9C-AE2E-851A3DB97275}"/>
            </c:ext>
          </c:extLst>
        </c:ser>
        <c:ser>
          <c:idx val="3"/>
          <c:order val="3"/>
          <c:tx>
            <c:strRef>
              <c:f>Sheet1!$A$5</c:f>
              <c:strCache>
                <c:ptCount val="1"/>
                <c:pt idx="0">
                  <c:v>国_受診率</c:v>
                </c:pt>
              </c:strCache>
            </c:strRef>
          </c:tx>
          <c:spPr>
            <a:ln w="25400" cap="rnd">
              <a:solidFill>
                <a:srgbClr val="002F33"/>
              </a:solidFill>
              <a:prstDash val="sysDot"/>
              <a:round/>
            </a:ln>
            <a:effectLst/>
          </c:spPr>
          <c:marker>
            <c:symbol val="circle"/>
            <c:size val="5"/>
            <c:spPr>
              <a:solidFill>
                <a:srgbClr val="002F33"/>
              </a:solidFill>
              <a:ln w="9525">
                <a:solidFill>
                  <a:srgbClr val="002F33"/>
                </a:solidFill>
              </a:ln>
              <a:effectLst/>
            </c:spPr>
          </c:marker>
          <c:cat>
            <c:strRef>
              <c:f>Sheet1!$B$1:$E$1</c:f>
              <c:strCache>
                <c:ptCount val="4"/>
                <c:pt idx="0">
                  <c:v>令和1年度</c:v>
                </c:pt>
                <c:pt idx="1">
                  <c:v>令和2年度</c:v>
                </c:pt>
                <c:pt idx="2">
                  <c:v>令和3年度</c:v>
                </c:pt>
                <c:pt idx="3">
                  <c:v>令和4年度</c:v>
                </c:pt>
              </c:strCache>
            </c:strRef>
          </c:cat>
          <c:val>
            <c:numRef>
              <c:f>Sheet1!$B$5:$E$5</c:f>
              <c:numCache>
                <c:formatCode>0.0%</c:formatCode>
                <c:ptCount val="4"/>
                <c:pt idx="0">
                  <c:v>0.38</c:v>
                </c:pt>
                <c:pt idx="1">
                  <c:v>0.33700000000000002</c:v>
                </c:pt>
                <c:pt idx="2">
                  <c:v>0.36399999999999999</c:v>
                </c:pt>
              </c:numCache>
            </c:numRef>
          </c:val>
          <c:smooth val="0"/>
          <c:extLst>
            <c:ext xmlns:c16="http://schemas.microsoft.com/office/drawing/2014/chart" uri="{C3380CC4-5D6E-409C-BE32-E72D297353CC}">
              <c16:uniqueId val="{00000004-171E-4F9C-AE2E-851A3DB97275}"/>
            </c:ext>
          </c:extLst>
        </c:ser>
        <c:ser>
          <c:idx val="4"/>
          <c:order val="4"/>
          <c:tx>
            <c:strRef>
              <c:f>Sheet1!$A$6</c:f>
              <c:strCache>
                <c:ptCount val="1"/>
                <c:pt idx="0">
                  <c:v>県_受診率</c:v>
                </c:pt>
              </c:strCache>
            </c:strRef>
          </c:tx>
          <c:spPr>
            <a:ln w="25400" cap="rnd">
              <a:solidFill>
                <a:srgbClr val="138077"/>
              </a:solidFill>
              <a:prstDash val="sysDot"/>
              <a:round/>
            </a:ln>
            <a:effectLst/>
          </c:spPr>
          <c:marker>
            <c:symbol val="circle"/>
            <c:size val="5"/>
            <c:spPr>
              <a:solidFill>
                <a:srgbClr val="138077"/>
              </a:solidFill>
              <a:ln w="9525">
                <a:solidFill>
                  <a:srgbClr val="138077"/>
                </a:solidFill>
              </a:ln>
              <a:effectLst/>
            </c:spPr>
          </c:marker>
          <c:cat>
            <c:strRef>
              <c:f>Sheet1!$B$1:$E$1</c:f>
              <c:strCache>
                <c:ptCount val="4"/>
                <c:pt idx="0">
                  <c:v>令和1年度</c:v>
                </c:pt>
                <c:pt idx="1">
                  <c:v>令和2年度</c:v>
                </c:pt>
                <c:pt idx="2">
                  <c:v>令和3年度</c:v>
                </c:pt>
                <c:pt idx="3">
                  <c:v>令和4年度</c:v>
                </c:pt>
              </c:strCache>
            </c:strRef>
          </c:cat>
          <c:val>
            <c:numRef>
              <c:f>Sheet1!$B$6:$E$6</c:f>
              <c:numCache>
                <c:formatCode>0.0%</c:formatCode>
                <c:ptCount val="4"/>
                <c:pt idx="0">
                  <c:v>0.40899999999999997</c:v>
                </c:pt>
                <c:pt idx="1">
                  <c:v>0.33</c:v>
                </c:pt>
                <c:pt idx="2">
                  <c:v>0.36599999999999999</c:v>
                </c:pt>
                <c:pt idx="3">
                  <c:v>0.38200000000000001</c:v>
                </c:pt>
              </c:numCache>
            </c:numRef>
          </c:val>
          <c:smooth val="0"/>
          <c:extLst>
            <c:ext xmlns:c16="http://schemas.microsoft.com/office/drawing/2014/chart" uri="{C3380CC4-5D6E-409C-BE32-E72D297353CC}">
              <c16:uniqueId val="{00000005-171E-4F9C-AE2E-851A3DB97275}"/>
            </c:ext>
          </c:extLst>
        </c:ser>
        <c:dLbls>
          <c:showLegendKey val="0"/>
          <c:showVal val="0"/>
          <c:showCatName val="0"/>
          <c:showSerName val="0"/>
          <c:showPercent val="0"/>
          <c:showBubbleSize val="0"/>
        </c:dLbls>
        <c:marker val="1"/>
        <c:smooth val="0"/>
        <c:axId val="11"/>
        <c:axId val="12"/>
      </c:lineChart>
      <c:catAx>
        <c:axId val="1"/>
        <c:scaling>
          <c:orientation val="minMax"/>
        </c:scaling>
        <c:delete val="0"/>
        <c:axPos val="b"/>
        <c:numFmt formatCode="General" sourceLinked="1"/>
        <c:majorTickMark val="none"/>
        <c:minorTickMark val="none"/>
        <c:tickLblPos val="nextTo"/>
        <c:spPr>
          <a:noFill/>
          <a:ln w="9525" cap="flat" cmpd="sng" algn="ctr">
            <a:solidFill>
              <a:srgbClr val="CCD6FF"/>
            </a:solidFill>
            <a:round/>
          </a:ln>
          <a:effectLst/>
        </c:spPr>
        <c:txPr>
          <a:bodyPr horzOverflow="overflow" wrap="square" anchor="ctr" anchorCtr="1"/>
          <a:lstStyle/>
          <a:p>
            <a:pPr algn="ctr" rtl="0">
              <a:defRPr sz="800" b="0" i="0" u="none" strike="noStrike" kern="1200" baseline="0">
                <a:solidFill>
                  <a:srgbClr val="000540"/>
                </a:solidFill>
                <a:latin typeface="BIZ UDPゴシック"/>
                <a:ea typeface="BIZ UDPゴシック"/>
                <a:cs typeface="+mn-cs"/>
              </a:defRPr>
            </a:pPr>
            <a:endParaRPr lang="ja-JP"/>
          </a:p>
        </c:txPr>
        <c:crossAx val="2"/>
        <c:crosses val="autoZero"/>
        <c:auto val="1"/>
        <c:lblAlgn val="ctr"/>
        <c:lblOffset val="100"/>
        <c:noMultiLvlLbl val="0"/>
      </c:catAx>
      <c:valAx>
        <c:axId val="2"/>
        <c:scaling>
          <c:orientation val="minMax"/>
        </c:scaling>
        <c:delete val="0"/>
        <c:axPos val="l"/>
        <c:majorGridlines>
          <c:spPr>
            <a:ln w="9525" cap="flat" cmpd="sng" algn="ctr">
              <a:solidFill>
                <a:srgbClr val="CCD6FF"/>
              </a:solidFill>
              <a:round/>
            </a:ln>
            <a:effectLst/>
          </c:spPr>
        </c:majorGridlines>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人数（人）</a:t>
                </a:r>
              </a:p>
            </c:rich>
          </c:tx>
          <c:layout>
            <c:manualLayout>
              <c:xMode val="edge"/>
              <c:yMode val="edge"/>
              <c:x val="4.6296249530707314E-3"/>
              <c:y val="0.46775146050292099"/>
            </c:manualLayout>
          </c:layout>
          <c:overlay val="0"/>
          <c:spPr>
            <a:noFill/>
            <a:ln>
              <a:noFill/>
            </a:ln>
            <a:effectLst/>
          </c:spPr>
        </c:title>
        <c:numFmt formatCode="#,##0_ " sourceLinked="1"/>
        <c:majorTickMark val="none"/>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
        <c:crosses val="autoZero"/>
        <c:crossBetween val="between"/>
      </c:valAx>
      <c:catAx>
        <c:axId val="11"/>
        <c:scaling>
          <c:orientation val="minMax"/>
        </c:scaling>
        <c:delete val="1"/>
        <c:axPos val="b"/>
        <c:numFmt formatCode="General" sourceLinked="1"/>
        <c:majorTickMark val="out"/>
        <c:minorTickMark val="none"/>
        <c:tickLblPos val="nextTo"/>
        <c:crossAx val="12"/>
        <c:crosses val="autoZero"/>
        <c:auto val="1"/>
        <c:lblAlgn val="ctr"/>
        <c:lblOffset val="100"/>
        <c:noMultiLvlLbl val="0"/>
      </c:catAx>
      <c:valAx>
        <c:axId val="12"/>
        <c:scaling>
          <c:orientation val="minMax"/>
        </c:scaling>
        <c:delete val="0"/>
        <c:axPos val="r"/>
        <c:title>
          <c:tx>
            <c:rich>
              <a:bodyPr horzOverflow="overflow" vert="eaVert" wrap="square" anchor="ctr" anchorCtr="1"/>
              <a:lstStyle/>
              <a:p>
                <a:pPr algn="ctr" rtl="0">
                  <a:defRPr sz="700" b="0" i="0" u="none" strike="noStrike" kern="1200" baseline="0">
                    <a:solidFill>
                      <a:srgbClr val="000540"/>
                    </a:solidFill>
                    <a:latin typeface="BIZ UDPゴシック"/>
                    <a:ea typeface="BIZ UDPゴシック"/>
                    <a:cs typeface="+mn-cs"/>
                  </a:defRPr>
                </a:pPr>
                <a:r>
                  <a:rPr lang="ja-JP" altLang="en-US" sz="700" b="0" i="0" u="none" strike="noStrike" kern="1200" baseline="0">
                    <a:solidFill>
                      <a:srgbClr val="000540"/>
                    </a:solidFill>
                    <a:latin typeface="BIZ UDPゴシック"/>
                    <a:ea typeface="BIZ UDPゴシック"/>
                    <a:cs typeface="+mn-cs"/>
                  </a:rPr>
                  <a:t>受診率（％）</a:t>
                </a:r>
              </a:p>
            </c:rich>
          </c:tx>
          <c:overlay val="0"/>
          <c:spPr>
            <a:noFill/>
            <a:ln>
              <a:noFill/>
            </a:ln>
            <a:effectLst/>
          </c:spPr>
        </c:title>
        <c:numFmt formatCode="0.0%" sourceLinked="1"/>
        <c:majorTickMark val="out"/>
        <c:minorTickMark val="none"/>
        <c:tickLblPos val="nextTo"/>
        <c:spPr>
          <a:noFill/>
          <a:ln>
            <a:noFill/>
          </a:ln>
          <a:effectLst/>
        </c:spPr>
        <c:txPr>
          <a:bodyPr horzOverflow="overflow" wrap="square" anchor="ctr" anchorCtr="1"/>
          <a:lstStyle/>
          <a:p>
            <a:pPr algn="ctr" rtl="0">
              <a:defRPr sz="700" b="0" i="0" u="none" strike="noStrike" kern="1200" baseline="0">
                <a:solidFill>
                  <a:srgbClr val="000540"/>
                </a:solidFill>
                <a:latin typeface="BIZ UDPゴシック"/>
                <a:ea typeface="BIZ UDPゴシック"/>
                <a:cs typeface="+mn-cs"/>
              </a:defRPr>
            </a:pPr>
            <a:endParaRPr lang="ja-JP"/>
          </a:p>
        </c:txPr>
        <c:crossAx val="11"/>
        <c:crosses val="max"/>
        <c:crossBetween val="between"/>
      </c:valAx>
      <c:spPr>
        <a:noFill/>
        <a:ln>
          <a:noFill/>
        </a:ln>
        <a:effectLst/>
      </c:spPr>
    </c:plotArea>
    <c:legend>
      <c:legendPos val="t"/>
      <c:overlay val="0"/>
      <c:spPr>
        <a:noFill/>
        <a:ln>
          <a:noFill/>
        </a:ln>
        <a:effectLst/>
      </c:spPr>
      <c:txPr>
        <a:bodyPr rot="0" horzOverflow="overflow" wrap="square" anchor="ctr" anchorCtr="1"/>
        <a:lstStyle/>
        <a:p>
          <a:pPr algn="l" rtl="0">
            <a:defRPr sz="800" b="0" i="0" u="none" strike="noStrike" kern="1200" baseline="0">
              <a:solidFill>
                <a:srgbClr val="000540"/>
              </a:solidFill>
              <a:latin typeface="BIZ UDPゴシック"/>
              <a:ea typeface="BIZ UDPゴシック"/>
              <a:cs typeface="+mn-cs"/>
            </a:defRPr>
          </a:pPr>
          <a:endParaRPr lang="ja-JP"/>
        </a:p>
      </c:txPr>
    </c:legend>
    <c:plotVisOnly val="1"/>
    <c:dispBlanksAs val="gap"/>
    <c:showDLblsOverMax val="0"/>
  </c:chart>
  <c:spPr>
    <a:solidFill>
      <a:schemeClr val="bg1"/>
    </a:solidFill>
    <a:ln w="9525" cap="flat" cmpd="sng" algn="ctr">
      <a:noFill/>
      <a:round/>
    </a:ln>
    <a:effectLst/>
  </c:spPr>
  <c:txPr>
    <a:bodyPr horzOverflow="overflow" anchor="ctr" anchorCtr="1"/>
    <a:lstStyle/>
    <a:p>
      <a:pPr algn="ctr" rtl="0">
        <a:defRPr lang="ja-JP" altLang="en-US" sz="1000">
          <a:solidFill>
            <a:schemeClr val="tx1"/>
          </a:solidFill>
        </a:defRPr>
      </a:pPr>
      <a:endParaRPr lang="ja-JP"/>
    </a:p>
  </c:txPr>
  <c:externalData r:id="rId2">
    <c:autoUpdate val="0"/>
  </c:externalData>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S_color">
      <a:dk1>
        <a:srgbClr val="0E1B5C"/>
      </a:dk1>
      <a:lt1>
        <a:srgbClr val="FFFFFF"/>
      </a:lt1>
      <a:dk2>
        <a:srgbClr val="5673ED"/>
      </a:dk2>
      <a:lt2>
        <a:srgbClr val="FFFFFF"/>
      </a:lt2>
      <a:accent1>
        <a:srgbClr val="E97967"/>
      </a:accent1>
      <a:accent2>
        <a:srgbClr val="EF9B8E"/>
      </a:accent2>
      <a:accent3>
        <a:srgbClr val="FCEAD6"/>
      </a:accent3>
      <a:accent4>
        <a:srgbClr val="213175"/>
      </a:accent4>
      <a:accent5>
        <a:srgbClr val="5772ED"/>
      </a:accent5>
      <a:accent6>
        <a:srgbClr val="7F97F5"/>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atMod val="130000"/>
              </a:schemeClr>
            </a:gs>
            <a:gs pos="100000">
              <a:schemeClr val="phClr">
                <a:tint val="50000"/>
                <a:satMod val="350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spDef>
      <a:spPr>
        <a:xfrm/>
        <a:custGeom>
          <a:avLst/>
          <a:gdLst/>
          <a:ahLst/>
          <a:cxnLst/>
          <a:rect l="l" t="t" r="r" b="b"/>
          <a:pathLst/>
        </a:custGeom>
      </a:spPr>
      <a:bodyPr vertOverflow="overflow" horzOverflow="overflow"/>
      <a:lstStyle/>
      <a:style>
        <a:lnRef idx="1">
          <a:schemeClr val="accent1"/>
        </a:lnRef>
        <a:fillRef idx="3">
          <a:schemeClr val="accent1"/>
        </a:fillRef>
        <a:effectRef idx="2">
          <a:schemeClr val="accent1"/>
        </a:effectRef>
        <a:fontRef idx="minor">
          <a:schemeClr val="lt1"/>
        </a:fontRef>
      </a:style>
    </a:spDef>
    <a:lnDef>
      <a:spPr>
        <a:xfrm/>
        <a:custGeom>
          <a:avLst/>
          <a:gdLst/>
          <a:ahLst/>
          <a:cxnLst/>
          <a:rect l="l" t="t" r="r" b="b"/>
          <a:pathLst/>
        </a:custGeom>
      </a:spPr>
      <a:bodyPr vertOverflow="overflow" horzOverflow="overflow" lIns="74295" tIns="8890" rIns="74295" bIns="8890"/>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docProps/app.xml><?xml version="1.0" encoding="utf-8"?>
<Properties xmlns:vt="http://schemas.openxmlformats.org/officeDocument/2006/docPropsVTypes" xmlns="http://schemas.openxmlformats.org/officeDocument/2006/extended-properties">
  <Template>Normal.dot</Template>
  <TotalTime>3</TotalTime>
  <Pages>116</Pages>
  <Words>11415</Words>
  <Characters>97561</Characters>
  <Application>Microsoft Office Word</Application>
  <Lines>661526</Lines>
  <Paragraphs>8906</Paragraphs>
  <Company>Cancerscan, Inc.</Company>
  <CharactersWithSpaces>98316</CharactersWithSpaces>
  <AppVersion>1.20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Satoshi Miyake</dc:creator>
  <cp:lastModifiedBy>Administrator</cp:lastModifiedBy>
  <cp:lastPrinted>2024-03-26T08:42:00Z</cp:lastPrinted>
  <dcterms:created xsi:type="dcterms:W3CDTF">2024-03-28T11:05:00Z</dcterms:created>
  <dcterms:modified xsi:type="dcterms:W3CDTF">2024-04-05T06:54:33Z</dcterms:modified>
  <cp:revision>3</cp:revision>
</cp:coreProperties>
</file>

<file path=docProps/custom.xml><?xml version="1.0" encoding="utf-8"?>
<Properties xmlns:vt="http://schemas.openxmlformats.org/officeDocument/2006/docPropsVTypes" xmlns="http://schemas.openxmlformats.org/officeDocument/2006/custom-properties">
  <property fmtid="{D5CDD505-2E9C-101B-9397-08002B2CF9AE}" pid="2" name="ComplianceAssetId">
    <vt:lpwstr/>
  </property>
  <property fmtid="{D5CDD505-2E9C-101B-9397-08002B2CF9AE}" pid="3" name="ContentTypeId">
    <vt:lpwstr>0x01010023CD4A7385BAE049A60F961EFA857474</vt:lpwstr>
  </property>
  <property fmtid="{D5CDD505-2E9C-101B-9397-08002B2CF9AE}" pid="4" name="TriggerFlowInfo">
    <vt:lpwstr/>
  </property>
  <property fmtid="{D5CDD505-2E9C-101B-9397-08002B2CF9AE}" pid="5" name="_ExtendedDescription">
    <vt:lpwstr/>
  </property>
  <property fmtid="{D5CDD505-2E9C-101B-9397-08002B2CF9AE}" pid="6" name="_activity">
    <vt:lpwstr>{"FileActivityType":"6","FileActivityTimeStamp":"2023-02-14T02:59:00.453Z","FileActivityUsersOnPage":[{"DisplayName":"Satoshi Miyake","Id":"miyake@cancerscan.jp"}],"FileActivityNavigationId":null}</vt:lpwstr>
  </property>
</Properties>
</file>