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pacing w:line="300" w:lineRule="exact"/>
        <w:ind w:left="617" w:right="0" w:hanging="617"/>
        <w:jc w:val="right"/>
        <w:rPr>
          <w:rFonts w:hint="default" w:ascii="ＭＳ ゴシック" w:hAnsi="ＭＳ ゴシック" w:eastAsia="ＭＳ ゴシック"/>
          <w:sz w:val="24"/>
        </w:rPr>
      </w:pPr>
    </w:p>
    <w:tbl>
      <w:tblPr>
        <w:tblStyle w:val="11"/>
        <w:tblW w:w="3685" w:type="dxa"/>
        <w:jc w:val="left"/>
        <w:tblInd w:w="6204"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3685"/>
      </w:tblGrid>
      <w:tr>
        <w:trPr>
          <w:trHeight w:val="400" w:hRule="atLeast"/>
        </w:trPr>
        <w:tc>
          <w:tcPr>
            <w:tcW w:w="368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uppressAutoHyphens w:val="1"/>
              <w:spacing w:line="366" w:lineRule="atLeast"/>
              <w:jc w:val="center"/>
              <w:rPr>
                <w:rFonts w:hint="default" w:ascii="ＭＳ ゴシック" w:hAnsi="ＭＳ ゴシック" w:eastAsia="ＭＳ ゴシック"/>
              </w:rPr>
            </w:pPr>
            <w:r>
              <w:rPr>
                <w:rFonts w:hint="default" w:ascii="ＭＳ ゴシック" w:hAnsi="ＭＳ ゴシック" w:eastAsia="ＭＳ ゴシック"/>
              </w:rPr>
              <w:t>認定権者記載欄</w:t>
            </w:r>
          </w:p>
        </w:tc>
      </w:tr>
      <w:tr>
        <w:trPr>
          <w:trHeight w:val="273" w:hRule="atLeast"/>
        </w:trPr>
        <w:tc>
          <w:tcPr>
            <w:tcW w:w="368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uppressAutoHyphens w:val="1"/>
              <w:spacing w:line="366" w:lineRule="atLeast"/>
              <w:jc w:val="left"/>
              <w:rPr>
                <w:rFonts w:hint="default" w:ascii="ＭＳ ゴシック" w:hAnsi="ＭＳ ゴシック"/>
              </w:rPr>
            </w:pPr>
          </w:p>
        </w:tc>
      </w:tr>
    </w:tbl>
    <w:p>
      <w:pPr>
        <w:pStyle w:val="0"/>
        <w:suppressAutoHyphens w:val="1"/>
        <w:spacing w:line="30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様式第５－（ロ）－</w:t>
      </w:r>
      <w:r>
        <w:rPr>
          <w:rFonts w:hint="default" w:ascii="ＭＳ ゴシック" w:hAnsi="ＭＳ ゴシック" w:eastAsia="ＭＳ ゴシック"/>
          <w:color w:val="000000"/>
        </w:rPr>
        <w:t>②</w:t>
      </w:r>
    </w:p>
    <w:tbl>
      <w:tblPr>
        <w:tblStyle w:val="11"/>
        <w:tblW w:w="9893" w:type="dxa"/>
        <w:jc w:val="left"/>
        <w:tblInd w:w="-60"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52" w:type="dxa"/>
          <w:bottom w:w="0" w:type="dxa"/>
          <w:right w:w="52" w:type="dxa"/>
        </w:tblCellMar>
        <w:tblLook w:firstRow="1" w:lastRow="1" w:firstColumn="1" w:lastColumn="1" w:noHBand="0" w:noVBand="0" w:val="01E0"/>
      </w:tblPr>
      <w:tblGrid>
        <w:gridCol w:w="9893"/>
      </w:tblGrid>
      <w:tr>
        <w:trPr/>
        <w:tc>
          <w:tcPr>
            <w:tcW w:w="9893"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top"/>
          </w:tcPr>
          <w:p>
            <w:pPr>
              <w:pStyle w:val="0"/>
              <w:suppressAutoHyphens w:val="1"/>
              <w:overflowPunct w:val="1"/>
              <w:spacing w:line="60" w:lineRule="exac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40" w:lineRule="exact"/>
              <w:jc w:val="center"/>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中小企業信用保険法第２条第５項第５号の規定による認定申請書（ロ－</w:t>
            </w:r>
            <w:r>
              <w:rPr>
                <w:rFonts w:hint="default" w:ascii="ＭＳ ゴシック" w:hAnsi="ＭＳ ゴシック" w:eastAsia="ＭＳ ゴシック"/>
                <w:color w:val="000000"/>
              </w:rPr>
              <w:t>②</w:t>
            </w:r>
            <w:r>
              <w:rPr>
                <w:rFonts w:hint="default" w:ascii="ＭＳ ゴシック" w:hAnsi="ＭＳ ゴシック" w:eastAsia="ＭＳ ゴシック"/>
                <w:color w:val="000000"/>
              </w:rPr>
              <w:t>）</w:t>
            </w:r>
          </w:p>
          <w:p>
            <w:pPr>
              <w:pStyle w:val="0"/>
              <w:suppressAutoHyphens w:val="1"/>
              <w:overflowPunct w:val="1"/>
              <w:spacing w:line="60" w:lineRule="exac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40" w:lineRule="exact"/>
              <w:ind w:left="0" w:right="695" w:firstLine="0"/>
              <w:jc w:val="righ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rPr>
              <w:t>令和</w:t>
            </w:r>
            <w:r>
              <w:rPr>
                <w:rFonts w:hint="default" w:ascii="ＭＳ ゴシック" w:hAnsi="ＭＳ ゴシック" w:eastAsia="ＭＳ ゴシック"/>
                <w:color w:val="000000"/>
              </w:rPr>
              <w:t>　　年　　月　　日</w:t>
            </w:r>
          </w:p>
          <w:p>
            <w:pPr>
              <w:pStyle w:val="0"/>
              <w:suppressAutoHyphens w:val="1"/>
              <w:overflowPunct w:val="1"/>
              <w:spacing w:line="60" w:lineRule="exac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4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八街市長　北村　新司　殿</w:t>
            </w:r>
          </w:p>
          <w:p>
            <w:pPr>
              <w:pStyle w:val="0"/>
              <w:suppressAutoHyphens w:val="1"/>
              <w:overflowPunct w:val="1"/>
              <w:spacing w:line="60" w:lineRule="exac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4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申請者</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p>
          <w:p>
            <w:pPr>
              <w:pStyle w:val="0"/>
              <w:suppressAutoHyphens w:val="1"/>
              <w:overflowPunct w:val="1"/>
              <w:spacing w:line="240" w:lineRule="exact"/>
              <w:ind w:left="0" w:right="876" w:firstLine="0"/>
              <w:jc w:val="righ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住　所</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p>
          <w:p>
            <w:pPr>
              <w:pStyle w:val="0"/>
              <w:suppressAutoHyphens w:val="1"/>
              <w:overflowPunct w:val="1"/>
              <w:spacing w:line="240" w:lineRule="exact"/>
              <w:ind w:left="0" w:right="876" w:firstLine="0"/>
              <w:jc w:val="righ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氏　名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印</w:t>
            </w:r>
          </w:p>
          <w:p>
            <w:pPr>
              <w:pStyle w:val="0"/>
              <w:suppressAutoHyphens w:val="1"/>
              <w:overflowPunct w:val="1"/>
              <w:spacing w:line="180" w:lineRule="exac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40" w:lineRule="exact"/>
              <w:ind w:left="0" w:right="487" w:firstLine="0"/>
              <w:jc w:val="left"/>
              <w:textAlignment w:val="baseline"/>
              <w:rPr>
                <w:rFonts w:hint="default"/>
              </w:rPr>
            </w:pPr>
            <w:r>
              <w:rPr>
                <w:rFonts w:hint="default" w:ascii="ＭＳ ゴシック" w:hAnsi="ＭＳ ゴシック" w:eastAsia="ＭＳ ゴシック"/>
                <w:color w:val="000000"/>
              </w:rPr>
              <w:t>　私は、　　　　　　　業（注２）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pPr>
              <w:pStyle w:val="0"/>
              <w:suppressAutoHyphens w:val="1"/>
              <w:overflowPunct w:val="1"/>
              <w:spacing w:line="240" w:lineRule="exact"/>
              <w:jc w:val="center"/>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記</w:t>
            </w:r>
          </w:p>
          <w:p>
            <w:pPr>
              <w:pStyle w:val="0"/>
              <w:suppressAutoHyphens w:val="1"/>
              <w:overflowPunct w:val="1"/>
              <w:spacing w:line="120" w:lineRule="exac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4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①</w:t>
            </w:r>
            <w:r>
              <w:rPr>
                <w:rFonts w:hint="default" w:ascii="ＭＳ ゴシック" w:hAnsi="ＭＳ ゴシック" w:eastAsia="ＭＳ ゴシック"/>
                <w:color w:val="000000"/>
              </w:rPr>
              <w:t>原油等の仕入単価の上昇（注３）</w:t>
            </w:r>
          </w:p>
          <w:p>
            <w:pPr>
              <w:pStyle w:val="0"/>
              <w:tabs>
                <w:tab w:val="center" w:leader="none" w:pos="4252"/>
                <w:tab w:val="right" w:leader="none" w:pos="8504"/>
              </w:tabs>
              <w:suppressAutoHyphens w:val="1"/>
              <w:overflowPunct w:val="1"/>
              <w:snapToGrid w:val="0"/>
              <w:spacing w:line="240" w:lineRule="exac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Ｅ</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u w:val="single" w:color="auto"/>
              </w:rPr>
              <w:t>主たる業種に係る上昇率</w:t>
            </w:r>
            <w:r>
              <w:rPr>
                <w:rFonts w:hint="default" w:ascii="ＭＳ ゴシック" w:hAnsi="ＭＳ ゴシック" w:eastAsia="ＭＳ ゴシック"/>
                <w:color w:val="000000"/>
                <w:u w:val="single" w:color="auto"/>
              </w:rPr>
              <w:softHyphen/>
            </w:r>
            <w:r>
              <w:rPr>
                <w:rFonts w:hint="default" w:ascii="ＭＳ ゴシック" w:hAnsi="ＭＳ ゴシック" w:eastAsia="ＭＳ ゴシック"/>
                <w:color w:val="000000"/>
                <w:u w:val="single" w:color="auto"/>
              </w:rPr>
              <w:softHyphen/>
            </w:r>
            <w:r>
              <w:rPr>
                <w:rFonts w:hint="default" w:ascii="ＭＳ ゴシック" w:hAnsi="ＭＳ ゴシック" w:eastAsia="ＭＳ ゴシック"/>
                <w:color w:val="000000"/>
                <w:u w:val="single" w:color="auto"/>
              </w:rPr>
              <w:t>　　　　　</w:t>
            </w:r>
            <w:r>
              <w:rPr>
                <w:rFonts w:hint="default" w:ascii="ＭＳ ゴシック" w:hAnsi="ＭＳ ゴシック" w:eastAsia="ＭＳ ゴシック"/>
                <w:color w:val="000000"/>
                <w:u w:val="single" w:color="auto"/>
              </w:rPr>
              <w:t xml:space="preserve">   </w:t>
            </w:r>
            <w:r>
              <w:rPr>
                <w:rFonts w:hint="default" w:ascii="ＭＳ ゴシック" w:hAnsi="ＭＳ ゴシック" w:eastAsia="ＭＳ ゴシック"/>
                <w:color w:val="000000"/>
                <w:u w:val="single" w:color="auto"/>
              </w:rPr>
              <w:t>％</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ｅ</w:t>
            </w:r>
            <w:r>
              <w:rPr>
                <w:rFonts w:hint="default" w:ascii="ＭＳ ゴシック" w:hAnsi="ＭＳ ゴシック" w:eastAsia="ＭＳ ゴシック"/>
                <w:color w:val="000000"/>
              </w:rPr>
              <w:t xml:space="preserve">  ×100</w:t>
            </w:r>
            <w:r>
              <w:rPr>
                <w:rFonts w:hint="default" w:ascii="ＭＳ ゴシック" w:hAnsi="ＭＳ ゴシック" w:eastAsia="ＭＳ ゴシック"/>
                <w:color w:val="000000"/>
              </w:rPr>
              <w:t>－</w:t>
            </w:r>
            <w:r>
              <w:rPr>
                <w:rFonts w:hint="default" w:ascii="ＭＳ ゴシック" w:hAnsi="ＭＳ ゴシック" w:eastAsia="ＭＳ ゴシック"/>
                <w:color w:val="000000"/>
              </w:rPr>
              <w:t>100</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auto"/>
              </w:rPr>
              <w:t>全体に係る上昇率　　　　　　　　</w:t>
            </w:r>
            <w:r>
              <w:rPr>
                <w:rFonts w:hint="default" w:ascii="ＭＳ ゴシック" w:hAnsi="ＭＳ ゴシック" w:eastAsia="ＭＳ ゴシック"/>
                <w:color w:val="000000"/>
                <w:u w:val="single" w:color="auto"/>
              </w:rPr>
              <w:t xml:space="preserve">    </w:t>
            </w:r>
            <w:r>
              <w:rPr>
                <w:rFonts w:hint="default" w:ascii="ＭＳ ゴシック" w:hAnsi="ＭＳ ゴシック" w:eastAsia="ＭＳ ゴシック"/>
                <w:color w:val="000000"/>
                <w:u w:val="single" w:color="auto"/>
              </w:rPr>
              <w:t>％</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Ｅ：原油等の最近１か月間における平均仕入れ単価</w:t>
            </w:r>
            <w:r>
              <w:rPr>
                <w:rFonts w:hint="default" w:ascii="ＭＳ ゴシック" w:hAnsi="ＭＳ ゴシック" w:eastAsia="ＭＳ ゴシック"/>
                <w:color w:val="000000"/>
                <w:spacing w:val="16"/>
              </w:rPr>
              <w:t>　</w:t>
            </w:r>
            <w:r>
              <w:rPr>
                <w:rFonts w:hint="default" w:ascii="ＭＳ ゴシック" w:hAnsi="ＭＳ ゴシック" w:eastAsia="ＭＳ ゴシック"/>
                <w:color w:val="000000"/>
                <w:spacing w:val="16"/>
                <w:u w:val="single" w:color="auto"/>
              </w:rPr>
              <w:t>主たる業種に係る平均仕入単価　　　　円</w:t>
            </w:r>
          </w:p>
          <w:p>
            <w:pPr>
              <w:pStyle w:val="0"/>
              <w:suppressAutoHyphens w:val="1"/>
              <w:overflowPunct w:val="1"/>
              <w:spacing w:line="240" w:lineRule="exact"/>
              <w:ind w:left="0" w:right="0" w:firstLine="5324"/>
              <w:textAlignment w:val="baseline"/>
              <w:rPr>
                <w:rFonts w:hint="default"/>
              </w:rPr>
            </w:pPr>
            <w:r>
              <w:rPr>
                <w:rFonts w:hint="default" w:ascii="ＭＳ ゴシック" w:hAnsi="ＭＳ ゴシック" w:eastAsia="ＭＳ ゴシック"/>
                <w:color w:val="000000"/>
                <w:spacing w:val="16"/>
                <w:u w:val="single" w:color="auto"/>
              </w:rPr>
              <w:t>全体に係る平均仕入単価</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円</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ｅ：Ｅの期間に対応する前年１か月間の平均仕入れ単価</w:t>
            </w:r>
            <w:r>
              <w:rPr>
                <w:rFonts w:hint="default" w:ascii="ＭＳ ゴシック" w:hAnsi="ＭＳ ゴシック" w:eastAsia="ＭＳ ゴシック"/>
                <w:color w:val="000000"/>
                <w:spacing w:val="16"/>
              </w:rPr>
              <w:t>　</w:t>
            </w:r>
            <w:r>
              <w:rPr>
                <w:rFonts w:hint="default" w:ascii="ＭＳ ゴシック" w:hAnsi="ＭＳ ゴシック" w:eastAsia="ＭＳ ゴシック"/>
                <w:color w:val="000000"/>
                <w:spacing w:val="16"/>
                <w:u w:val="single" w:color="auto"/>
              </w:rPr>
              <w:t>主たる業種に係る平均仕入単価　　円</w:t>
            </w:r>
          </w:p>
          <w:p>
            <w:pPr>
              <w:pStyle w:val="0"/>
              <w:suppressAutoHyphens w:val="1"/>
              <w:overflowPunct w:val="1"/>
              <w:spacing w:line="240" w:lineRule="exact"/>
              <w:ind w:left="0" w:right="0" w:firstLine="5324"/>
              <w:textAlignment w:val="baseline"/>
              <w:rPr>
                <w:rFonts w:hint="default"/>
              </w:rPr>
            </w:pPr>
            <w:r>
              <w:rPr>
                <w:rFonts w:hint="default" w:ascii="ＭＳ ゴシック" w:hAnsi="ＭＳ ゴシック" w:eastAsia="ＭＳ ゴシック"/>
                <w:color w:val="000000"/>
                <w:spacing w:val="16"/>
                <w:u w:val="single" w:color="auto"/>
              </w:rPr>
              <w:t>全体に係る平均仕入単価</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円</w:t>
            </w:r>
          </w:p>
          <w:p>
            <w:pPr>
              <w:pStyle w:val="0"/>
              <w:suppressAutoHyphens w:val="1"/>
              <w:overflowPunct w:val="1"/>
              <w:spacing w:line="24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②</w:t>
            </w:r>
            <w:r>
              <w:rPr>
                <w:rFonts w:hint="default" w:ascii="ＭＳ ゴシック" w:hAnsi="ＭＳ ゴシック" w:eastAsia="ＭＳ ゴシック"/>
                <w:color w:val="000000"/>
              </w:rPr>
              <w:t>原油等が売上原価に占める割合（注３）</w:t>
            </w:r>
          </w:p>
          <w:p>
            <w:pPr>
              <w:pStyle w:val="0"/>
              <w:tabs>
                <w:tab w:val="center" w:leader="none" w:pos="4252"/>
                <w:tab w:val="right" w:leader="none" w:pos="8504"/>
              </w:tabs>
              <w:suppressAutoHyphens w:val="1"/>
              <w:overflowPunct w:val="1"/>
              <w:snapToGrid w:val="0"/>
              <w:spacing w:line="240" w:lineRule="exac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Ｓ</w:t>
            </w:r>
            <w:r>
              <w:rPr>
                <w:rFonts w:hint="default" w:ascii="ＭＳ ゴシック" w:hAnsi="ＭＳ ゴシック" w:eastAsia="ＭＳ ゴシック"/>
                <w:color w:val="000000"/>
                <w:u w:val="none" w:color="auto"/>
              </w:rPr>
              <w:t xml:space="preserve">                                 </w:t>
            </w:r>
            <w:r>
              <w:rPr>
                <w:rFonts w:hint="default" w:ascii="ＭＳ ゴシック" w:hAnsi="ＭＳ ゴシック" w:eastAsia="ＭＳ ゴシック"/>
                <w:color w:val="000000"/>
                <w:u w:val="none" w:color="auto"/>
              </w:rPr>
              <w:t>　　　　</w:t>
            </w:r>
            <w:r>
              <w:rPr>
                <w:rFonts w:hint="default" w:ascii="ＭＳ ゴシック" w:hAnsi="ＭＳ ゴシック" w:eastAsia="ＭＳ ゴシック"/>
                <w:color w:val="000000"/>
                <w:u w:val="single" w:color="auto"/>
              </w:rPr>
              <w:t>主たる業種に係る依存率</w:t>
            </w:r>
            <w:r>
              <w:rPr>
                <w:rFonts w:hint="default" w:ascii="ＭＳ ゴシック" w:hAnsi="ＭＳ ゴシック" w:eastAsia="ＭＳ ゴシック"/>
                <w:color w:val="000000"/>
                <w:u w:val="single" w:color="000000"/>
              </w:rPr>
              <w:t>　　　　　　　　％</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Ｃ</w:t>
            </w:r>
            <w:r>
              <w:rPr>
                <w:rFonts w:hint="default" w:ascii="ＭＳ ゴシック" w:hAnsi="ＭＳ ゴシック" w:eastAsia="ＭＳ ゴシック"/>
                <w:color w:val="000000"/>
              </w:rPr>
              <w:t xml:space="preserve">   ×100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u w:val="single" w:color="auto"/>
              </w:rPr>
              <w:t>全体に係る依存率</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Ｃ：申込時点における最新の売上原価</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spacing w:val="16"/>
              </w:rPr>
              <w:t>　　　</w:t>
            </w:r>
            <w:r>
              <w:rPr>
                <w:rFonts w:hint="default" w:ascii="ＭＳ ゴシック" w:hAnsi="ＭＳ ゴシック" w:eastAsia="ＭＳ ゴシック"/>
                <w:color w:val="000000"/>
                <w:spacing w:val="16"/>
                <w:u w:val="single" w:color="auto"/>
              </w:rPr>
              <w:t>主たる業種に係る売上原価</w:t>
            </w:r>
            <w:r>
              <w:rPr>
                <w:rFonts w:hint="default" w:ascii="ＭＳ ゴシック" w:hAnsi="ＭＳ ゴシック" w:eastAsia="ＭＳ ゴシック"/>
                <w:color w:val="000000"/>
                <w:u w:val="single" w:color="000000"/>
              </w:rPr>
              <w:t>　　　　　　　円</w:t>
            </w:r>
          </w:p>
          <w:p>
            <w:pPr>
              <w:pStyle w:val="0"/>
              <w:tabs>
                <w:tab w:val="center" w:leader="none" w:pos="4252"/>
                <w:tab w:val="right" w:leader="none" w:pos="8504"/>
              </w:tabs>
              <w:suppressAutoHyphens w:val="1"/>
              <w:overflowPunct w:val="1"/>
              <w:snapToGrid w:val="0"/>
              <w:spacing w:line="240" w:lineRule="exact"/>
              <w:jc w:val="left"/>
              <w:textAlignment w:val="baseline"/>
              <w:rPr>
                <w:rFonts w:hint="default"/>
              </w:rPr>
            </w:pPr>
            <w:r>
              <w:rPr>
                <w:rFonts w:hint="default" w:ascii="ＭＳ ゴシック" w:hAnsi="ＭＳ ゴシック" w:eastAsia="ＭＳ ゴシック"/>
                <w:color w:val="000000"/>
                <w:u w:val="none" w:color="auto"/>
              </w:rPr>
              <w:t>　　　　　　　　　　　　　　　　　　　　　　　　　</w:t>
            </w:r>
            <w:r>
              <w:rPr>
                <w:rFonts w:hint="default" w:ascii="ＭＳ ゴシック" w:hAnsi="ＭＳ ゴシック" w:eastAsia="ＭＳ ゴシック"/>
                <w:color w:val="000000"/>
                <w:u w:val="single" w:color="auto"/>
              </w:rPr>
              <w:t>全体にかかる売上原価</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円</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Ｓ：Ｃの売上原価に対応する原油等の仕入価格</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spacing w:val="16"/>
                <w:u w:val="single" w:color="auto"/>
              </w:rPr>
              <w:t>主たる業種に係る仕入れ価格</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円</w:t>
            </w:r>
          </w:p>
          <w:p>
            <w:pPr>
              <w:pStyle w:val="0"/>
              <w:tabs>
                <w:tab w:val="center" w:leader="none" w:pos="4252"/>
                <w:tab w:val="right" w:leader="none" w:pos="8504"/>
              </w:tabs>
              <w:suppressAutoHyphens w:val="1"/>
              <w:overflowPunct w:val="1"/>
              <w:snapToGrid w:val="0"/>
              <w:spacing w:line="240" w:lineRule="exact"/>
              <w:jc w:val="left"/>
              <w:textAlignment w:val="baseline"/>
              <w:rPr>
                <w:rFonts w:hint="default"/>
              </w:rPr>
            </w:pPr>
            <w:r>
              <w:rPr>
                <w:rFonts w:hint="default" w:ascii="ＭＳ ゴシック" w:hAnsi="ＭＳ ゴシック" w:eastAsia="ＭＳ ゴシック"/>
                <w:color w:val="000000"/>
                <w:u w:val="none" w:color="auto"/>
              </w:rPr>
              <w:t>　　　　　　　　　　　　　　　　　　　　　　　　　</w:t>
            </w:r>
            <w:r>
              <w:rPr>
                <w:rFonts w:hint="default" w:ascii="ＭＳ ゴシック" w:hAnsi="ＭＳ ゴシック" w:eastAsia="ＭＳ ゴシック"/>
                <w:color w:val="000000"/>
                <w:u w:val="single" w:color="auto"/>
              </w:rPr>
              <w:t>全体に係る仕入れ価格</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円</w:t>
            </w:r>
          </w:p>
          <w:p>
            <w:pPr>
              <w:pStyle w:val="0"/>
              <w:suppressAutoHyphens w:val="1"/>
              <w:overflowPunct w:val="1"/>
              <w:spacing w:line="24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③</w:t>
            </w:r>
            <w:r>
              <w:rPr>
                <w:rFonts w:hint="default" w:ascii="ＭＳ ゴシック" w:hAnsi="ＭＳ ゴシック" w:eastAsia="ＭＳ ゴシック"/>
                <w:color w:val="000000"/>
              </w:rPr>
              <w:t>製品等価格への転嫁の状況（注４）</w:t>
            </w:r>
          </w:p>
          <w:p>
            <w:pPr>
              <w:pStyle w:val="0"/>
              <w:tabs>
                <w:tab w:val="center" w:leader="none" w:pos="4252"/>
                <w:tab w:val="right" w:leader="none" w:pos="8504"/>
              </w:tabs>
              <w:suppressAutoHyphens w:val="1"/>
              <w:overflowPunct w:val="1"/>
              <w:snapToGrid w:val="0"/>
              <w:spacing w:line="230" w:lineRule="exac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Ａ</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ａ</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auto"/>
              </w:rPr>
              <w:t>主たる業種に係る転嫁の状況　Ｐ＝　　　　</w:t>
            </w:r>
          </w:p>
          <w:p>
            <w:pPr>
              <w:pStyle w:val="0"/>
              <w:suppressAutoHyphens w:val="1"/>
              <w:overflowPunct w:val="1"/>
              <w:spacing w:line="230" w:lineRule="exact"/>
              <w:textAlignment w:val="baseline"/>
              <w:rPr>
                <w:rFonts w:hint="default"/>
              </w:rPr>
            </w:pP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Ｂ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ｂ</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＝Ｐ</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u w:val="single" w:color="auto"/>
              </w:rPr>
              <w:t>全体に係る転嫁の状況</w:t>
            </w:r>
            <w:r>
              <w:rPr>
                <w:rFonts w:hint="default" w:ascii="ＭＳ ゴシック" w:hAnsi="ＭＳ ゴシック" w:eastAsia="ＭＳ ゴシック"/>
                <w:color w:val="000000"/>
                <w:u w:val="single" w:color="000000"/>
              </w:rPr>
              <w:t>　Ｐ＝</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Ａ：申込時点における最近３か月間の原油等の仕入価格</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spacing w:val="16"/>
                <w:u w:val="single" w:color="auto"/>
              </w:rPr>
              <w:t>主たる業種に係る仕入価格</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円</w:t>
            </w:r>
          </w:p>
          <w:p>
            <w:pPr>
              <w:pStyle w:val="0"/>
              <w:tabs>
                <w:tab w:val="center" w:leader="none" w:pos="4252"/>
                <w:tab w:val="right" w:leader="none" w:pos="8504"/>
              </w:tabs>
              <w:suppressAutoHyphens w:val="1"/>
              <w:overflowPunct w:val="1"/>
              <w:snapToGrid w:val="0"/>
              <w:spacing w:line="240" w:lineRule="exact"/>
              <w:jc w:val="left"/>
              <w:textAlignment w:val="baseline"/>
              <w:rPr>
                <w:rFonts w:hint="default"/>
              </w:rPr>
            </w:pPr>
            <w:r>
              <w:rPr>
                <w:rFonts w:hint="default" w:ascii="ＭＳ ゴシック" w:hAnsi="ＭＳ ゴシック" w:eastAsia="ＭＳ ゴシック"/>
                <w:color w:val="000000"/>
                <w:u w:val="none" w:color="auto"/>
              </w:rPr>
              <w:t>　　　　　　　　　　　　　　　　　　　　　　　　　　　</w:t>
            </w:r>
            <w:r>
              <w:rPr>
                <w:rFonts w:hint="default" w:ascii="ＭＳ ゴシック" w:hAnsi="ＭＳ ゴシック" w:eastAsia="ＭＳ ゴシック"/>
                <w:color w:val="000000"/>
                <w:u w:val="single" w:color="auto"/>
              </w:rPr>
              <w:t>全体に係る仕入価格</w:t>
            </w:r>
            <w:r>
              <w:rPr>
                <w:rFonts w:hint="default" w:ascii="ＭＳ ゴシック" w:hAnsi="ＭＳ ゴシック" w:eastAsia="ＭＳ ゴシック"/>
                <w:color w:val="000000"/>
                <w:u w:val="single" w:color="000000"/>
              </w:rPr>
              <w:t>　　　　　　　　　円</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ａ：Ａの期間に対応する前年３か月間の原油等の仕入価格</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spacing w:val="16"/>
                <w:u w:val="single" w:color="auto"/>
              </w:rPr>
              <w:t>主たる業種に係る仕入価格</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円</w:t>
            </w:r>
          </w:p>
          <w:p>
            <w:pPr>
              <w:pStyle w:val="0"/>
              <w:tabs>
                <w:tab w:val="center" w:leader="none" w:pos="4252"/>
                <w:tab w:val="right" w:leader="none" w:pos="8504"/>
              </w:tabs>
              <w:suppressAutoHyphens w:val="1"/>
              <w:overflowPunct w:val="1"/>
              <w:snapToGrid w:val="0"/>
              <w:spacing w:line="240" w:lineRule="exact"/>
              <w:jc w:val="left"/>
              <w:textAlignment w:val="baseline"/>
              <w:rPr>
                <w:rFonts w:hint="default"/>
              </w:rPr>
            </w:pPr>
            <w:r>
              <w:rPr>
                <w:rFonts w:hint="default" w:ascii="ＭＳ ゴシック" w:hAnsi="ＭＳ ゴシック" w:eastAsia="ＭＳ ゴシック"/>
                <w:color w:val="000000"/>
                <w:u w:val="none" w:color="auto"/>
              </w:rPr>
              <w:t>　　　　　　　　　　　　　　　　　　　　　　　　　　　　</w:t>
            </w:r>
            <w:r>
              <w:rPr>
                <w:rFonts w:hint="default" w:ascii="ＭＳ ゴシック" w:hAnsi="ＭＳ ゴシック" w:eastAsia="ＭＳ ゴシック"/>
                <w:color w:val="000000"/>
                <w:u w:val="single" w:color="auto"/>
              </w:rPr>
              <w:t>全体に係る仕入価格　　　　　　　　円</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Ｂ：申込時点における最近３か月間の売上高</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u w:val="single" w:color="000000"/>
              </w:rPr>
              <w:t>主たる業種に係る売上高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円</w:t>
            </w:r>
          </w:p>
          <w:p>
            <w:pPr>
              <w:pStyle w:val="0"/>
              <w:tabs>
                <w:tab w:val="center" w:leader="none" w:pos="4252"/>
                <w:tab w:val="right" w:leader="none" w:pos="8504"/>
              </w:tabs>
              <w:suppressAutoHyphens w:val="1"/>
              <w:overflowPunct w:val="1"/>
              <w:snapToGrid w:val="0"/>
              <w:spacing w:line="240" w:lineRule="exact"/>
              <w:jc w:val="left"/>
              <w:textAlignment w:val="baseline"/>
              <w:rPr>
                <w:rFonts w:hint="default"/>
              </w:rPr>
            </w:pPr>
            <w:r>
              <w:rPr>
                <w:rFonts w:hint="default" w:ascii="ＭＳ ゴシック" w:hAnsi="ＭＳ ゴシック" w:eastAsia="ＭＳ ゴシック"/>
                <w:color w:val="000000"/>
                <w:u w:val="none" w:color="auto"/>
              </w:rPr>
              <w:t>　　　　　　　　　　　　　　　　　　　　　　　　　　　</w:t>
            </w:r>
            <w:r>
              <w:rPr>
                <w:rFonts w:hint="default" w:ascii="ＭＳ ゴシック" w:hAnsi="ＭＳ ゴシック" w:eastAsia="ＭＳ ゴシック"/>
                <w:color w:val="000000"/>
                <w:u w:val="single" w:color="auto"/>
              </w:rPr>
              <w:t>全体に係る売上高　　　　　　　　　　円</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ｂ：Ｂの期間に対応する前年３か月間の売上高</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spacing w:val="16"/>
                <w:u w:val="single" w:color="auto"/>
              </w:rPr>
              <w:t>主たる業種に係る売上高</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円</w:t>
            </w:r>
          </w:p>
          <w:p>
            <w:pPr>
              <w:pStyle w:val="0"/>
              <w:tabs>
                <w:tab w:val="center" w:leader="none" w:pos="4252"/>
                <w:tab w:val="right" w:leader="none" w:pos="8504"/>
              </w:tabs>
              <w:suppressAutoHyphens w:val="1"/>
              <w:overflowPunct w:val="1"/>
              <w:snapToGrid w:val="0"/>
              <w:spacing w:line="240" w:lineRule="exact"/>
              <w:jc w:val="left"/>
              <w:textAlignment w:val="baseline"/>
              <w:rPr>
                <w:rFonts w:hint="default"/>
              </w:rPr>
            </w:pPr>
            <w:r>
              <w:rPr>
                <w:rFonts w:hint="default" w:ascii="ＭＳ ゴシック" w:hAnsi="ＭＳ ゴシック" w:eastAsia="ＭＳ ゴシック"/>
                <w:color w:val="000000"/>
                <w:u w:val="none" w:color="auto"/>
              </w:rPr>
              <w:t>　　　　　　　　　　　　　　　　　　　　　　　　　　　</w:t>
            </w:r>
            <w:r>
              <w:rPr>
                <w:rFonts w:hint="default" w:ascii="ＭＳ ゴシック" w:hAnsi="ＭＳ ゴシック" w:eastAsia="ＭＳ ゴシック"/>
                <w:color w:val="000000"/>
                <w:u w:val="single" w:color="auto"/>
              </w:rPr>
              <w:t>全体に係る売上高　</w:t>
            </w:r>
            <w:r>
              <w:rPr>
                <w:rFonts w:hint="default" w:ascii="ＭＳ ゴシック" w:hAnsi="ＭＳ ゴシック" w:eastAsia="ＭＳ ゴシック"/>
                <w:color w:val="000000"/>
                <w:u w:val="single" w:color="000000"/>
              </w:rPr>
              <w:t>　　　　　　　　　円</w:t>
            </w:r>
          </w:p>
          <w:p>
            <w:pPr>
              <w:pStyle w:val="0"/>
              <w:suppressAutoHyphens w:val="1"/>
              <w:overflowPunct w:val="1"/>
              <w:spacing w:line="100" w:lineRule="exact"/>
              <w:jc w:val="left"/>
              <w:textAlignment w:val="baseline"/>
              <w:rPr>
                <w:rFonts w:hint="default" w:ascii="ＭＳ ゴシック" w:hAnsi="ＭＳ ゴシック" w:eastAsia="ＭＳ ゴシック"/>
                <w:color w:val="000000"/>
                <w:spacing w:val="16"/>
              </w:rPr>
            </w:pPr>
          </w:p>
        </w:tc>
      </w:tr>
    </w:tbl>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注１）本様式は、主たる事業（最近１年間の売上高等が最も大きい事業）が属する業種（主たる業種）が指定業種である場合であって、主たる業種及び申請者全体の双方が認定基準を満たす場合に使用する。</w:t>
      </w:r>
    </w:p>
    <w:p>
      <w:pPr>
        <w:pStyle w:val="0"/>
        <w:suppressAutoHyphens w:val="1"/>
        <w:spacing w:line="240" w:lineRule="exact"/>
        <w:ind w:left="862" w:right="0" w:hanging="862"/>
        <w:jc w:val="left"/>
        <w:textAlignment w:val="baseline"/>
        <w:rPr>
          <w:rFonts w:hint="default"/>
        </w:rPr>
      </w:pPr>
      <w:r>
        <w:rPr>
          <w:rFonts w:hint="default" w:ascii="ＭＳ ゴシック" w:hAnsi="ＭＳ ゴシック" w:eastAsia="ＭＳ ゴシック"/>
          <w:color w:val="000000"/>
        </w:rPr>
        <w:t>（注２）</w:t>
      </w:r>
      <w:r>
        <w:rPr>
          <w:rFonts w:hint="default" w:ascii="ＭＳ ゴシック" w:hAnsi="ＭＳ ゴシック" w:eastAsia="ＭＳ ゴシック"/>
          <w:color w:val="000000"/>
          <w:spacing w:val="16"/>
        </w:rPr>
        <w:t>主たる事業が属する指定業種（日本標準産業分類の細分類番号と細分類業種名）を記載。</w:t>
      </w:r>
    </w:p>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（注３）主たる業種及び申請者全体の原油等の仕入単価、売上原価、原油等の仕入価格を記載。上昇率及び依存率が２０％以上となっていること。</w:t>
      </w:r>
    </w:p>
    <w:p>
      <w:pPr>
        <w:pStyle w:val="0"/>
        <w:suppressAutoHyphens w:val="1"/>
        <w:spacing w:line="240" w:lineRule="exact"/>
        <w:ind w:left="735" w:right="0" w:hanging="735"/>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（注４）主たる業種及び申請者全体の原油等の仕入価格、売上高を記載。Ｐ＞０となっていること。</w:t>
      </w:r>
    </w:p>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八</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商</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第</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号</w:t>
      </w:r>
    </w:p>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r>
        <w:rPr>
          <w:rFonts w:hint="eastAsia" w:ascii="ＭＳ ゴシック" w:hAnsi="ＭＳ ゴシック" w:eastAsia="ＭＳ ゴシック"/>
          <w:color w:val="000000"/>
        </w:rPr>
        <w:t>令和</w:t>
      </w:r>
      <w:r>
        <w:rPr>
          <w:rFonts w:hint="default" w:ascii="ＭＳ ゴシック" w:hAnsi="ＭＳ ゴシック" w:eastAsia="ＭＳ ゴシック"/>
          <w:color w:val="000000"/>
        </w:rPr>
        <w:t>　　年　　月　　日</w:t>
      </w:r>
    </w:p>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申請のとおり相違ないことを認定します。</w:t>
      </w:r>
    </w:p>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（注）本認定書の有効期間：</w:t>
      </w:r>
      <w:r>
        <w:rPr>
          <w:rFonts w:hint="eastAsia" w:ascii="ＭＳ ゴシック" w:hAnsi="ＭＳ ゴシック" w:eastAsia="ＭＳ ゴシック"/>
          <w:color w:val="000000"/>
        </w:rPr>
        <w:t>令和</w:t>
      </w:r>
      <w:r>
        <w:rPr>
          <w:rFonts w:hint="default" w:ascii="ＭＳ ゴシック" w:hAnsi="ＭＳ ゴシック" w:eastAsia="ＭＳ ゴシック"/>
          <w:color w:val="000000"/>
        </w:rPr>
        <w:t>　　年　　月　　日から</w:t>
      </w:r>
      <w:r>
        <w:rPr>
          <w:rFonts w:hint="eastAsia" w:ascii="ＭＳ ゴシック" w:hAnsi="ＭＳ ゴシック" w:eastAsia="ＭＳ ゴシック"/>
          <w:color w:val="000000"/>
        </w:rPr>
        <w:t>令和</w:t>
      </w:r>
      <w:r>
        <w:rPr>
          <w:rFonts w:hint="default" w:ascii="ＭＳ ゴシック" w:hAnsi="ＭＳ ゴシック" w:eastAsia="ＭＳ ゴシック"/>
          <w:color w:val="000000"/>
        </w:rPr>
        <w:t>　　年　　月　　日まで</w:t>
      </w:r>
    </w:p>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p>
    <w:p>
      <w:pPr>
        <w:pStyle w:val="0"/>
        <w:suppressAutoHyphens w:val="1"/>
        <w:spacing w:line="240" w:lineRule="exact"/>
        <w:ind w:left="1220" w:right="0" w:firstLine="4830"/>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八街市長　北村　新司</w:t>
      </w:r>
    </w:p>
    <w:p>
      <w:pPr>
        <w:pStyle w:val="0"/>
        <w:suppressAutoHyphens w:val="1"/>
        <w:spacing w:line="240" w:lineRule="exact"/>
        <w:ind w:left="1230" w:right="0" w:hanging="1230"/>
        <w:jc w:val="left"/>
        <w:textAlignment w:val="baseline"/>
        <w:rPr>
          <w:rFonts w:hint="default" w:ascii="ＭＳ ゴシック" w:hAnsi="ＭＳ ゴシック" w:eastAsia="ＭＳ ゴシック"/>
          <w:color w:val="000000"/>
        </w:rPr>
      </w:pPr>
    </w:p>
    <w:p>
      <w:pPr>
        <w:pStyle w:val="0"/>
        <w:suppressAutoHyphens w:val="1"/>
        <w:spacing w:line="240" w:lineRule="exact"/>
        <w:ind w:left="1230" w:right="0" w:hanging="1230"/>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（留意事項）</w:t>
      </w:r>
    </w:p>
    <w:p>
      <w:pPr>
        <w:pStyle w:val="0"/>
        <w:suppressAutoHyphens w:val="1"/>
        <w:spacing w:line="240" w:lineRule="exact"/>
        <w:ind w:left="0" w:right="0" w:firstLine="210"/>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①</w:t>
      </w:r>
      <w:r>
        <w:rPr>
          <w:rFonts w:hint="default" w:ascii="ＭＳ ゴシック" w:hAnsi="ＭＳ ゴシック" w:eastAsia="ＭＳ ゴシック"/>
          <w:color w:val="000000"/>
        </w:rPr>
        <w:t>　本認定とは別に、金融機関及び信用保証協会による金融上の審査があります。</w:t>
      </w:r>
    </w:p>
    <w:p>
      <w:pPr>
        <w:pStyle w:val="0"/>
        <w:suppressAutoHyphens w:val="1"/>
        <w:spacing w:line="240" w:lineRule="exact"/>
        <w:ind w:left="630" w:leftChars="100" w:right="0" w:rightChars="0" w:hanging="420" w:hangingChars="200"/>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②</w:t>
      </w:r>
      <w:r>
        <w:rPr>
          <w:rFonts w:hint="default" w:ascii="ＭＳ ゴシック" w:hAnsi="ＭＳ ゴシック" w:eastAsia="ＭＳ ゴシック"/>
          <w:color w:val="000000"/>
        </w:rPr>
        <w:t>　市町村長又は特別区長から認定を受けた後、本認定の有効期間内に金融機関又は信</w:t>
      </w:r>
      <w:r>
        <w:rPr>
          <w:rFonts w:hint="eastAsia" w:ascii="ＭＳ ゴシック" w:hAnsi="ＭＳ ゴシック" w:eastAsia="ＭＳ ゴシック"/>
          <w:color w:val="000000"/>
        </w:rPr>
        <w:t>　</w:t>
      </w:r>
      <w:bookmarkStart w:id="0" w:name="_GoBack"/>
      <w:bookmarkEnd w:id="0"/>
      <w:r>
        <w:rPr>
          <w:rFonts w:hint="default" w:ascii="ＭＳ ゴシック" w:hAnsi="ＭＳ ゴシック" w:eastAsia="ＭＳ ゴシック"/>
          <w:color w:val="000000"/>
        </w:rPr>
        <w:t>用保証協会に対して、経営安定関連保証の申込みを行うことが必要です。</w:t>
      </w:r>
    </w:p>
    <w:sectPr>
      <w:pgSz w:w="11906" w:h="16838"/>
      <w:pgMar w:top="289" w:right="1701" w:bottom="295" w:left="1701" w:header="0" w:footer="0" w:gutter="0"/>
      <w:cols w:space="720"/>
      <w:formProt w:val="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Liberation Sans">
    <w:panose1 w:val="00000000000000000000"/>
    <w:charset w:val="01"/>
    <w:family w:val="swiss"/>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840"/>
  <w:hdrShapeDefaults>
    <o:shapelayout v:ext="edi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sz w:val="21"/>
      </w:rPr>
    </w:rPrDefault>
  </w:docDefaults>
  <w:style w:type="paragraph" w:styleId="0" w:default="1">
    <w:name w:val="Normal"/>
    <w:next w:val="0"/>
    <w:link w:val="0"/>
    <w:uiPriority w:val="0"/>
    <w:qFormat/>
    <w:pPr>
      <w:widowControl w:val="0"/>
      <w:kinsoku w:val="1"/>
      <w:overflowPunct w:val="1"/>
      <w:autoSpaceDE w:val="1"/>
      <w:jc w:val="both"/>
    </w:pPr>
    <w:rPr>
      <w:rFonts w:ascii="Century" w:hAnsi="Century"/>
      <w:color w:val="auto"/>
      <w:sz w:val="21"/>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Heading 1"/>
    <w:basedOn w:val="0"/>
    <w:next w:val="15"/>
    <w:link w:val="0"/>
    <w:uiPriority w:val="0"/>
    <w:qFormat/>
    <w:pPr>
      <w:keepNext w:val="1"/>
      <w:numPr>
        <w:numId w:val="0"/>
      </w:numPr>
      <w:outlineLvl w:val="0"/>
    </w:pPr>
    <w:rPr>
      <w:rFonts w:ascii="Arial" w:hAnsi="Arial" w:eastAsia="ＭＳ ゴシック"/>
      <w:sz w:val="24"/>
    </w:rPr>
  </w:style>
  <w:style w:type="paragraph" w:styleId="16" w:customStyle="1">
    <w:name w:val="Heading 2"/>
    <w:basedOn w:val="0"/>
    <w:next w:val="16"/>
    <w:link w:val="0"/>
    <w:uiPriority w:val="0"/>
    <w:qFormat/>
    <w:pPr>
      <w:keepNext w:val="1"/>
      <w:numPr>
        <w:numId w:val="0"/>
      </w:numPr>
      <w:outlineLvl w:val="1"/>
    </w:pPr>
    <w:rPr>
      <w:rFonts w:ascii="Arial" w:hAnsi="Arial" w:eastAsia="ＭＳ ゴシック"/>
    </w:rPr>
  </w:style>
  <w:style w:type="character" w:styleId="17" w:customStyle="1">
    <w:name w:val="見出し 1 (文字)"/>
    <w:basedOn w:val="10"/>
    <w:next w:val="17"/>
    <w:link w:val="0"/>
    <w:uiPriority w:val="0"/>
    <w:qFormat/>
    <w:rPr>
      <w:rFonts w:ascii="Arial" w:hAnsi="Arial" w:eastAsia="ＭＳ ゴシック"/>
      <w:sz w:val="24"/>
    </w:rPr>
  </w:style>
  <w:style w:type="character" w:styleId="18" w:customStyle="1">
    <w:name w:val="見出し 2 (文字)"/>
    <w:basedOn w:val="10"/>
    <w:next w:val="18"/>
    <w:link w:val="0"/>
    <w:uiPriority w:val="0"/>
    <w:qFormat/>
    <w:rPr>
      <w:rFonts w:ascii="Arial" w:hAnsi="Arial" w:eastAsia="ＭＳ ゴシック"/>
    </w:rPr>
  </w:style>
  <w:style w:type="character" w:styleId="19" w:customStyle="1">
    <w:name w:val="ヘッダー (文字)"/>
    <w:basedOn w:val="10"/>
    <w:next w:val="19"/>
    <w:link w:val="0"/>
    <w:uiPriority w:val="0"/>
    <w:qFormat/>
  </w:style>
  <w:style w:type="character" w:styleId="20" w:customStyle="1">
    <w:name w:val="フッター (文字)"/>
    <w:basedOn w:val="10"/>
    <w:next w:val="20"/>
    <w:link w:val="0"/>
    <w:uiPriority w:val="0"/>
    <w:qFormat/>
  </w:style>
  <w:style w:type="character" w:styleId="21" w:customStyle="1">
    <w:name w:val="吹き出し (文字)"/>
    <w:basedOn w:val="10"/>
    <w:next w:val="21"/>
    <w:link w:val="0"/>
    <w:uiPriority w:val="0"/>
    <w:qFormat/>
    <w:rPr>
      <w:rFonts w:ascii="Arial" w:hAnsi="Arial" w:eastAsia="ＭＳ ゴシック"/>
      <w:sz w:val="18"/>
    </w:rPr>
  </w:style>
  <w:style w:type="character" w:styleId="22">
    <w:name w:val="Placeholder Text"/>
    <w:basedOn w:val="10"/>
    <w:next w:val="22"/>
    <w:link w:val="0"/>
    <w:uiPriority w:val="0"/>
    <w:qFormat/>
    <w:rPr>
      <w:color w:val="808080"/>
    </w:rPr>
  </w:style>
  <w:style w:type="character" w:styleId="23">
    <w:name w:val="annotation reference"/>
    <w:basedOn w:val="10"/>
    <w:next w:val="23"/>
    <w:link w:val="0"/>
    <w:uiPriority w:val="0"/>
    <w:semiHidden/>
    <w:qFormat/>
    <w:rPr>
      <w:sz w:val="18"/>
    </w:rPr>
  </w:style>
  <w:style w:type="character" w:styleId="24" w:customStyle="1">
    <w:name w:val="コメント文字列 (文字)"/>
    <w:basedOn w:val="10"/>
    <w:next w:val="24"/>
    <w:link w:val="0"/>
    <w:uiPriority w:val="0"/>
    <w:qFormat/>
  </w:style>
  <w:style w:type="character" w:styleId="25" w:customStyle="1">
    <w:name w:val="コメント内容 (文字)"/>
    <w:basedOn w:val="24"/>
    <w:next w:val="25"/>
    <w:link w:val="0"/>
    <w:uiPriority w:val="0"/>
    <w:qFormat/>
    <w:rPr>
      <w:b w:val="1"/>
    </w:rPr>
  </w:style>
  <w:style w:type="character" w:styleId="26">
    <w:name w:val="page number"/>
    <w:basedOn w:val="10"/>
    <w:next w:val="26"/>
    <w:link w:val="0"/>
    <w:uiPriority w:val="0"/>
    <w:qFormat/>
  </w:style>
  <w:style w:type="character" w:styleId="27" w:customStyle="1">
    <w:name w:val="日付 (文字)"/>
    <w:basedOn w:val="10"/>
    <w:next w:val="27"/>
    <w:link w:val="0"/>
    <w:uiPriority w:val="0"/>
    <w:qFormat/>
    <w:rPr>
      <w:rFonts w:ascii="Century" w:hAnsi="Century"/>
    </w:rPr>
  </w:style>
  <w:style w:type="character" w:styleId="28" w:customStyle="1">
    <w:name w:val="書式なし (文字)"/>
    <w:basedOn w:val="10"/>
    <w:next w:val="28"/>
    <w:link w:val="0"/>
    <w:uiPriority w:val="0"/>
    <w:qFormat/>
    <w:rPr>
      <w:rFonts w:ascii="ＭＳ ゴシック" w:hAnsi="ＭＳ ゴシック" w:eastAsia="ＭＳ ゴシック"/>
      <w:sz w:val="20"/>
    </w:rPr>
  </w:style>
  <w:style w:type="character" w:styleId="29" w:customStyle="1">
    <w:name w:val="記 (文字)"/>
    <w:basedOn w:val="10"/>
    <w:next w:val="29"/>
    <w:link w:val="0"/>
    <w:uiPriority w:val="0"/>
    <w:qFormat/>
    <w:rPr>
      <w:rFonts w:ascii="ＭＳ ゴシック" w:hAnsi="ＭＳ ゴシック" w:eastAsia="ＭＳ ゴシック"/>
      <w:color w:val="000000"/>
    </w:rPr>
  </w:style>
  <w:style w:type="character" w:styleId="30" w:customStyle="1">
    <w:name w:val="結語 (文字)"/>
    <w:basedOn w:val="10"/>
    <w:next w:val="30"/>
    <w:link w:val="0"/>
    <w:uiPriority w:val="0"/>
    <w:qFormat/>
    <w:rPr>
      <w:rFonts w:ascii="ＭＳ ゴシック" w:hAnsi="ＭＳ ゴシック" w:eastAsia="ＭＳ ゴシック"/>
      <w:color w:val="000000"/>
    </w:rPr>
  </w:style>
  <w:style w:type="paragraph" w:styleId="31" w:customStyle="1">
    <w:name w:val="Heading"/>
    <w:basedOn w:val="0"/>
    <w:next w:val="32"/>
    <w:link w:val="0"/>
    <w:uiPriority w:val="0"/>
    <w:qFormat/>
    <w:pPr>
      <w:keepNext w:val="1"/>
      <w:spacing w:before="240" w:beforeLines="0" w:beforeAutospacing="0" w:after="120" w:afterLines="0" w:afterAutospacing="0"/>
    </w:pPr>
    <w:rPr>
      <w:rFonts w:ascii="Liberation Sans" w:hAnsi="Liberation Sans"/>
      <w:sz w:val="28"/>
    </w:rPr>
  </w:style>
  <w:style w:type="paragraph" w:styleId="32">
    <w:name w:val="Body Text"/>
    <w:basedOn w:val="0"/>
    <w:next w:val="32"/>
    <w:link w:val="0"/>
    <w:uiPriority w:val="0"/>
    <w:pPr>
      <w:spacing w:before="0" w:beforeLines="0" w:beforeAutospacing="0" w:after="140" w:afterLines="0" w:afterAutospacing="0" w:line="288" w:lineRule="auto"/>
    </w:pPr>
  </w:style>
  <w:style w:type="paragraph" w:styleId="33">
    <w:name w:val="List"/>
    <w:basedOn w:val="32"/>
    <w:next w:val="33"/>
    <w:link w:val="0"/>
    <w:uiPriority w:val="0"/>
  </w:style>
  <w:style w:type="paragraph" w:styleId="34" w:customStyle="1">
    <w:name w:val="Caption"/>
    <w:basedOn w:val="0"/>
    <w:next w:val="34"/>
    <w:link w:val="0"/>
    <w:uiPriority w:val="0"/>
    <w:qFormat/>
    <w:pPr>
      <w:suppressLineNumbers w:val="1"/>
      <w:spacing w:before="120" w:beforeLines="0" w:beforeAutospacing="0" w:after="120" w:afterLines="0" w:afterAutospacing="0"/>
    </w:pPr>
    <w:rPr>
      <w:i w:val="1"/>
      <w:sz w:val="24"/>
    </w:rPr>
  </w:style>
  <w:style w:type="paragraph" w:styleId="35" w:customStyle="1">
    <w:name w:val="Index"/>
    <w:basedOn w:val="0"/>
    <w:next w:val="35"/>
    <w:link w:val="0"/>
    <w:uiPriority w:val="0"/>
    <w:qFormat/>
    <w:pPr>
      <w:suppressLineNumbers w:val="1"/>
    </w:pPr>
  </w:style>
  <w:style w:type="paragraph" w:styleId="36">
    <w:name w:val="TOC Heading"/>
    <w:basedOn w:val="15"/>
    <w:next w:val="36"/>
    <w:link w:val="0"/>
    <w:uiPriority w:val="0"/>
    <w:qFormat/>
  </w:style>
  <w:style w:type="paragraph" w:styleId="37" w:customStyle="1">
    <w:name w:val="Header"/>
    <w:basedOn w:val="0"/>
    <w:next w:val="37"/>
    <w:link w:val="0"/>
    <w:uiPriority w:val="0"/>
    <w:pPr>
      <w:tabs>
        <w:tab w:val="center" w:leader="none" w:pos="4252"/>
        <w:tab w:val="right" w:leader="none" w:pos="8504"/>
      </w:tabs>
      <w:snapToGrid w:val="0"/>
    </w:pPr>
  </w:style>
  <w:style w:type="paragraph" w:styleId="38" w:customStyle="1">
    <w:name w:val="Footer"/>
    <w:basedOn w:val="0"/>
    <w:next w:val="38"/>
    <w:link w:val="0"/>
    <w:uiPriority w:val="0"/>
    <w:pPr>
      <w:tabs>
        <w:tab w:val="center" w:leader="none" w:pos="4252"/>
        <w:tab w:val="right" w:leader="none" w:pos="8504"/>
      </w:tabs>
      <w:snapToGrid w:val="0"/>
    </w:pPr>
  </w:style>
  <w:style w:type="paragraph" w:styleId="39">
    <w:name w:val="Balloon Text"/>
    <w:basedOn w:val="0"/>
    <w:next w:val="39"/>
    <w:link w:val="0"/>
    <w:uiPriority w:val="0"/>
    <w:semiHidden/>
    <w:qFormat/>
    <w:rPr>
      <w:rFonts w:ascii="Arial" w:hAnsi="Arial" w:eastAsia="ＭＳ ゴシック"/>
      <w:sz w:val="18"/>
    </w:rPr>
  </w:style>
  <w:style w:type="paragraph" w:styleId="40">
    <w:name w:val="annotation text"/>
    <w:basedOn w:val="0"/>
    <w:next w:val="40"/>
    <w:link w:val="0"/>
    <w:uiPriority w:val="0"/>
    <w:semiHidden/>
    <w:qFormat/>
    <w:pPr>
      <w:jc w:val="left"/>
    </w:pPr>
  </w:style>
  <w:style w:type="paragraph" w:styleId="41">
    <w:name w:val="annotation subject"/>
    <w:basedOn w:val="40"/>
    <w:next w:val="41"/>
    <w:link w:val="0"/>
    <w:uiPriority w:val="0"/>
    <w:semiHidden/>
    <w:qFormat/>
    <w:rPr>
      <w:b w:val="1"/>
    </w:rPr>
  </w:style>
  <w:style w:type="paragraph" w:styleId="42">
    <w:name w:val="Revision"/>
    <w:next w:val="42"/>
    <w:link w:val="0"/>
    <w:uiPriority w:val="0"/>
    <w:qFormat/>
    <w:pPr>
      <w:widowControl w:val="1"/>
      <w:kinsoku w:val="1"/>
      <w:overflowPunct w:val="1"/>
      <w:autoSpaceDE w:val="1"/>
      <w:jc w:val="left"/>
    </w:pPr>
    <w:rPr>
      <w:rFonts w:ascii="Century" w:hAnsi="Century"/>
      <w:color w:val="auto"/>
      <w:sz w:val="21"/>
    </w:rPr>
  </w:style>
  <w:style w:type="paragraph" w:styleId="43">
    <w:name w:val="List Paragraph"/>
    <w:basedOn w:val="0"/>
    <w:next w:val="43"/>
    <w:link w:val="0"/>
    <w:uiPriority w:val="0"/>
    <w:qFormat/>
    <w:pPr>
      <w:ind w:left="840" w:right="0" w:firstLine="0"/>
    </w:pPr>
    <w:rPr>
      <w:rFonts w:ascii="Century" w:hAnsi="Century"/>
    </w:rPr>
  </w:style>
  <w:style w:type="paragraph" w:styleId="44">
    <w:name w:val="Date"/>
    <w:basedOn w:val="0"/>
    <w:next w:val="44"/>
    <w:link w:val="0"/>
    <w:uiPriority w:val="0"/>
    <w:qFormat/>
    <w:rPr>
      <w:rFonts w:ascii="Century" w:hAnsi="Century"/>
    </w:rPr>
  </w:style>
  <w:style w:type="paragraph" w:styleId="45">
    <w:name w:val="Plain Text"/>
    <w:basedOn w:val="0"/>
    <w:next w:val="45"/>
    <w:link w:val="0"/>
    <w:uiPriority w:val="0"/>
    <w:qFormat/>
    <w:pPr>
      <w:jc w:val="left"/>
    </w:pPr>
    <w:rPr>
      <w:rFonts w:ascii="ＭＳ ゴシック" w:hAnsi="ＭＳ ゴシック" w:eastAsia="ＭＳ ゴシック"/>
      <w:sz w:val="20"/>
    </w:rPr>
  </w:style>
  <w:style w:type="paragraph" w:styleId="46">
    <w:name w:val="Note Heading"/>
    <w:basedOn w:val="0"/>
    <w:next w:val="46"/>
    <w:link w:val="0"/>
    <w:uiPriority w:val="0"/>
    <w:qFormat/>
    <w:pPr>
      <w:jc w:val="center"/>
    </w:pPr>
    <w:rPr>
      <w:rFonts w:ascii="ＭＳ ゴシック" w:hAnsi="ＭＳ ゴシック" w:eastAsia="ＭＳ ゴシック"/>
      <w:color w:val="000000"/>
    </w:rPr>
  </w:style>
  <w:style w:type="paragraph" w:styleId="47">
    <w:name w:val="Closing"/>
    <w:basedOn w:val="0"/>
    <w:next w:val="47"/>
    <w:link w:val="0"/>
    <w:uiPriority w:val="0"/>
    <w:qFormat/>
    <w:pPr>
      <w:jc w:val="right"/>
    </w:pPr>
    <w:rPr>
      <w:rFonts w:ascii="ＭＳ ゴシック" w:hAnsi="ＭＳ ゴシック" w:eastAsia="ＭＳ ゴシック"/>
      <w:color w:val="000000"/>
    </w:rPr>
  </w:style>
  <w:style w:type="paragraph" w:styleId="48" w:customStyle="1">
    <w:name w:val="Table Contents"/>
    <w:basedOn w:val="0"/>
    <w:next w:val="48"/>
    <w:link w:val="0"/>
    <w:uiPriority w:val="0"/>
    <w:qFormat/>
  </w:style>
  <w:style w:type="character" w:styleId="49">
    <w:name w:val="footnote reference"/>
    <w:basedOn w:val="10"/>
    <w:next w:val="49"/>
    <w:link w:val="0"/>
    <w:uiPriority w:val="0"/>
    <w:semiHidden/>
    <w:rPr>
      <w:vertAlign w:val="superscript"/>
    </w:rPr>
  </w:style>
  <w:style w:type="character" w:styleId="50">
    <w:name w:val="endnote reference"/>
    <w:basedOn w:val="10"/>
    <w:next w:val="5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TotalTime>
  <Pages>2</Pages>
  <Words>3</Words>
  <Characters>1163</Characters>
  <Application>JUST Note</Application>
  <Lines>69</Lines>
  <Paragraphs>47</Paragraphs>
  <Company>経済産業省</Company>
  <CharactersWithSpaces>1980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Administrator</cp:lastModifiedBy>
  <cp:lastPrinted>2020-03-09T02:38:29Z</cp:lastPrinted>
  <dcterms:created xsi:type="dcterms:W3CDTF">2012-10-18T04:08:00Z</dcterms:created>
  <dcterms:modified xsi:type="dcterms:W3CDTF">2019-04-02T07:03:28Z</dcterms:modified>
  <cp:revision>9</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AppVersion">
    <vt:lpwstr>14.0000</vt:lpwstr>
  </property>
  <property fmtid="{D5CDD505-2E9C-101B-9397-08002B2CF9AE}" pid="3" name="Company">
    <vt:lpwstr>経済産業省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